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1C6E" w14:textId="35FDBB36" w:rsidR="00584692" w:rsidRPr="00821431" w:rsidRDefault="00584692" w:rsidP="00BA0BE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821431">
        <w:rPr>
          <w:rFonts w:ascii="Arial" w:hAnsi="Arial" w:cs="Arial"/>
          <w:sz w:val="24"/>
          <w:szCs w:val="24"/>
          <w:lang w:val="el-GR"/>
        </w:rPr>
        <w:t>ΝΟΜΟ</w:t>
      </w:r>
      <w:r w:rsidR="005C5E8D">
        <w:rPr>
          <w:rFonts w:ascii="Arial" w:hAnsi="Arial" w:cs="Arial"/>
          <w:sz w:val="24"/>
          <w:szCs w:val="24"/>
          <w:lang w:val="el-GR"/>
        </w:rPr>
        <w:t>Σ</w:t>
      </w:r>
      <w:r w:rsidRPr="00821431">
        <w:rPr>
          <w:rFonts w:ascii="Arial" w:hAnsi="Arial" w:cs="Arial"/>
          <w:sz w:val="24"/>
          <w:szCs w:val="24"/>
          <w:lang w:val="el-GR"/>
        </w:rPr>
        <w:t xml:space="preserve"> ΠΟΥ ΤΡΟΠΟΠΟΙΕΙ ΤΟΝ ΠΕΡΙ ΕΤΑΙΡΕΙΩΝ ΝΟΜΟ</w:t>
      </w:r>
    </w:p>
    <w:p w14:paraId="37C098BB" w14:textId="77777777" w:rsidR="00584692" w:rsidRPr="00BA0BEA" w:rsidRDefault="00584692" w:rsidP="00BA0B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7551"/>
      </w:tblGrid>
      <w:tr w:rsidR="005C5E8D" w:rsidRPr="00B55AE1" w14:paraId="0C1C3451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978A" w14:textId="77777777" w:rsidR="005C5E8D" w:rsidRPr="00BA0BEA" w:rsidRDefault="005C5E8D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54F7" w14:textId="587AC4BE" w:rsidR="005C5E8D" w:rsidRPr="005C5E8D" w:rsidRDefault="005C5E8D" w:rsidP="005C5E8D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5C5E8D" w:rsidRPr="00B55AE1" w14:paraId="3D848012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BD8F" w14:textId="77777777" w:rsidR="005C5E8D" w:rsidRPr="00BA0BEA" w:rsidRDefault="005C5E8D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4D6" w14:textId="77777777" w:rsidR="005C5E8D" w:rsidRPr="005C5E8D" w:rsidRDefault="005C5E8D" w:rsidP="005C5E8D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84692" w:rsidRPr="00B55AE1" w14:paraId="2BCF4CCF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10CE" w14:textId="36E49FC1" w:rsidR="007631C8" w:rsidRDefault="00584692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>Συνοπτικός</w:t>
            </w:r>
          </w:p>
          <w:p w14:paraId="72AFFFA5" w14:textId="3ADA4AA9" w:rsidR="00584692" w:rsidRPr="00BA0BEA" w:rsidRDefault="00584692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  <w:p w14:paraId="64EF423E" w14:textId="29E33179" w:rsidR="00584692" w:rsidRPr="00BA0BEA" w:rsidRDefault="00584692" w:rsidP="00BA0BEA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 xml:space="preserve">       Κεφ.</w:t>
            </w:r>
            <w:r w:rsidR="00410D52">
              <w:rPr>
                <w:rFonts w:ascii="Arial" w:hAnsi="Arial" w:cs="Arial"/>
                <w:iCs/>
                <w:sz w:val="24"/>
                <w:szCs w:val="24"/>
                <w:lang w:val="el-GR"/>
              </w:rPr>
              <w:t xml:space="preserve"> 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113.</w:t>
            </w:r>
          </w:p>
          <w:p w14:paraId="49CD348A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 του 1968</w:t>
            </w:r>
          </w:p>
          <w:p w14:paraId="6065812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76 του 1977</w:t>
            </w:r>
          </w:p>
          <w:p w14:paraId="31197C88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17 του 1979</w:t>
            </w:r>
          </w:p>
          <w:p w14:paraId="39CB3770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105 του 1985</w:t>
            </w:r>
          </w:p>
          <w:p w14:paraId="441A88D9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198 του 1986</w:t>
            </w:r>
          </w:p>
          <w:p w14:paraId="4900B969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 του 1990</w:t>
            </w:r>
          </w:p>
          <w:p w14:paraId="3BD5BD0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41(Ι) του 1994</w:t>
            </w:r>
          </w:p>
          <w:p w14:paraId="11C24F4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15(Ι) του 1995</w:t>
            </w:r>
          </w:p>
          <w:p w14:paraId="6668091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21(Ι) του 1997</w:t>
            </w:r>
          </w:p>
          <w:p w14:paraId="4030CCC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82(Ι) του 1999</w:t>
            </w:r>
          </w:p>
          <w:p w14:paraId="2B2DEFC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149(Ι) του 1999</w:t>
            </w:r>
          </w:p>
          <w:p w14:paraId="1C5553B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2(Ι) του 2000</w:t>
            </w:r>
          </w:p>
          <w:p w14:paraId="1078FE2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135(Ι) του 2000</w:t>
            </w:r>
          </w:p>
          <w:p w14:paraId="0CB9F462" w14:textId="78DA8A28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 xml:space="preserve">151(Ι) </w:t>
            </w:r>
            <w:r w:rsidR="005C5E8D">
              <w:rPr>
                <w:rFonts w:ascii="Arial" w:hAnsi="Arial" w:cs="Arial"/>
                <w:iCs/>
                <w:sz w:val="24"/>
                <w:szCs w:val="24"/>
                <w:lang w:val="el-GR"/>
              </w:rPr>
              <w:t>τ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ου 2000</w:t>
            </w:r>
          </w:p>
          <w:p w14:paraId="54E11683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76(Ι) του 2001</w:t>
            </w:r>
          </w:p>
          <w:p w14:paraId="5A29814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70(Ι) του 2003</w:t>
            </w:r>
          </w:p>
          <w:p w14:paraId="0552150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167(Ι) του 2003</w:t>
            </w:r>
          </w:p>
          <w:p w14:paraId="38FE88C3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92(Ι) του 2004</w:t>
            </w:r>
          </w:p>
          <w:p w14:paraId="17D1700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24(Ι) του 2005</w:t>
            </w:r>
          </w:p>
          <w:p w14:paraId="58C4093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129(Ι) του 2005</w:t>
            </w:r>
          </w:p>
          <w:p w14:paraId="73A39904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130(Ι) του 2005</w:t>
            </w:r>
          </w:p>
          <w:p w14:paraId="66321434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98(Ι) του 2006</w:t>
            </w:r>
          </w:p>
          <w:p w14:paraId="2A3E0282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124(Ι) του 2006</w:t>
            </w:r>
          </w:p>
          <w:p w14:paraId="27F2F31E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70(Ι) του 2007</w:t>
            </w:r>
          </w:p>
          <w:p w14:paraId="2E65A11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71(Ι) του 2007</w:t>
            </w:r>
          </w:p>
          <w:p w14:paraId="0BE1A502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lastRenderedPageBreak/>
              <w:t>131(Ι) του 2007</w:t>
            </w:r>
          </w:p>
          <w:p w14:paraId="6A83F34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186(Ι) του 2007</w:t>
            </w:r>
          </w:p>
          <w:p w14:paraId="6319A5F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87(Ι) του 2008</w:t>
            </w:r>
          </w:p>
          <w:p w14:paraId="69FFE7A3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41(Ι) του 2009</w:t>
            </w:r>
          </w:p>
          <w:p w14:paraId="1966574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49(Ι) του 2009</w:t>
            </w:r>
          </w:p>
          <w:p w14:paraId="062FB47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99(Ι) του 2009</w:t>
            </w:r>
          </w:p>
          <w:p w14:paraId="6F2BC38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42(Ι) του 2010</w:t>
            </w:r>
          </w:p>
          <w:p w14:paraId="7CF8DAA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60(Ι) του 2010</w:t>
            </w:r>
          </w:p>
          <w:p w14:paraId="71E8EC9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88(Ι) του 2010</w:t>
            </w:r>
          </w:p>
          <w:p w14:paraId="0FC9586A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53(Ι) του 2011</w:t>
            </w:r>
          </w:p>
          <w:p w14:paraId="3A51A23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117(Ι) του 2011</w:t>
            </w:r>
          </w:p>
          <w:p w14:paraId="68C8EB4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145(Ι) του 2011</w:t>
            </w:r>
          </w:p>
          <w:p w14:paraId="7EF7C23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157(Ι) του 2011</w:t>
            </w:r>
          </w:p>
          <w:p w14:paraId="01E2784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198(Ι) του 2011</w:t>
            </w:r>
          </w:p>
          <w:p w14:paraId="682CC33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64(Ι) του 2012</w:t>
            </w:r>
          </w:p>
          <w:p w14:paraId="1849C7C9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98(Ι) του 2012</w:t>
            </w:r>
          </w:p>
          <w:p w14:paraId="61823A5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190(Ι) του 2012</w:t>
            </w:r>
          </w:p>
          <w:p w14:paraId="5C051104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203(Ι) του 2012</w:t>
            </w:r>
          </w:p>
          <w:p w14:paraId="496AB87E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6(Ι) του 2013</w:t>
            </w:r>
          </w:p>
          <w:p w14:paraId="1E34A52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90(Ι) του 2013</w:t>
            </w:r>
          </w:p>
          <w:p w14:paraId="64B0617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74(Ι) του 2014</w:t>
            </w:r>
          </w:p>
          <w:p w14:paraId="5D97268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75(Ι) του 2014</w:t>
            </w:r>
          </w:p>
          <w:p w14:paraId="0AAF151E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18(Ι) του 2015</w:t>
            </w:r>
          </w:p>
          <w:p w14:paraId="79C9D93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62(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2015</w:t>
            </w:r>
          </w:p>
          <w:p w14:paraId="4F9F117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63(Ι) του 2015</w:t>
            </w:r>
          </w:p>
          <w:p w14:paraId="246DA6B9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89(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2015</w:t>
            </w:r>
          </w:p>
          <w:p w14:paraId="1DA1CC4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120(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2015</w:t>
            </w:r>
          </w:p>
          <w:p w14:paraId="63271EDA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2016</w:t>
            </w:r>
          </w:p>
          <w:p w14:paraId="6ED78794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2016</w:t>
            </w:r>
          </w:p>
          <w:p w14:paraId="5D7938A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2016</w:t>
            </w:r>
          </w:p>
          <w:p w14:paraId="0E7FD45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2017</w:t>
            </w:r>
          </w:p>
          <w:p w14:paraId="590297E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33(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2017</w:t>
            </w:r>
          </w:p>
          <w:p w14:paraId="538A418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lastRenderedPageBreak/>
              <w:t>51(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2017</w:t>
            </w:r>
          </w:p>
          <w:p w14:paraId="7A008BE4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37(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2018</w:t>
            </w:r>
          </w:p>
          <w:p w14:paraId="02039E59" w14:textId="77777777" w:rsidR="00584692" w:rsidRPr="00BA0BEA" w:rsidRDefault="00584692" w:rsidP="00821431">
            <w:pPr>
              <w:autoSpaceDE w:val="0"/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83(Ι) του 2018</w:t>
            </w:r>
          </w:p>
          <w:p w14:paraId="5685E341" w14:textId="27BC6510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149(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2018</w:t>
            </w:r>
          </w:p>
          <w:p w14:paraId="696C2886" w14:textId="329153A7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163(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2019</w:t>
            </w:r>
          </w:p>
          <w:p w14:paraId="755B9CCE" w14:textId="51812262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38(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569B7BE7" w14:textId="3FFA1DF4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25ED2A81" w14:textId="0D5840CE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191(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647CAA1D" w14:textId="77777777" w:rsidR="00BB3BB9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192(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1EED6234" w14:textId="4D571A0B" w:rsidR="00BB3BB9" w:rsidRPr="0046769B" w:rsidRDefault="00BB3BB9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43(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</w:p>
          <w:p w14:paraId="13DD24BC" w14:textId="289A6940" w:rsidR="00BB3BB9" w:rsidRPr="0046769B" w:rsidRDefault="00BB3BB9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117(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</w:p>
          <w:p w14:paraId="25D6EA7C" w14:textId="28FB083A" w:rsidR="00BB3BB9" w:rsidRPr="0046769B" w:rsidRDefault="00BB3BB9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150(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</w:p>
          <w:p w14:paraId="704F4E15" w14:textId="63D419FF" w:rsidR="00584692" w:rsidRPr="0046769B" w:rsidRDefault="00BB3BB9" w:rsidP="00821431">
            <w:pPr>
              <w:spacing w:after="0" w:line="36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151(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  <w:r w:rsidR="00584692"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F05" w14:textId="7A1FBFCC" w:rsidR="00584692" w:rsidRPr="00BA0BEA" w:rsidRDefault="007631C8" w:rsidP="00BD1F5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ab/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Εταιρειώ</w:t>
            </w:r>
            <w:r w:rsidR="00041D41" w:rsidRPr="00BA0BEA">
              <w:rPr>
                <w:rFonts w:ascii="Arial" w:hAnsi="Arial" w:cs="Arial"/>
                <w:sz w:val="24"/>
                <w:szCs w:val="24"/>
                <w:lang w:val="el-GR"/>
              </w:rPr>
              <w:t>ν (Τροποποιητικός) Νόμος του 202</w:t>
            </w:r>
            <w:r w:rsidR="00BA0BEA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τον περί Εταιρειών Νόμο (που στο εξής θα αναφέρεται ως </w:t>
            </w:r>
            <w:r w:rsidR="008128BE" w:rsidRPr="00BA0BEA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>ο βασικός νόμος»).</w:t>
            </w:r>
          </w:p>
          <w:p w14:paraId="4076E22A" w14:textId="77777777" w:rsidR="00584692" w:rsidRPr="00BA0BEA" w:rsidRDefault="00584692" w:rsidP="007631C8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84692" w:rsidRPr="00B55AE1" w14:paraId="23AD5432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7C16" w14:textId="77777777" w:rsidR="00584692" w:rsidRPr="00BA0BEA" w:rsidRDefault="00584692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3E7F" w14:textId="77777777" w:rsidR="00584692" w:rsidRPr="00BA0BEA" w:rsidRDefault="00584692" w:rsidP="007631C8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84692" w:rsidRPr="00B55AE1" w14:paraId="0626DDF5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97ED" w14:textId="77777777" w:rsidR="007F328B" w:rsidRDefault="00584692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2EF5FC08" w14:textId="77777777" w:rsidR="007631C8" w:rsidRDefault="00584692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="00BB3BB9"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</w:t>
            </w:r>
            <w:r w:rsidR="00BB3BB9" w:rsidRPr="00BA0BEA">
              <w:rPr>
                <w:rFonts w:ascii="Arial" w:hAnsi="Arial" w:cs="Arial"/>
                <w:sz w:val="24"/>
                <w:szCs w:val="24"/>
                <w:lang w:val="el-GR"/>
              </w:rPr>
              <w:t>120</w:t>
            </w: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18B7C76" w14:textId="77777777" w:rsidR="007631C8" w:rsidRDefault="00584692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7F328B">
              <w:rPr>
                <w:rFonts w:ascii="Arial" w:hAnsi="Arial" w:cs="Arial"/>
                <w:sz w:val="24"/>
                <w:szCs w:val="24"/>
                <w:lang w:val="el-GR"/>
              </w:rPr>
              <w:t xml:space="preserve">βασικού </w:t>
            </w:r>
          </w:p>
          <w:p w14:paraId="4B83D5A2" w14:textId="2DD28D82" w:rsidR="00584692" w:rsidRPr="00BA0BEA" w:rsidRDefault="007F328B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νόμου</w:t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8F08" w14:textId="30FC0E32" w:rsidR="00584692" w:rsidRPr="00BD1F55" w:rsidRDefault="00BD1F55" w:rsidP="00BD1F5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57B0C" w:rsidRPr="00BD1F55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BB3BB9"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r w:rsidR="007F328B" w:rsidRPr="00BD1F55">
              <w:rPr>
                <w:rFonts w:ascii="Arial" w:hAnsi="Arial" w:cs="Arial"/>
                <w:sz w:val="24"/>
                <w:szCs w:val="24"/>
                <w:lang w:val="el-GR"/>
              </w:rPr>
              <w:t>άρθρο 120 του βασικού νόμου</w:t>
            </w:r>
            <w:r w:rsidR="00457B0C"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 τροποποιείται </w:t>
            </w:r>
            <w:r w:rsidR="007F328B" w:rsidRPr="00BD1F55">
              <w:rPr>
                <w:rFonts w:ascii="Arial" w:hAnsi="Arial" w:cs="Arial"/>
                <w:sz w:val="24"/>
                <w:szCs w:val="24"/>
                <w:lang w:val="el-GR"/>
              </w:rPr>
              <w:t>με την</w:t>
            </w:r>
            <w:r w:rsidR="000767F0">
              <w:rPr>
                <w:rFonts w:ascii="Arial" w:hAnsi="Arial" w:cs="Arial"/>
                <w:sz w:val="24"/>
                <w:szCs w:val="24"/>
                <w:lang w:val="el-GR"/>
              </w:rPr>
              <w:t xml:space="preserve"> αντικατάσταση, στο τέλος του εδαφίου (4) αυτού, του σημείου της τελείας με το σημείο της άνω </w:t>
            </w:r>
            <w:r w:rsidR="00B55AE1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κάτω </w:t>
            </w:r>
            <w:r w:rsidR="000767F0">
              <w:rPr>
                <w:rFonts w:ascii="Arial" w:hAnsi="Arial" w:cs="Arial"/>
                <w:sz w:val="24"/>
                <w:szCs w:val="24"/>
                <w:lang w:val="el-GR"/>
              </w:rPr>
              <w:t>τελείας και την</w:t>
            </w:r>
            <w:r w:rsidR="007F328B"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4289A">
              <w:rPr>
                <w:rFonts w:ascii="Arial" w:hAnsi="Arial" w:cs="Arial"/>
                <w:sz w:val="24"/>
                <w:szCs w:val="24"/>
                <w:lang w:val="el-GR"/>
              </w:rPr>
              <w:t>προσθήκη, αμέσως μετά,</w:t>
            </w:r>
            <w:r w:rsidR="007F328B"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 τ</w:t>
            </w:r>
            <w:r w:rsidR="00383B26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7F328B"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4289A">
              <w:rPr>
                <w:rFonts w:ascii="Arial" w:hAnsi="Arial" w:cs="Arial"/>
                <w:sz w:val="24"/>
                <w:szCs w:val="24"/>
                <w:lang w:val="el-GR"/>
              </w:rPr>
              <w:t>ακόλουθ</w:t>
            </w:r>
            <w:r w:rsidR="00383B26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83B26">
              <w:rPr>
                <w:rFonts w:ascii="Arial" w:hAnsi="Arial" w:cs="Arial"/>
                <w:sz w:val="24"/>
                <w:szCs w:val="24"/>
                <w:lang w:val="el-GR"/>
              </w:rPr>
              <w:t>επιφυλάξεων</w:t>
            </w:r>
            <w:r w:rsidR="0094289A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  <w:r w:rsidR="007F328B" w:rsidRPr="00BD1F55">
              <w:rPr>
                <w:rFonts w:ascii="Verdana" w:hAnsi="Verdana"/>
                <w:color w:val="000000"/>
                <w:sz w:val="23"/>
                <w:szCs w:val="23"/>
                <w:lang w:val="el-GR"/>
              </w:rPr>
              <w:t xml:space="preserve"> </w:t>
            </w:r>
          </w:p>
        </w:tc>
      </w:tr>
      <w:tr w:rsidR="0094289A" w:rsidRPr="00B55AE1" w14:paraId="7D17C653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DED5" w14:textId="77777777" w:rsidR="0094289A" w:rsidRPr="00BA0BEA" w:rsidRDefault="0094289A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644" w14:textId="77777777" w:rsidR="0094289A" w:rsidRPr="0094289A" w:rsidRDefault="0094289A" w:rsidP="0094289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4289A" w:rsidRPr="00B55AE1" w14:paraId="616A98E1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99C" w14:textId="370D72A6" w:rsidR="0094289A" w:rsidRDefault="0094289A" w:rsidP="00194570">
            <w:pPr>
              <w:spacing w:after="0" w:line="360" w:lineRule="auto"/>
              <w:ind w:right="-10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40D35D" w14:textId="61C0A882" w:rsidR="00194570" w:rsidRPr="00194570" w:rsidRDefault="00194570" w:rsidP="00194570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…..(Ι) του 2022.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84DB" w14:textId="69B4B3C0" w:rsidR="0094289A" w:rsidRPr="00194570" w:rsidRDefault="0094289A" w:rsidP="0094289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«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Νοείται ότι, ανεξαρτήτως των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διατάξεων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εδαφίου, από την ημερομηνία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έναρξης της ισχύος του περί Εταιρειών (Τροποποιητικού) Νόμου του 2022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C41A1">
              <w:rPr>
                <w:rFonts w:ascii="Arial" w:hAnsi="Arial" w:cs="Arial"/>
                <w:sz w:val="24"/>
                <w:szCs w:val="24"/>
                <w:lang w:val="el-GR"/>
              </w:rPr>
              <w:t>έως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31</w:t>
            </w:r>
            <w:r w:rsidRPr="0094289A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Δεκεμβρίου 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>2024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 το ανώτατο όριο της συνολικής επιβάρυνσης για τις ετήσιες εκθέσεις </w:t>
            </w:r>
            <w:r w:rsidR="00154C37">
              <w:rPr>
                <w:rFonts w:ascii="Arial" w:hAnsi="Arial" w:cs="Arial"/>
                <w:sz w:val="24"/>
                <w:szCs w:val="24"/>
                <w:lang w:val="el-GR"/>
              </w:rPr>
              <w:t xml:space="preserve">με ημερομηνία σύνταξης εντός των ετών 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2021 και 2022 δεν </w:t>
            </w:r>
            <w:r w:rsidR="00BE57C9">
              <w:rPr>
                <w:rFonts w:ascii="Arial" w:hAnsi="Arial" w:cs="Arial"/>
                <w:sz w:val="24"/>
                <w:szCs w:val="24"/>
                <w:lang w:val="el-GR"/>
              </w:rPr>
              <w:t>υπερβαίνει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 τα εκατό</w:t>
            </w:r>
            <w:r w:rsidR="005F72C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94289A">
              <w:rPr>
                <w:rFonts w:ascii="Arial" w:hAnsi="Arial" w:cs="Arial"/>
                <w:sz w:val="24"/>
                <w:szCs w:val="24"/>
                <w:lang w:val="el-GR"/>
              </w:rPr>
              <w:t xml:space="preserve"> πενήντα ευρώ (€150) για κάθε παράβαση</w:t>
            </w:r>
            <w:r w:rsidR="000767F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383B26" w:rsidRPr="00B55AE1" w14:paraId="385207A0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2850" w14:textId="77777777" w:rsidR="00383B26" w:rsidRDefault="00383B26" w:rsidP="00194570">
            <w:pPr>
              <w:spacing w:after="0" w:line="360" w:lineRule="auto"/>
              <w:ind w:right="-10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66FE" w14:textId="77777777" w:rsidR="00383B26" w:rsidRDefault="00383B26" w:rsidP="0094289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83B26" w:rsidRPr="00B55AE1" w14:paraId="4C1E9C18" w14:textId="77777777" w:rsidTr="00846A23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69EB" w14:textId="77777777" w:rsidR="00383B26" w:rsidRDefault="00383B26" w:rsidP="00194570">
            <w:pPr>
              <w:spacing w:after="0" w:line="360" w:lineRule="auto"/>
              <w:ind w:right="-10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4F3C" w14:textId="4C395146" w:rsidR="00383B26" w:rsidRDefault="00154C37" w:rsidP="0094289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Νοείται περαιτέρω ότι, </w:t>
            </w:r>
            <w:r w:rsidR="00B55AE1">
              <w:rPr>
                <w:rFonts w:ascii="Arial" w:hAnsi="Arial" w:cs="Arial"/>
                <w:sz w:val="24"/>
                <w:szCs w:val="24"/>
                <w:lang w:val="el-GR"/>
              </w:rPr>
              <w:t>σε περίπτωση κατά την οποία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 εταιρείες κατέβαλαν</w:t>
            </w:r>
            <w:r w:rsidR="00172EC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 πριν</w:t>
            </w:r>
            <w:r w:rsidR="007E2277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</w:t>
            </w:r>
            <w:r w:rsidR="007E2277">
              <w:rPr>
                <w:rFonts w:ascii="Arial" w:hAnsi="Arial" w:cs="Arial"/>
                <w:sz w:val="24"/>
                <w:szCs w:val="24"/>
                <w:lang w:val="el-GR"/>
              </w:rPr>
              <w:t xml:space="preserve">ημερομηνία 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>έναρξη</w:t>
            </w:r>
            <w:r w:rsidR="007E2277">
              <w:rPr>
                <w:rFonts w:ascii="Arial" w:hAnsi="Arial" w:cs="Arial"/>
                <w:sz w:val="24"/>
                <w:szCs w:val="24"/>
                <w:lang w:val="el-GR"/>
              </w:rPr>
              <w:t>ς της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 ισχύος του περί Εταιρειών (Τροποποιητικού) Νόμου του 2022, χρηματική επιβάρυνση </w:t>
            </w:r>
            <w:r w:rsidR="00B55AE1">
              <w:rPr>
                <w:rFonts w:ascii="Arial" w:hAnsi="Arial" w:cs="Arial"/>
                <w:sz w:val="24"/>
                <w:szCs w:val="24"/>
                <w:lang w:val="el-GR"/>
              </w:rPr>
              <w:t>η οποία</w:t>
            </w:r>
            <w:r w:rsidR="007931DD">
              <w:rPr>
                <w:rFonts w:ascii="Arial" w:hAnsi="Arial" w:cs="Arial"/>
                <w:sz w:val="24"/>
                <w:szCs w:val="24"/>
                <w:lang w:val="el-GR"/>
              </w:rPr>
              <w:t xml:space="preserve"> υπερβαίνει τα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 εκατό</w:t>
            </w:r>
            <w:r w:rsidR="005F72C1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 πενήντα ευρώ (€150) </w:t>
            </w:r>
            <w:r w:rsidR="00E055E4">
              <w:rPr>
                <w:rFonts w:ascii="Arial" w:hAnsi="Arial" w:cs="Arial"/>
                <w:sz w:val="24"/>
                <w:szCs w:val="24"/>
                <w:lang w:val="el-GR"/>
              </w:rPr>
              <w:t>για</w:t>
            </w:r>
            <w:r w:rsidR="00172EC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ετήσιες εκθέσεις με ημερομηνία σύνταξης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εντός των ετών 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2021 </w:t>
            </w:r>
            <w:r w:rsidR="00E36A0C">
              <w:rPr>
                <w:rFonts w:ascii="Arial" w:hAnsi="Arial" w:cs="Arial"/>
                <w:sz w:val="24"/>
                <w:szCs w:val="24"/>
                <w:lang w:val="el-GR"/>
              </w:rPr>
              <w:t>ή/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2022, </w:t>
            </w:r>
            <w:r w:rsidR="00715E1A">
              <w:rPr>
                <w:rFonts w:ascii="Arial" w:hAnsi="Arial" w:cs="Arial"/>
                <w:sz w:val="24"/>
                <w:szCs w:val="24"/>
                <w:lang w:val="el-GR"/>
              </w:rPr>
              <w:t>το ποσό</w:t>
            </w:r>
            <w:r w:rsidR="00383B26" w:rsidRPr="00383B26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διαφοράς</w:t>
            </w:r>
            <w:r w:rsidR="00D5786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57868">
              <w:rPr>
                <w:rFonts w:ascii="Arial" w:hAnsi="Arial" w:cs="Arial"/>
                <w:sz w:val="24"/>
                <w:szCs w:val="24"/>
                <w:lang w:val="el-GR"/>
              </w:rPr>
              <w:t>επιστρέφεται</w:t>
            </w:r>
            <w:r w:rsidR="00383B26">
              <w:rPr>
                <w:rFonts w:ascii="Arial" w:hAnsi="Arial" w:cs="Arial"/>
                <w:sz w:val="24"/>
                <w:szCs w:val="24"/>
                <w:lang w:val="el-GR"/>
              </w:rPr>
              <w:t>.».</w:t>
            </w:r>
          </w:p>
        </w:tc>
      </w:tr>
    </w:tbl>
    <w:p w14:paraId="498202B4" w14:textId="3955F531" w:rsidR="000D6510" w:rsidRDefault="000D6510" w:rsidP="00C53BF4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14:paraId="464ED12B" w14:textId="77777777" w:rsidR="008975F7" w:rsidRDefault="008975F7" w:rsidP="007631C8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14:paraId="5148C423" w14:textId="6F995C70" w:rsidR="00623A69" w:rsidRPr="000D67BC" w:rsidRDefault="00623A69" w:rsidP="00623A69">
      <w:pPr>
        <w:spacing w:after="0" w:line="360" w:lineRule="auto"/>
        <w:rPr>
          <w:rFonts w:ascii="Arial" w:hAnsi="Arial" w:cs="Arial"/>
          <w:bCs/>
          <w:lang w:val="el-GR"/>
        </w:rPr>
      </w:pPr>
    </w:p>
    <w:p w14:paraId="697C19D7" w14:textId="7E84C4D8" w:rsidR="00623A69" w:rsidRPr="000D67BC" w:rsidRDefault="00623A69" w:rsidP="00623A69">
      <w:pPr>
        <w:spacing w:after="0" w:line="360" w:lineRule="auto"/>
        <w:rPr>
          <w:rFonts w:ascii="Arial" w:hAnsi="Arial" w:cs="Arial"/>
          <w:bCs/>
          <w:lang w:val="el-GR"/>
        </w:rPr>
      </w:pPr>
      <w:r w:rsidRPr="000D67BC">
        <w:rPr>
          <w:rFonts w:ascii="Arial" w:hAnsi="Arial" w:cs="Arial"/>
          <w:bCs/>
          <w:lang w:val="el-GR"/>
        </w:rPr>
        <w:t>Αρ. Φακ.</w:t>
      </w:r>
      <w:r w:rsidR="007631C8" w:rsidRPr="000D67BC">
        <w:rPr>
          <w:rFonts w:ascii="Arial" w:hAnsi="Arial" w:cs="Arial"/>
          <w:bCs/>
          <w:lang w:val="el-GR"/>
        </w:rPr>
        <w:t xml:space="preserve">:   </w:t>
      </w:r>
      <w:r w:rsidR="00B47B45" w:rsidRPr="000D67BC">
        <w:rPr>
          <w:rFonts w:ascii="Arial" w:hAnsi="Arial" w:cs="Arial"/>
          <w:bCs/>
          <w:lang w:val="el-GR"/>
        </w:rPr>
        <w:t>23.02.063.009-2022</w:t>
      </w:r>
    </w:p>
    <w:p w14:paraId="5F6FCC3F" w14:textId="5EFB71AA" w:rsidR="00623A69" w:rsidRPr="000D67BC" w:rsidRDefault="00623A69" w:rsidP="00623A69">
      <w:pPr>
        <w:spacing w:after="0" w:line="360" w:lineRule="auto"/>
        <w:rPr>
          <w:rFonts w:ascii="Arial" w:hAnsi="Arial" w:cs="Arial"/>
          <w:bCs/>
          <w:lang w:val="el-GR"/>
        </w:rPr>
      </w:pPr>
    </w:p>
    <w:p w14:paraId="6F446C5C" w14:textId="0A456DCF" w:rsidR="00623A69" w:rsidRPr="000D67BC" w:rsidRDefault="00623A69" w:rsidP="00623A69">
      <w:pPr>
        <w:spacing w:after="0" w:line="360" w:lineRule="auto"/>
        <w:rPr>
          <w:rFonts w:ascii="Arial" w:hAnsi="Arial" w:cs="Arial"/>
          <w:bCs/>
          <w:lang w:val="el-GR"/>
        </w:rPr>
      </w:pPr>
      <w:r w:rsidRPr="000D67BC">
        <w:rPr>
          <w:rFonts w:ascii="Arial" w:hAnsi="Arial" w:cs="Arial"/>
          <w:bCs/>
          <w:lang w:val="el-GR"/>
        </w:rPr>
        <w:t>ΧΑ/</w:t>
      </w:r>
      <w:r w:rsidR="00740DA3" w:rsidRPr="000D67BC">
        <w:rPr>
          <w:rFonts w:ascii="Arial" w:hAnsi="Arial" w:cs="Arial"/>
          <w:bCs/>
          <w:lang w:val="el-GR"/>
        </w:rPr>
        <w:t>ΔΔ/</w:t>
      </w:r>
      <w:proofErr w:type="spellStart"/>
      <w:r w:rsidR="00821431" w:rsidRPr="000D67BC">
        <w:rPr>
          <w:rFonts w:ascii="Arial" w:hAnsi="Arial" w:cs="Arial"/>
          <w:bCs/>
          <w:lang w:val="el-GR"/>
        </w:rPr>
        <w:t>Ελ.Π</w:t>
      </w:r>
      <w:proofErr w:type="spellEnd"/>
    </w:p>
    <w:p w14:paraId="7853842F" w14:textId="77777777" w:rsidR="008975F7" w:rsidRPr="003424F4" w:rsidRDefault="008975F7" w:rsidP="00BA0B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3EB4B648" w14:textId="1FA5F4B6" w:rsidR="0074057A" w:rsidRPr="003424F4" w:rsidRDefault="0074057A">
      <w:pPr>
        <w:suppressAutoHyphens w:val="0"/>
        <w:autoSpaceDN/>
        <w:spacing w:line="259" w:lineRule="auto"/>
        <w:textAlignment w:val="auto"/>
        <w:rPr>
          <w:rFonts w:ascii="Arial" w:hAnsi="Arial" w:cs="Arial"/>
          <w:b/>
          <w:sz w:val="24"/>
          <w:szCs w:val="24"/>
          <w:lang w:val="el-GR"/>
        </w:rPr>
      </w:pPr>
    </w:p>
    <w:sectPr w:rsidR="0074057A" w:rsidRPr="003424F4" w:rsidSect="00574B1B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FCA1" w14:textId="77777777" w:rsidR="00832C05" w:rsidRDefault="00832C05" w:rsidP="00624112">
      <w:pPr>
        <w:spacing w:after="0"/>
      </w:pPr>
      <w:r>
        <w:separator/>
      </w:r>
    </w:p>
  </w:endnote>
  <w:endnote w:type="continuationSeparator" w:id="0">
    <w:p w14:paraId="570108BD" w14:textId="77777777" w:rsidR="00832C05" w:rsidRDefault="00832C05" w:rsidP="00624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F7E1" w14:textId="77777777" w:rsidR="00832C05" w:rsidRDefault="00832C05" w:rsidP="00624112">
      <w:pPr>
        <w:spacing w:after="0"/>
      </w:pPr>
      <w:r>
        <w:separator/>
      </w:r>
    </w:p>
  </w:footnote>
  <w:footnote w:type="continuationSeparator" w:id="0">
    <w:p w14:paraId="67B8DCD7" w14:textId="77777777" w:rsidR="00832C05" w:rsidRDefault="00832C05" w:rsidP="006241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579"/>
    <w:multiLevelType w:val="multilevel"/>
    <w:tmpl w:val="1138D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3D7"/>
    <w:multiLevelType w:val="multilevel"/>
    <w:tmpl w:val="1138D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3A21"/>
    <w:multiLevelType w:val="hybridMultilevel"/>
    <w:tmpl w:val="2CF2A0DC"/>
    <w:lvl w:ilvl="0" w:tplc="613214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23E78"/>
    <w:multiLevelType w:val="hybridMultilevel"/>
    <w:tmpl w:val="1144DA78"/>
    <w:lvl w:ilvl="0" w:tplc="756C3E64">
      <w:start w:val="3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2565146">
    <w:abstractNumId w:val="0"/>
  </w:num>
  <w:num w:numId="2" w16cid:durableId="492843714">
    <w:abstractNumId w:val="1"/>
  </w:num>
  <w:num w:numId="3" w16cid:durableId="170922148">
    <w:abstractNumId w:val="3"/>
  </w:num>
  <w:num w:numId="4" w16cid:durableId="28673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92"/>
    <w:rsid w:val="00037E31"/>
    <w:rsid w:val="00041D41"/>
    <w:rsid w:val="00061473"/>
    <w:rsid w:val="0007390B"/>
    <w:rsid w:val="00074AFE"/>
    <w:rsid w:val="000767F0"/>
    <w:rsid w:val="000D6510"/>
    <w:rsid w:val="000D67BC"/>
    <w:rsid w:val="001121BA"/>
    <w:rsid w:val="0015370F"/>
    <w:rsid w:val="00154C37"/>
    <w:rsid w:val="00172EC7"/>
    <w:rsid w:val="00175671"/>
    <w:rsid w:val="001912AF"/>
    <w:rsid w:val="00192645"/>
    <w:rsid w:val="00194570"/>
    <w:rsid w:val="001D265D"/>
    <w:rsid w:val="001F3881"/>
    <w:rsid w:val="00214749"/>
    <w:rsid w:val="00280BEB"/>
    <w:rsid w:val="002B0C5C"/>
    <w:rsid w:val="002D0240"/>
    <w:rsid w:val="002F7EAB"/>
    <w:rsid w:val="00336B81"/>
    <w:rsid w:val="003424F4"/>
    <w:rsid w:val="003440DB"/>
    <w:rsid w:val="00383B26"/>
    <w:rsid w:val="003D4739"/>
    <w:rsid w:val="00410D52"/>
    <w:rsid w:val="00456DF2"/>
    <w:rsid w:val="00457B0C"/>
    <w:rsid w:val="0046769B"/>
    <w:rsid w:val="004C1069"/>
    <w:rsid w:val="004C1B39"/>
    <w:rsid w:val="004C41A1"/>
    <w:rsid w:val="004F2712"/>
    <w:rsid w:val="005745C8"/>
    <w:rsid w:val="00574B1B"/>
    <w:rsid w:val="00584692"/>
    <w:rsid w:val="005873B4"/>
    <w:rsid w:val="005C5E8D"/>
    <w:rsid w:val="005F72C1"/>
    <w:rsid w:val="00602450"/>
    <w:rsid w:val="006173AA"/>
    <w:rsid w:val="00623A69"/>
    <w:rsid w:val="00624112"/>
    <w:rsid w:val="006411D1"/>
    <w:rsid w:val="00641E55"/>
    <w:rsid w:val="0067739B"/>
    <w:rsid w:val="006A55C7"/>
    <w:rsid w:val="006C76F1"/>
    <w:rsid w:val="006F4B3B"/>
    <w:rsid w:val="00715E1A"/>
    <w:rsid w:val="00716E43"/>
    <w:rsid w:val="0073502E"/>
    <w:rsid w:val="0074057A"/>
    <w:rsid w:val="00740DA3"/>
    <w:rsid w:val="007631C8"/>
    <w:rsid w:val="007931DD"/>
    <w:rsid w:val="0079575D"/>
    <w:rsid w:val="007D061B"/>
    <w:rsid w:val="007E2277"/>
    <w:rsid w:val="007F328B"/>
    <w:rsid w:val="008128BE"/>
    <w:rsid w:val="008150F5"/>
    <w:rsid w:val="00821431"/>
    <w:rsid w:val="00832C05"/>
    <w:rsid w:val="00846A23"/>
    <w:rsid w:val="00857FAE"/>
    <w:rsid w:val="008975F7"/>
    <w:rsid w:val="008A02DF"/>
    <w:rsid w:val="008A3775"/>
    <w:rsid w:val="008B3811"/>
    <w:rsid w:val="008E046A"/>
    <w:rsid w:val="0091202D"/>
    <w:rsid w:val="0094289A"/>
    <w:rsid w:val="009557DC"/>
    <w:rsid w:val="00957151"/>
    <w:rsid w:val="009637BC"/>
    <w:rsid w:val="009C252F"/>
    <w:rsid w:val="00A303D3"/>
    <w:rsid w:val="00A95FC4"/>
    <w:rsid w:val="00B013B7"/>
    <w:rsid w:val="00B341D8"/>
    <w:rsid w:val="00B47B45"/>
    <w:rsid w:val="00B55AE1"/>
    <w:rsid w:val="00B5716D"/>
    <w:rsid w:val="00B82D51"/>
    <w:rsid w:val="00B84A75"/>
    <w:rsid w:val="00BA0BEA"/>
    <w:rsid w:val="00BB3BB9"/>
    <w:rsid w:val="00BD1F55"/>
    <w:rsid w:val="00BE57C9"/>
    <w:rsid w:val="00C26F4C"/>
    <w:rsid w:val="00C32D73"/>
    <w:rsid w:val="00C53BF4"/>
    <w:rsid w:val="00C96080"/>
    <w:rsid w:val="00CC2F5A"/>
    <w:rsid w:val="00CD67CD"/>
    <w:rsid w:val="00D53BD6"/>
    <w:rsid w:val="00D57868"/>
    <w:rsid w:val="00E055E4"/>
    <w:rsid w:val="00E05AE3"/>
    <w:rsid w:val="00E2116E"/>
    <w:rsid w:val="00E36A0C"/>
    <w:rsid w:val="00EB353C"/>
    <w:rsid w:val="00EC1651"/>
    <w:rsid w:val="00EC6936"/>
    <w:rsid w:val="00ED6751"/>
    <w:rsid w:val="00F1325B"/>
    <w:rsid w:val="00F95CE3"/>
    <w:rsid w:val="00FB3916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3A27"/>
  <w15:chartTrackingRefBased/>
  <w15:docId w15:val="{F6F53C77-5A2A-497E-838C-8FAFE8D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9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846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41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11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1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112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B8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367C-488D-4528-9A23-16934DF6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Vasiliou</dc:creator>
  <cp:keywords/>
  <dc:description/>
  <cp:lastModifiedBy>Chryso Antoniou</cp:lastModifiedBy>
  <cp:revision>82</cp:revision>
  <cp:lastPrinted>2022-02-15T08:34:00Z</cp:lastPrinted>
  <dcterms:created xsi:type="dcterms:W3CDTF">2022-01-10T10:05:00Z</dcterms:created>
  <dcterms:modified xsi:type="dcterms:W3CDTF">2022-06-07T15:35:00Z</dcterms:modified>
</cp:coreProperties>
</file>