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A1DE" w14:textId="5DDD28C9" w:rsidR="009A3376" w:rsidRPr="001850BD" w:rsidRDefault="00BD6443" w:rsidP="00BD644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1850BD">
        <w:rPr>
          <w:rFonts w:ascii="Arial" w:hAnsi="Arial" w:cs="Arial"/>
          <w:b/>
          <w:bCs/>
          <w:sz w:val="24"/>
          <w:szCs w:val="24"/>
          <w:lang w:val="el-GR"/>
        </w:rPr>
        <w:t>ΝΟΜΟ</w:t>
      </w:r>
      <w:r w:rsidR="00104025">
        <w:rPr>
          <w:rFonts w:ascii="Arial" w:hAnsi="Arial" w:cs="Arial"/>
          <w:b/>
          <w:bCs/>
          <w:sz w:val="24"/>
          <w:szCs w:val="24"/>
          <w:lang w:val="el-GR"/>
        </w:rPr>
        <w:t>Σ</w:t>
      </w:r>
      <w:r w:rsidRPr="001850BD">
        <w:rPr>
          <w:rFonts w:ascii="Arial" w:hAnsi="Arial" w:cs="Arial"/>
          <w:b/>
          <w:bCs/>
          <w:sz w:val="24"/>
          <w:szCs w:val="24"/>
          <w:lang w:val="el-GR"/>
        </w:rPr>
        <w:t xml:space="preserve"> ΠΟΥ ΤΡΟΠΟΠΟΙΕΙ ΤΟΥΣ ΠΕΡΙ ΣΥΝΤΑΞΙΟΔΟΤΙΚΩΝ ΩΦΕΛΗΜΑΤΩΝ ΚΡΑΤΙΚΩΝ ΥΠΑΛΛΗΛΩΝ ΚΑΙ ΥΠΑΛΛΗΛΩΝ ΤΟΥ </w:t>
      </w:r>
    </w:p>
    <w:p w14:paraId="1C5E4F35" w14:textId="77777777" w:rsidR="009A3376" w:rsidRPr="001850BD" w:rsidRDefault="00BD6443" w:rsidP="00BD644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1850BD">
        <w:rPr>
          <w:rFonts w:ascii="Arial" w:hAnsi="Arial" w:cs="Arial"/>
          <w:b/>
          <w:bCs/>
          <w:sz w:val="24"/>
          <w:szCs w:val="24"/>
          <w:lang w:val="el-GR"/>
        </w:rPr>
        <w:t xml:space="preserve">ΕΥΡΥΤΕΡΟΥ ΔΗΜΟΣΙΟΥ ΤΟΜΕΑ ΠΕΡΙΛΑΜΒΑΝΟΜΕΝΩΝ ΚΑΙ ΤΩΝ ΑΡΧΩΝ ΤΟΠΙΚΗΣ ΑΥΤΟΔΙΟΙΚΗΣΗΣ (ΔΙΑΤΑΞΕΙΣ ΓΕΝΙΚΗΣ ΕΦΑΡΜΟΓΗΣ) </w:t>
      </w:r>
    </w:p>
    <w:p w14:paraId="63EC849C" w14:textId="7C8903DE" w:rsidR="00BD6443" w:rsidRDefault="00BD6443" w:rsidP="00BD644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1850BD">
        <w:rPr>
          <w:rFonts w:ascii="Arial" w:hAnsi="Arial" w:cs="Arial"/>
          <w:b/>
          <w:bCs/>
          <w:sz w:val="24"/>
          <w:szCs w:val="24"/>
          <w:lang w:val="el-GR"/>
        </w:rPr>
        <w:t>ΝΟΜΟΥΣ ΤΟΥ 2012 ΕΩΣ 2020</w:t>
      </w:r>
    </w:p>
    <w:p w14:paraId="2F6662BF" w14:textId="77777777" w:rsidR="00065D08" w:rsidRPr="001850BD" w:rsidRDefault="00065D08" w:rsidP="00BD644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</w:p>
    <w:tbl>
      <w:tblPr>
        <w:tblW w:w="5000" w:type="pct"/>
        <w:jc w:val="center"/>
        <w:tblCellMar>
          <w:top w:w="57" w:type="dxa"/>
          <w:left w:w="85" w:type="dxa"/>
          <w:bottom w:w="227" w:type="dxa"/>
          <w:right w:w="85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6520"/>
      </w:tblGrid>
      <w:tr w:rsidR="00065D08" w:rsidRPr="007D0BBD" w14:paraId="768EE292" w14:textId="77777777" w:rsidTr="00065D08">
        <w:trPr>
          <w:trHeight w:val="253"/>
          <w:jc w:val="center"/>
        </w:trPr>
        <w:tc>
          <w:tcPr>
            <w:tcW w:w="1985" w:type="dxa"/>
          </w:tcPr>
          <w:p w14:paraId="11B378D2" w14:textId="77777777" w:rsidR="00065D08" w:rsidRPr="004C1455" w:rsidRDefault="00065D08" w:rsidP="00065D08">
            <w:pPr>
              <w:spacing w:after="0"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654" w:type="dxa"/>
            <w:gridSpan w:val="2"/>
          </w:tcPr>
          <w:p w14:paraId="2D2EC6D7" w14:textId="77777777" w:rsidR="00065D08" w:rsidRPr="00065D08" w:rsidRDefault="00065D08" w:rsidP="00065D0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65D08">
              <w:rPr>
                <w:rFonts w:ascii="Arial" w:hAnsi="Arial" w:cs="Arial"/>
                <w:sz w:val="24"/>
                <w:szCs w:val="24"/>
                <w:lang w:val="el-GR"/>
              </w:rPr>
              <w:tab/>
              <w:t>Η Βουλή των Αντιπροσώπων ψηφίζει ως ακολούθως:</w:t>
            </w:r>
          </w:p>
        </w:tc>
      </w:tr>
      <w:tr w:rsidR="00BD6443" w:rsidRPr="00104025" w14:paraId="43082E2D" w14:textId="77777777" w:rsidTr="00065D08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</w:tcPr>
          <w:p w14:paraId="76071626" w14:textId="77777777" w:rsidR="00BD6443" w:rsidRPr="00F71D30" w:rsidRDefault="00BD6443" w:rsidP="006535D2">
            <w:pPr>
              <w:tabs>
                <w:tab w:val="left" w:pos="0"/>
              </w:tabs>
              <w:spacing w:after="0" w:line="360" w:lineRule="auto"/>
              <w:ind w:right="-2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71D30">
              <w:rPr>
                <w:rFonts w:ascii="Arial" w:hAnsi="Arial" w:cs="Arial"/>
                <w:sz w:val="24"/>
                <w:szCs w:val="24"/>
                <w:lang w:val="el-GR"/>
              </w:rPr>
              <w:t>Συνοπτικός τίτλος.</w:t>
            </w:r>
          </w:p>
          <w:p w14:paraId="08E9982F" w14:textId="77777777" w:rsidR="00BD6443" w:rsidRPr="00F71D30" w:rsidRDefault="00BD6443" w:rsidP="009A3376">
            <w:pPr>
              <w:tabs>
                <w:tab w:val="left" w:pos="0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216(Ι) του 2012</w:t>
            </w:r>
          </w:p>
          <w:p w14:paraId="047FF79A" w14:textId="77777777" w:rsidR="00BD6443" w:rsidRPr="00D81507" w:rsidRDefault="00BD6443" w:rsidP="009A3376">
            <w:pPr>
              <w:tabs>
                <w:tab w:val="left" w:pos="0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52</w:t>
            </w:r>
            <w:r w:rsidRPr="00D81507">
              <w:rPr>
                <w:rFonts w:ascii="Arial" w:hAnsi="Arial" w:cs="Arial"/>
                <w:sz w:val="24"/>
                <w:szCs w:val="24"/>
                <w:lang w:val="el-GR"/>
              </w:rPr>
              <w:t xml:space="preserve">(Ι) του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2015</w:t>
            </w:r>
          </w:p>
          <w:p w14:paraId="3C4A8F16" w14:textId="77777777" w:rsidR="00BD6443" w:rsidRPr="00D81507" w:rsidRDefault="00BD6443" w:rsidP="009A3376">
            <w:pPr>
              <w:tabs>
                <w:tab w:val="left" w:pos="0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183</w:t>
            </w:r>
            <w:r w:rsidRPr="00D81507">
              <w:rPr>
                <w:rFonts w:ascii="Arial" w:hAnsi="Arial" w:cs="Arial"/>
                <w:sz w:val="24"/>
                <w:szCs w:val="24"/>
                <w:lang w:val="el-GR"/>
              </w:rPr>
              <w:t>(Ι) του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2015</w:t>
            </w:r>
            <w:r w:rsidRPr="00D8150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67</w:t>
            </w:r>
            <w:r w:rsidRPr="00D81507">
              <w:rPr>
                <w:rFonts w:ascii="Arial" w:hAnsi="Arial" w:cs="Arial"/>
                <w:sz w:val="24"/>
                <w:szCs w:val="24"/>
                <w:lang w:val="el-GR"/>
              </w:rPr>
              <w:t xml:space="preserve">(Ι) του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2017</w:t>
            </w:r>
          </w:p>
          <w:p w14:paraId="1360050E" w14:textId="77777777" w:rsidR="00BD6443" w:rsidRDefault="00BD6443" w:rsidP="009A3376">
            <w:pPr>
              <w:tabs>
                <w:tab w:val="left" w:pos="0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177</w:t>
            </w:r>
            <w:r w:rsidRPr="00D81507">
              <w:rPr>
                <w:rFonts w:ascii="Arial" w:hAnsi="Arial" w:cs="Arial"/>
                <w:sz w:val="24"/>
                <w:szCs w:val="24"/>
                <w:lang w:val="el-GR"/>
              </w:rPr>
              <w:t xml:space="preserve">(I) του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2017</w:t>
            </w:r>
          </w:p>
          <w:p w14:paraId="65AE9731" w14:textId="02FB84A7" w:rsidR="00BD6443" w:rsidRPr="00D81507" w:rsidRDefault="00BD6443" w:rsidP="009A3376">
            <w:pPr>
              <w:tabs>
                <w:tab w:val="left" w:pos="0"/>
              </w:tabs>
              <w:spacing w:after="0" w:line="360" w:lineRule="auto"/>
              <w:ind w:right="57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16(Ι) του 2020</w:t>
            </w:r>
            <w:r w:rsidR="00C43DA0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14:paraId="75EB19F9" w14:textId="77777777" w:rsidR="00BD6443" w:rsidRPr="00F71D30" w:rsidRDefault="00BD6443" w:rsidP="006535D2">
            <w:pPr>
              <w:tabs>
                <w:tab w:val="left" w:pos="0"/>
              </w:tabs>
              <w:spacing w:after="0" w:line="360" w:lineRule="auto"/>
              <w:ind w:right="-2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654" w:type="dxa"/>
            <w:gridSpan w:val="2"/>
          </w:tcPr>
          <w:p w14:paraId="57506A3B" w14:textId="5C67DD35" w:rsidR="00BD6443" w:rsidRPr="00F71D30" w:rsidRDefault="00BD6443" w:rsidP="0025064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71D30">
              <w:rPr>
                <w:rFonts w:ascii="Arial" w:hAnsi="Arial" w:cs="Arial"/>
                <w:sz w:val="24"/>
                <w:szCs w:val="24"/>
                <w:lang w:val="el-GR"/>
              </w:rPr>
              <w:t>1.</w:t>
            </w:r>
            <w:r w:rsidRPr="00F71D30">
              <w:rPr>
                <w:rFonts w:ascii="Arial" w:hAnsi="Arial" w:cs="Arial"/>
                <w:sz w:val="24"/>
                <w:szCs w:val="24"/>
                <w:lang w:val="el-GR"/>
              </w:rPr>
              <w:tab/>
              <w:t xml:space="preserve">O παρών Νόμος θα αναφέρεται ως ο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περί Συνταξιοδοτικών Ωφελημάτων Κρατικών Υπαλλήλων και Υπαλλήλων του Ευρύτερου Δημόσιου Τομέα </w:t>
            </w:r>
            <w:r w:rsidR="00104025">
              <w:rPr>
                <w:rFonts w:ascii="Arial" w:hAnsi="Arial" w:cs="Arial"/>
                <w:sz w:val="24"/>
                <w:szCs w:val="24"/>
                <w:lang w:val="el-GR"/>
              </w:rPr>
              <w:t>π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εριλαμβανομένων και των Αρχών Τοπικής Αυτοδιοίκησης (Διατάξεις Γενικής Εφαρμογής) (Τροποποιητικός) Νόμος του 202</w:t>
            </w:r>
            <w:r w:rsidR="00C43DA0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F71D30">
              <w:rPr>
                <w:rFonts w:ascii="Arial" w:hAnsi="Arial" w:cs="Arial"/>
                <w:sz w:val="24"/>
                <w:szCs w:val="24"/>
                <w:lang w:val="el-GR"/>
              </w:rPr>
              <w:t xml:space="preserve">και θα διαβάζεται μαζί με τους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περί Συνταξιοδοτικών Ωφελημάτων Κρατικών Υπαλλήλων και Υπαλλήλων του Ευρύτερου Δημόσιου Τομέα </w:t>
            </w:r>
            <w:r w:rsidR="00104025">
              <w:rPr>
                <w:rFonts w:ascii="Arial" w:hAnsi="Arial" w:cs="Arial"/>
                <w:sz w:val="24"/>
                <w:szCs w:val="24"/>
                <w:lang w:val="el-GR"/>
              </w:rPr>
              <w:t>π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εριλαμβανομένων και των Αρχών Τοπικής Αυτοδιοίκησης (Διατάξεις Γενικής Εφαρμογής) Νόμους του 2012 έως 2020 </w:t>
            </w:r>
            <w:r w:rsidRPr="00F71D30">
              <w:rPr>
                <w:rFonts w:ascii="Arial" w:hAnsi="Arial" w:cs="Arial"/>
                <w:sz w:val="24"/>
                <w:szCs w:val="24"/>
                <w:lang w:val="el-GR"/>
              </w:rPr>
              <w:t xml:space="preserve">(που στο εξής θα αναφέρονται ως «ο βασικός νόμος») και ο βασικός νόμος και ο παρών Νόμος θα αναφέρονται μαζί ως οι περί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Συνταξιοδοτικών Ωφελημάτων Κρατικών Υπαλλήλων και Υπαλλήλων του Ευρύτερου Δημόσιου Τομέα </w:t>
            </w:r>
            <w:r w:rsidR="00104025">
              <w:rPr>
                <w:rFonts w:ascii="Arial" w:hAnsi="Arial" w:cs="Arial"/>
                <w:sz w:val="24"/>
                <w:szCs w:val="24"/>
                <w:lang w:val="el-GR"/>
              </w:rPr>
              <w:t>π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εριλαμβανομένων και των Αρχών Τοπικής Αυτοδιοίκησης (Διατάξεις Γενικής Εφαρμογής) Νόμοι του 2012 έως 202</w:t>
            </w:r>
            <w:r w:rsidR="00C43DA0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Pr="00F71D30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</w:tr>
      <w:tr w:rsidR="00BD6443" w:rsidRPr="00104025" w14:paraId="37D19E2E" w14:textId="77777777" w:rsidTr="00065D08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</w:tcPr>
          <w:p w14:paraId="2BE05EE6" w14:textId="77777777" w:rsidR="00BD6443" w:rsidRPr="00F71D30" w:rsidRDefault="00BD6443" w:rsidP="006535D2">
            <w:pPr>
              <w:tabs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654" w:type="dxa"/>
            <w:gridSpan w:val="2"/>
          </w:tcPr>
          <w:p w14:paraId="59A55C45" w14:textId="77777777" w:rsidR="00BD6443" w:rsidRPr="00F71D30" w:rsidRDefault="00BD6443" w:rsidP="006535D2">
            <w:pPr>
              <w:tabs>
                <w:tab w:val="left" w:pos="567"/>
                <w:tab w:val="left" w:pos="238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BD6443" w:rsidRPr="00104025" w14:paraId="32ABDCFA" w14:textId="77777777" w:rsidTr="00065D08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</w:tcPr>
          <w:p w14:paraId="7FAE1FC0" w14:textId="77777777" w:rsidR="00BD6443" w:rsidRPr="00F71D30" w:rsidRDefault="00BD6443" w:rsidP="006535D2">
            <w:pPr>
              <w:tabs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71D30">
              <w:rPr>
                <w:rFonts w:ascii="Arial" w:hAnsi="Arial" w:cs="Arial"/>
                <w:sz w:val="24"/>
                <w:szCs w:val="24"/>
                <w:lang w:val="el-GR"/>
              </w:rPr>
              <w:t>Τροποποίηση</w:t>
            </w:r>
          </w:p>
          <w:p w14:paraId="56050F2C" w14:textId="77777777" w:rsidR="00BD6443" w:rsidRPr="00F71D30" w:rsidRDefault="00BD6443" w:rsidP="00BD6443">
            <w:pPr>
              <w:tabs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71D30">
              <w:rPr>
                <w:rFonts w:ascii="Arial" w:hAnsi="Arial" w:cs="Arial"/>
                <w:sz w:val="24"/>
                <w:szCs w:val="24"/>
                <w:lang w:val="el-GR"/>
              </w:rPr>
              <w:t xml:space="preserve">του άρθρου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12</w:t>
            </w:r>
            <w:r w:rsidRPr="00F71D30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βασικού νόμου.</w:t>
            </w:r>
          </w:p>
        </w:tc>
        <w:tc>
          <w:tcPr>
            <w:tcW w:w="7654" w:type="dxa"/>
            <w:gridSpan w:val="2"/>
          </w:tcPr>
          <w:p w14:paraId="1B23DFBB" w14:textId="77777777" w:rsidR="00BD6443" w:rsidRPr="00F71D30" w:rsidRDefault="00BD6443" w:rsidP="0025064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71D30">
              <w:rPr>
                <w:rFonts w:ascii="Arial" w:hAnsi="Arial" w:cs="Arial"/>
                <w:sz w:val="24"/>
                <w:szCs w:val="24"/>
                <w:lang w:val="el-GR"/>
              </w:rPr>
              <w:t>2.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F71D30">
              <w:rPr>
                <w:rFonts w:ascii="Arial" w:hAnsi="Arial" w:cs="Arial"/>
                <w:sz w:val="24"/>
                <w:szCs w:val="24"/>
                <w:lang w:val="el-GR"/>
              </w:rPr>
              <w:t xml:space="preserve">Το άρθρο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12</w:t>
            </w:r>
            <w:r w:rsidRPr="00F71D30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βασικού νόμου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τροποποιείται ως ακολούθως</w:t>
            </w:r>
            <w:r w:rsidRPr="00F71D30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</w:p>
          <w:p w14:paraId="4A4ACD1E" w14:textId="77777777" w:rsidR="00BD6443" w:rsidRPr="00F71D30" w:rsidRDefault="00BD6443" w:rsidP="006535D2">
            <w:pPr>
              <w:tabs>
                <w:tab w:val="left" w:pos="567"/>
                <w:tab w:val="left" w:pos="238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BD6443" w:rsidRPr="00104025" w14:paraId="38E1FAB5" w14:textId="77777777" w:rsidTr="00065D08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</w:tcPr>
          <w:p w14:paraId="06493DF0" w14:textId="77777777" w:rsidR="00BD6443" w:rsidRPr="00F71D30" w:rsidRDefault="00BD6443" w:rsidP="006535D2">
            <w:pPr>
              <w:tabs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654" w:type="dxa"/>
            <w:gridSpan w:val="2"/>
          </w:tcPr>
          <w:p w14:paraId="42D9CEDE" w14:textId="77777777" w:rsidR="00BD6443" w:rsidRPr="00F71D30" w:rsidRDefault="00BD6443" w:rsidP="006535D2">
            <w:pPr>
              <w:tabs>
                <w:tab w:val="left" w:pos="567"/>
                <w:tab w:val="left" w:pos="238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BD6443" w:rsidRPr="00104025" w14:paraId="477B2F2A" w14:textId="77777777" w:rsidTr="00065D08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</w:tcPr>
          <w:p w14:paraId="505BC659" w14:textId="77777777" w:rsidR="00BD6443" w:rsidRPr="00F71D30" w:rsidRDefault="00BD6443" w:rsidP="006535D2">
            <w:pPr>
              <w:tabs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</w:tcPr>
          <w:p w14:paraId="6BD520F1" w14:textId="77777777" w:rsidR="00BD6443" w:rsidRDefault="00BD6443" w:rsidP="006535D2">
            <w:pPr>
              <w:tabs>
                <w:tab w:val="left" w:pos="567"/>
                <w:tab w:val="left" w:pos="2385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(α)</w:t>
            </w:r>
          </w:p>
        </w:tc>
        <w:tc>
          <w:tcPr>
            <w:tcW w:w="6520" w:type="dxa"/>
          </w:tcPr>
          <w:p w14:paraId="5937A9D5" w14:textId="4220BCCD" w:rsidR="00BD6443" w:rsidRPr="009C1E52" w:rsidRDefault="00BD6443" w:rsidP="006535D2">
            <w:pPr>
              <w:tabs>
                <w:tab w:val="left" w:pos="567"/>
                <w:tab w:val="left" w:pos="2385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Με την προσθήκη,</w:t>
            </w:r>
            <w:r w:rsidR="00104025">
              <w:rPr>
                <w:rFonts w:ascii="Arial" w:hAnsi="Arial" w:cs="Arial"/>
                <w:sz w:val="24"/>
                <w:szCs w:val="24"/>
                <w:lang w:val="el-GR"/>
              </w:rPr>
              <w:t xml:space="preserve"> αμέσως μετά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την πρώτη επιφύλαξη</w:t>
            </w:r>
            <w:r w:rsidR="00C43DA0">
              <w:rPr>
                <w:rFonts w:ascii="Arial" w:hAnsi="Arial" w:cs="Arial"/>
                <w:sz w:val="24"/>
                <w:szCs w:val="24"/>
                <w:lang w:val="el-GR"/>
              </w:rPr>
              <w:t xml:space="preserve"> αυτού,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της ακόλουθης νέας επιφύλαξης: </w:t>
            </w:r>
          </w:p>
        </w:tc>
      </w:tr>
      <w:tr w:rsidR="009A3376" w:rsidRPr="00104025" w14:paraId="7160AF95" w14:textId="77777777" w:rsidTr="00065D08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</w:tcPr>
          <w:p w14:paraId="34C8A15E" w14:textId="77777777" w:rsidR="009A3376" w:rsidRPr="00F71D30" w:rsidRDefault="009A3376" w:rsidP="006535D2">
            <w:pPr>
              <w:tabs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</w:tcPr>
          <w:p w14:paraId="0FE35397" w14:textId="77777777" w:rsidR="009A3376" w:rsidRDefault="009A3376" w:rsidP="006535D2">
            <w:pPr>
              <w:tabs>
                <w:tab w:val="left" w:pos="567"/>
                <w:tab w:val="left" w:pos="2385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520" w:type="dxa"/>
          </w:tcPr>
          <w:p w14:paraId="1F0A836D" w14:textId="77777777" w:rsidR="009A3376" w:rsidRDefault="009A3376" w:rsidP="006535D2">
            <w:pPr>
              <w:tabs>
                <w:tab w:val="left" w:pos="567"/>
                <w:tab w:val="left" w:pos="2385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BD6443" w:rsidRPr="00104025" w14:paraId="6255D4C5" w14:textId="77777777" w:rsidTr="00065D08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</w:tcPr>
          <w:p w14:paraId="5BCD2F7B" w14:textId="77777777" w:rsidR="00BD6443" w:rsidRPr="00F71D30" w:rsidRDefault="00BD6443" w:rsidP="006535D2">
            <w:pPr>
              <w:tabs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</w:tcPr>
          <w:p w14:paraId="69A357A0" w14:textId="77777777" w:rsidR="00BD6443" w:rsidRDefault="00BD6443" w:rsidP="006535D2">
            <w:pPr>
              <w:tabs>
                <w:tab w:val="left" w:pos="567"/>
                <w:tab w:val="left" w:pos="2385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520" w:type="dxa"/>
          </w:tcPr>
          <w:p w14:paraId="3A657C14" w14:textId="7CF7CA88" w:rsidR="00BD6443" w:rsidRDefault="009A3376" w:rsidP="006535D2">
            <w:pPr>
              <w:tabs>
                <w:tab w:val="left" w:pos="567"/>
                <w:tab w:val="left" w:pos="2385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  <w:t xml:space="preserve">«Νοείται περαιτέρω ότι, σε περίπτωση χήρας με την οποία ο θανών τέλεσε περισσότερους από έναν γάμους, για σκοπούς υπολογισμού του χρονικού διαστήματος των πέντε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(5) ετών</w:t>
            </w:r>
            <w:r w:rsidR="00104025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συνυπολογίζεται η χρονική διάρκεια </w:t>
            </w:r>
            <w:proofErr w:type="spellStart"/>
            <w:r w:rsidR="00FB2611">
              <w:rPr>
                <w:rFonts w:ascii="Arial" w:hAnsi="Arial" w:cs="Arial"/>
                <w:sz w:val="24"/>
                <w:szCs w:val="24"/>
                <w:lang w:val="el-GR"/>
              </w:rPr>
              <w:t>έ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κ</w:t>
            </w:r>
            <w:r w:rsidR="00FB2611"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στου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τέτοιου γάμου</w:t>
            </w:r>
            <w:r w:rsidR="00FB2611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»</w:t>
            </w:r>
            <w:r w:rsidR="00FB2611">
              <w:rPr>
                <w:rFonts w:ascii="Arial" w:hAnsi="Arial" w:cs="Arial"/>
                <w:sz w:val="24"/>
                <w:szCs w:val="24"/>
                <w:lang w:val="el-GR"/>
              </w:rPr>
              <w:t>˙</w:t>
            </w:r>
          </w:p>
        </w:tc>
      </w:tr>
      <w:tr w:rsidR="009A3376" w:rsidRPr="00104025" w14:paraId="32EE2A41" w14:textId="77777777" w:rsidTr="00065D08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</w:tcPr>
          <w:p w14:paraId="453423EA" w14:textId="75D7CD89" w:rsidR="009A3376" w:rsidRPr="00F71D30" w:rsidRDefault="009A3376" w:rsidP="006535D2">
            <w:pPr>
              <w:tabs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</w:tcPr>
          <w:p w14:paraId="7C52A810" w14:textId="77777777" w:rsidR="009A3376" w:rsidRDefault="009A3376" w:rsidP="006535D2">
            <w:pPr>
              <w:tabs>
                <w:tab w:val="left" w:pos="567"/>
                <w:tab w:val="left" w:pos="2385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520" w:type="dxa"/>
          </w:tcPr>
          <w:p w14:paraId="0A0668C6" w14:textId="77777777" w:rsidR="009A3376" w:rsidRDefault="009A3376" w:rsidP="006535D2">
            <w:pPr>
              <w:tabs>
                <w:tab w:val="left" w:pos="567"/>
                <w:tab w:val="left" w:pos="2385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BD6443" w:rsidRPr="00104025" w14:paraId="0B8AD04E" w14:textId="77777777" w:rsidTr="00065D08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</w:tcPr>
          <w:p w14:paraId="11D06AAD" w14:textId="77777777" w:rsidR="00BD6443" w:rsidRPr="00F71D30" w:rsidRDefault="00BD6443" w:rsidP="006535D2">
            <w:pPr>
              <w:tabs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</w:tcPr>
          <w:p w14:paraId="039931EA" w14:textId="77777777" w:rsidR="00BD6443" w:rsidRPr="00F71D30" w:rsidRDefault="00BD6443" w:rsidP="006535D2">
            <w:pPr>
              <w:tabs>
                <w:tab w:val="left" w:pos="567"/>
                <w:tab w:val="left" w:pos="2385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(β)</w:t>
            </w:r>
          </w:p>
        </w:tc>
        <w:tc>
          <w:tcPr>
            <w:tcW w:w="6520" w:type="dxa"/>
          </w:tcPr>
          <w:p w14:paraId="271C80ED" w14:textId="1386C86B" w:rsidR="00BD6443" w:rsidRPr="00F71D30" w:rsidRDefault="00BD6443" w:rsidP="00BD6443">
            <w:pPr>
              <w:tabs>
                <w:tab w:val="left" w:pos="567"/>
                <w:tab w:val="left" w:pos="2385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με την αντικατάσταση, στη δεύτερη επιφύλαξη</w:t>
            </w:r>
            <w:r w:rsidR="00C43DA0">
              <w:rPr>
                <w:rFonts w:ascii="Arial" w:hAnsi="Arial" w:cs="Arial"/>
                <w:sz w:val="24"/>
                <w:szCs w:val="24"/>
                <w:lang w:val="el-GR"/>
              </w:rPr>
              <w:t xml:space="preserve"> αυτού,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της φράσης «Νοείται περαιτέρω ότι,»</w:t>
            </w:r>
            <w:r w:rsidR="00104025">
              <w:rPr>
                <w:rFonts w:ascii="Arial" w:hAnsi="Arial" w:cs="Arial"/>
                <w:sz w:val="24"/>
                <w:szCs w:val="24"/>
                <w:lang w:val="el-GR"/>
              </w:rPr>
              <w:t xml:space="preserve"> (πρώτη γραμμή)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με τη φράση «Νοείται έτι περαιτέρω ότι,»</w:t>
            </w:r>
            <w:r w:rsidR="00FB2611">
              <w:rPr>
                <w:rFonts w:ascii="Arial" w:hAnsi="Arial" w:cs="Arial"/>
                <w:sz w:val="24"/>
                <w:szCs w:val="24"/>
                <w:lang w:val="el-GR"/>
              </w:rPr>
              <w:t>˙</w:t>
            </w:r>
            <w:r w:rsidR="00104025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</w:t>
            </w:r>
          </w:p>
        </w:tc>
      </w:tr>
      <w:tr w:rsidR="00BD6443" w:rsidRPr="00104025" w14:paraId="6BA5F27A" w14:textId="77777777" w:rsidTr="00065D08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</w:tcPr>
          <w:p w14:paraId="6765E965" w14:textId="77777777" w:rsidR="00BD6443" w:rsidRPr="00F71D30" w:rsidRDefault="00BD6443" w:rsidP="006535D2">
            <w:pPr>
              <w:tabs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</w:tcPr>
          <w:p w14:paraId="4BB7B636" w14:textId="77777777" w:rsidR="00BD6443" w:rsidRDefault="00BD6443" w:rsidP="006535D2">
            <w:pPr>
              <w:tabs>
                <w:tab w:val="left" w:pos="567"/>
                <w:tab w:val="left" w:pos="2385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520" w:type="dxa"/>
          </w:tcPr>
          <w:p w14:paraId="61D60C62" w14:textId="77777777" w:rsidR="00BD6443" w:rsidRDefault="00BD6443" w:rsidP="006535D2">
            <w:pPr>
              <w:tabs>
                <w:tab w:val="left" w:pos="567"/>
                <w:tab w:val="left" w:pos="238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BD6443" w:rsidRPr="00104025" w14:paraId="42077928" w14:textId="77777777" w:rsidTr="00065D08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</w:tcPr>
          <w:p w14:paraId="58541B38" w14:textId="77777777" w:rsidR="00BD6443" w:rsidRPr="00F71D30" w:rsidRDefault="00BD6443" w:rsidP="006535D2">
            <w:pPr>
              <w:tabs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</w:tcPr>
          <w:p w14:paraId="2DA51893" w14:textId="77777777" w:rsidR="00BD6443" w:rsidRDefault="00BD6443" w:rsidP="006535D2">
            <w:pPr>
              <w:tabs>
                <w:tab w:val="left" w:pos="567"/>
                <w:tab w:val="left" w:pos="2385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(γ)</w:t>
            </w:r>
          </w:p>
        </w:tc>
        <w:tc>
          <w:tcPr>
            <w:tcW w:w="6520" w:type="dxa"/>
          </w:tcPr>
          <w:p w14:paraId="31AC8217" w14:textId="616DCAC7" w:rsidR="00BD6443" w:rsidRPr="00F71D30" w:rsidRDefault="00BD6443" w:rsidP="00BD6443">
            <w:pPr>
              <w:tabs>
                <w:tab w:val="left" w:pos="567"/>
                <w:tab w:val="left" w:pos="2385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με την αντικατάσταση, στην τρίτη επιφύλαξη </w:t>
            </w:r>
            <w:r w:rsidR="00C43DA0">
              <w:rPr>
                <w:rFonts w:ascii="Arial" w:hAnsi="Arial" w:cs="Arial"/>
                <w:sz w:val="24"/>
                <w:szCs w:val="24"/>
                <w:lang w:val="el-GR"/>
              </w:rPr>
              <w:t xml:space="preserve">αυτού,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της φράσης «Νοείται έτι περαιτέρω ότι,»</w:t>
            </w:r>
            <w:r w:rsidR="0010402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104025">
              <w:rPr>
                <w:rFonts w:ascii="Arial" w:hAnsi="Arial" w:cs="Arial"/>
                <w:sz w:val="24"/>
                <w:szCs w:val="24"/>
                <w:lang w:val="el-GR"/>
              </w:rPr>
              <w:t>(πρώτη γραμμή)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με τη φράση «Νοείται έτι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έτι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περαιτέρω ότι,».</w:t>
            </w:r>
          </w:p>
        </w:tc>
      </w:tr>
    </w:tbl>
    <w:p w14:paraId="33BFD457" w14:textId="77777777" w:rsidR="00BD6443" w:rsidRDefault="00BD6443" w:rsidP="00BD6443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  <w:lang w:val="el-GR"/>
        </w:rPr>
      </w:pPr>
    </w:p>
    <w:p w14:paraId="3FDE2491" w14:textId="77777777" w:rsidR="002D0CE7" w:rsidRDefault="002D0CE7" w:rsidP="002D0CE7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el-GR"/>
        </w:rPr>
      </w:pPr>
    </w:p>
    <w:p w14:paraId="01A05AB0" w14:textId="482D9436" w:rsidR="009A3376" w:rsidRDefault="009A3376" w:rsidP="008F25EC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Αρ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Φακ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.:  </w:t>
      </w:r>
      <w:r w:rsidR="00E03DB2">
        <w:rPr>
          <w:rFonts w:ascii="Arial" w:hAnsi="Arial" w:cs="Arial"/>
          <w:sz w:val="24"/>
          <w:szCs w:val="24"/>
          <w:lang w:val="el-GR"/>
        </w:rPr>
        <w:t>23.02.063.004-2022</w:t>
      </w:r>
    </w:p>
    <w:p w14:paraId="01BBBF3C" w14:textId="77777777" w:rsidR="002D0CE7" w:rsidRDefault="002D0CE7" w:rsidP="00C926D7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  <w:lang w:val="el-GR"/>
        </w:rPr>
      </w:pPr>
    </w:p>
    <w:p w14:paraId="4DECF26C" w14:textId="40829289" w:rsidR="00C926D7" w:rsidRDefault="008F25EC" w:rsidP="00C926D7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 w:rsidRPr="009A3376">
        <w:rPr>
          <w:rFonts w:ascii="Arial" w:hAnsi="Arial" w:cs="Arial"/>
          <w:sz w:val="24"/>
          <w:szCs w:val="24"/>
          <w:lang w:val="el-GR"/>
        </w:rPr>
        <w:t>ΑΔ/</w:t>
      </w:r>
      <w:r w:rsidR="009A3376" w:rsidRPr="009A3376">
        <w:rPr>
          <w:rFonts w:ascii="Arial" w:hAnsi="Arial" w:cs="Arial"/>
          <w:sz w:val="24"/>
          <w:szCs w:val="24"/>
          <w:lang w:val="el-GR"/>
        </w:rPr>
        <w:t>ΧΚ</w:t>
      </w:r>
      <w:r w:rsidR="00C61785">
        <w:rPr>
          <w:rFonts w:ascii="Arial" w:hAnsi="Arial" w:cs="Arial"/>
          <w:sz w:val="24"/>
          <w:szCs w:val="24"/>
          <w:lang w:val="el-GR"/>
        </w:rPr>
        <w:t>/ΝΚ</w:t>
      </w:r>
      <w:r w:rsidR="009A3376" w:rsidRPr="009A3376">
        <w:rPr>
          <w:rFonts w:ascii="Arial" w:hAnsi="Arial" w:cs="Arial"/>
          <w:sz w:val="24"/>
          <w:szCs w:val="24"/>
          <w:lang w:val="el-GR"/>
        </w:rPr>
        <w:t>/</w:t>
      </w:r>
      <w:proofErr w:type="spellStart"/>
      <w:r w:rsidR="009A3376" w:rsidRPr="009A3376">
        <w:rPr>
          <w:rFonts w:ascii="Arial" w:hAnsi="Arial" w:cs="Arial"/>
          <w:sz w:val="24"/>
          <w:szCs w:val="24"/>
          <w:lang w:val="el-GR"/>
        </w:rPr>
        <w:t>Ελ.Π</w:t>
      </w:r>
      <w:proofErr w:type="spellEnd"/>
    </w:p>
    <w:sectPr w:rsidR="00C926D7" w:rsidSect="009A3376">
      <w:headerReference w:type="default" r:id="rId6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A8CC1" w14:textId="77777777" w:rsidR="002A225F" w:rsidRDefault="002A225F" w:rsidP="00BD6443">
      <w:pPr>
        <w:spacing w:after="0" w:line="240" w:lineRule="auto"/>
      </w:pPr>
      <w:r>
        <w:separator/>
      </w:r>
    </w:p>
  </w:endnote>
  <w:endnote w:type="continuationSeparator" w:id="0">
    <w:p w14:paraId="7A2DBC22" w14:textId="77777777" w:rsidR="002A225F" w:rsidRDefault="002A225F" w:rsidP="00BD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5C4A6" w14:textId="77777777" w:rsidR="002A225F" w:rsidRDefault="002A225F" w:rsidP="00BD6443">
      <w:pPr>
        <w:spacing w:after="0" w:line="240" w:lineRule="auto"/>
      </w:pPr>
      <w:r>
        <w:separator/>
      </w:r>
    </w:p>
  </w:footnote>
  <w:footnote w:type="continuationSeparator" w:id="0">
    <w:p w14:paraId="1C305190" w14:textId="77777777" w:rsidR="002A225F" w:rsidRDefault="002A225F" w:rsidP="00BD6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208E" w14:textId="77777777" w:rsidR="00517D10" w:rsidRPr="00B75B9E" w:rsidRDefault="00CE778F">
    <w:pPr>
      <w:pStyle w:val="Header"/>
      <w:jc w:val="center"/>
      <w:rPr>
        <w:rFonts w:ascii="Arial" w:hAnsi="Arial" w:cs="Arial"/>
        <w:sz w:val="24"/>
        <w:szCs w:val="24"/>
      </w:rPr>
    </w:pPr>
    <w:r w:rsidRPr="00B75B9E">
      <w:rPr>
        <w:rFonts w:ascii="Arial" w:hAnsi="Arial" w:cs="Arial"/>
        <w:sz w:val="24"/>
        <w:szCs w:val="24"/>
      </w:rPr>
      <w:fldChar w:fldCharType="begin"/>
    </w:r>
    <w:r w:rsidRPr="00B75B9E">
      <w:rPr>
        <w:rFonts w:ascii="Arial" w:hAnsi="Arial" w:cs="Arial"/>
        <w:sz w:val="24"/>
        <w:szCs w:val="24"/>
      </w:rPr>
      <w:instrText xml:space="preserve"> PAGE   \* MERGEFORMAT </w:instrText>
    </w:r>
    <w:r w:rsidRPr="00B75B9E">
      <w:rPr>
        <w:rFonts w:ascii="Arial" w:hAnsi="Arial" w:cs="Arial"/>
        <w:sz w:val="24"/>
        <w:szCs w:val="24"/>
      </w:rPr>
      <w:fldChar w:fldCharType="separate"/>
    </w:r>
    <w:r w:rsidR="008F25EC">
      <w:rPr>
        <w:rFonts w:ascii="Arial" w:hAnsi="Arial" w:cs="Arial"/>
        <w:noProof/>
        <w:sz w:val="24"/>
        <w:szCs w:val="24"/>
      </w:rPr>
      <w:t>3</w:t>
    </w:r>
    <w:r w:rsidRPr="00B75B9E">
      <w:rPr>
        <w:rFonts w:ascii="Arial" w:hAnsi="Arial" w:cs="Arial"/>
        <w:sz w:val="24"/>
        <w:szCs w:val="24"/>
      </w:rPr>
      <w:fldChar w:fldCharType="end"/>
    </w:r>
  </w:p>
  <w:p w14:paraId="5B29DBCC" w14:textId="77777777" w:rsidR="00517D10" w:rsidRDefault="002A22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43"/>
    <w:rsid w:val="000429AE"/>
    <w:rsid w:val="00065D08"/>
    <w:rsid w:val="000C248E"/>
    <w:rsid w:val="00104025"/>
    <w:rsid w:val="00135C09"/>
    <w:rsid w:val="001850BD"/>
    <w:rsid w:val="001C1444"/>
    <w:rsid w:val="001E3D31"/>
    <w:rsid w:val="002324FA"/>
    <w:rsid w:val="00250643"/>
    <w:rsid w:val="002A225F"/>
    <w:rsid w:val="002D0CE7"/>
    <w:rsid w:val="002E4FF5"/>
    <w:rsid w:val="0037168B"/>
    <w:rsid w:val="003C6E65"/>
    <w:rsid w:val="00521BAD"/>
    <w:rsid w:val="00692CE3"/>
    <w:rsid w:val="007149DE"/>
    <w:rsid w:val="00736CFC"/>
    <w:rsid w:val="008446CA"/>
    <w:rsid w:val="008F25EC"/>
    <w:rsid w:val="009412D0"/>
    <w:rsid w:val="009A3376"/>
    <w:rsid w:val="00AD62D6"/>
    <w:rsid w:val="00BD6443"/>
    <w:rsid w:val="00C43DA0"/>
    <w:rsid w:val="00C61785"/>
    <w:rsid w:val="00C92037"/>
    <w:rsid w:val="00C926D7"/>
    <w:rsid w:val="00CB6E7E"/>
    <w:rsid w:val="00CE778F"/>
    <w:rsid w:val="00E03DB2"/>
    <w:rsid w:val="00EA116A"/>
    <w:rsid w:val="00FB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4585"/>
  <w15:chartTrackingRefBased/>
  <w15:docId w15:val="{8AB238E8-C396-4F9F-91D8-AA185C0E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443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D6443"/>
    <w:rPr>
      <w:rFonts w:ascii="Calibri" w:eastAsia="Calibri" w:hAnsi="Calibri" w:cs="Times New Roman"/>
      <w:sz w:val="20"/>
      <w:szCs w:val="20"/>
      <w:lang w:eastAsia="x-none"/>
    </w:rPr>
  </w:style>
  <w:style w:type="paragraph" w:styleId="Footer">
    <w:name w:val="footer"/>
    <w:basedOn w:val="Normal"/>
    <w:link w:val="FooterChar"/>
    <w:uiPriority w:val="99"/>
    <w:unhideWhenUsed/>
    <w:rsid w:val="00BD6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4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Fotini Demetriade</dc:creator>
  <cp:keywords/>
  <dc:description/>
  <cp:lastModifiedBy>PARASKEVA ELENI</cp:lastModifiedBy>
  <cp:revision>30</cp:revision>
  <dcterms:created xsi:type="dcterms:W3CDTF">2021-04-08T11:16:00Z</dcterms:created>
  <dcterms:modified xsi:type="dcterms:W3CDTF">2022-05-12T14:15:00Z</dcterms:modified>
</cp:coreProperties>
</file>