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2DE1" w14:textId="5C87C561" w:rsidR="00DB61AA" w:rsidRPr="00164F88" w:rsidRDefault="00C87990" w:rsidP="00DB61A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ΝΟΜΟΣ ΠΟΥ ΤΡΟΠΟΠΟΙΕΙ ΤΟΝ </w:t>
      </w:r>
      <w:r w:rsidR="00DB61AA">
        <w:rPr>
          <w:rFonts w:ascii="Arial" w:hAnsi="Arial" w:cs="Arial"/>
          <w:b/>
        </w:rPr>
        <w:t>ΠΕΡΙ ΤΗΣ ΙΔΡΥΣΗΣ ΥΦΥΠΟΥΡΓΕΙΟΥ ΚΟΙΝΩΝΙΚΗΣ ΠΡΟΝΟΙΑΣ ΚΑΙ ΠΕΡΙ ΣΥΝΑΦΩΝ ΘΕΜΑΤΩΝ ΝΟΜΟ ΤΟΥ 202</w:t>
      </w:r>
      <w:r w:rsidR="007E40A1">
        <w:rPr>
          <w:rFonts w:ascii="Arial" w:hAnsi="Arial" w:cs="Arial"/>
          <w:b/>
        </w:rPr>
        <w:t>1</w:t>
      </w:r>
    </w:p>
    <w:p w14:paraId="3F7411EF" w14:textId="77777777" w:rsidR="00DB61AA" w:rsidRDefault="00DB61AA" w:rsidP="00DB61AA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8"/>
        <w:gridCol w:w="2043"/>
        <w:gridCol w:w="5527"/>
      </w:tblGrid>
      <w:tr w:rsidR="00DB61AA" w:rsidRPr="00C25D0F" w14:paraId="709BCE1A" w14:textId="77777777" w:rsidTr="00F21542">
        <w:tc>
          <w:tcPr>
            <w:tcW w:w="2068" w:type="dxa"/>
            <w:shd w:val="clear" w:color="auto" w:fill="auto"/>
          </w:tcPr>
          <w:p w14:paraId="62E0E214" w14:textId="77777777" w:rsidR="00DB61AA" w:rsidRPr="00FC116A" w:rsidRDefault="00DB61AA" w:rsidP="00FC11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570" w:type="dxa"/>
            <w:gridSpan w:val="2"/>
            <w:shd w:val="clear" w:color="auto" w:fill="auto"/>
          </w:tcPr>
          <w:p w14:paraId="684DF474" w14:textId="0AC90039" w:rsidR="00DB61AA" w:rsidRPr="003B3289" w:rsidRDefault="00FD0F1A" w:rsidP="00FD0F1A">
            <w:pPr>
              <w:tabs>
                <w:tab w:val="left" w:pos="522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B61AA" w:rsidRPr="003B3289">
              <w:rPr>
                <w:rFonts w:ascii="Arial" w:hAnsi="Arial" w:cs="Arial"/>
              </w:rPr>
              <w:t>Η Βουλή των Αντιπροσώπων ψηφίζει ως ακολούθως:</w:t>
            </w:r>
          </w:p>
          <w:p w14:paraId="11A7E228" w14:textId="77777777" w:rsidR="00DB61AA" w:rsidRPr="00C25D0F" w:rsidRDefault="00DB61AA" w:rsidP="00FC11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61AA" w:rsidRPr="00C25D0F" w14:paraId="442FF73B" w14:textId="77777777" w:rsidTr="00F21542">
        <w:tc>
          <w:tcPr>
            <w:tcW w:w="2068" w:type="dxa"/>
            <w:shd w:val="clear" w:color="auto" w:fill="auto"/>
          </w:tcPr>
          <w:p w14:paraId="243EB6C8" w14:textId="77777777" w:rsidR="00DB61AA" w:rsidRPr="00FC116A" w:rsidRDefault="00DB61AA" w:rsidP="00FC116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C116A">
              <w:rPr>
                <w:rFonts w:ascii="Arial" w:hAnsi="Arial" w:cs="Arial"/>
              </w:rPr>
              <w:t>Συνοπτικός τίτλος.</w:t>
            </w:r>
          </w:p>
          <w:p w14:paraId="5A9E4D0F" w14:textId="77777777" w:rsidR="00DB61AA" w:rsidRPr="00FC116A" w:rsidRDefault="00DB61AA" w:rsidP="00FD0F1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FC116A">
              <w:rPr>
                <w:rFonts w:ascii="Arial" w:hAnsi="Arial" w:cs="Arial"/>
              </w:rPr>
              <w:t>89 (Ι) του 2021</w:t>
            </w:r>
            <w:r w:rsidR="00F21542" w:rsidRPr="00FC116A">
              <w:rPr>
                <w:rFonts w:ascii="Arial" w:hAnsi="Arial" w:cs="Arial"/>
              </w:rPr>
              <w:t>.</w:t>
            </w:r>
          </w:p>
          <w:p w14:paraId="05FF0C73" w14:textId="77777777" w:rsidR="00DB61AA" w:rsidRPr="00FC116A" w:rsidRDefault="00DB61AA" w:rsidP="00FC11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570" w:type="dxa"/>
            <w:gridSpan w:val="2"/>
            <w:shd w:val="clear" w:color="auto" w:fill="auto"/>
          </w:tcPr>
          <w:p w14:paraId="595C4781" w14:textId="061B6F0B" w:rsidR="00DB61AA" w:rsidRPr="00C25D0F" w:rsidRDefault="00DB61AA" w:rsidP="00FD0F1A">
            <w:pPr>
              <w:tabs>
                <w:tab w:val="left" w:pos="52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C25D0F">
              <w:rPr>
                <w:rFonts w:ascii="Arial" w:hAnsi="Arial" w:cs="Arial"/>
              </w:rPr>
              <w:t xml:space="preserve">1. </w:t>
            </w:r>
            <w:r w:rsidRPr="00C25D0F">
              <w:rPr>
                <w:rFonts w:ascii="Arial" w:hAnsi="Arial" w:cs="Arial"/>
              </w:rPr>
              <w:tab/>
              <w:t xml:space="preserve">Ο παρών Νόμος θα αναφέρεται ως ο </w:t>
            </w:r>
            <w:r>
              <w:rPr>
                <w:rFonts w:ascii="Arial" w:hAnsi="Arial" w:cs="Arial"/>
              </w:rPr>
              <w:t>περί της Ίδρυσης Υφυπουργείου Κοινωνικής Πρόνοιας και περί Συναφών Θεμάτων (Τροποποιητικός) Νόμος του 2022</w:t>
            </w:r>
            <w:r w:rsidRPr="00C25D0F">
              <w:rPr>
                <w:rFonts w:ascii="Arial" w:hAnsi="Arial" w:cs="Arial"/>
              </w:rPr>
              <w:t xml:space="preserve"> και θα διαβάζεται μαζί με τ</w:t>
            </w:r>
            <w:r>
              <w:rPr>
                <w:rFonts w:ascii="Arial" w:hAnsi="Arial" w:cs="Arial"/>
              </w:rPr>
              <w:t>ον</w:t>
            </w:r>
            <w:r w:rsidRPr="00C25D0F">
              <w:rPr>
                <w:rFonts w:ascii="Arial" w:hAnsi="Arial" w:cs="Arial"/>
              </w:rPr>
              <w:t xml:space="preserve"> περί </w:t>
            </w:r>
            <w:r>
              <w:rPr>
                <w:rFonts w:ascii="Arial" w:hAnsi="Arial" w:cs="Arial"/>
              </w:rPr>
              <w:t>της Ίδρυσης Υφυπουργείου Κοινωνικής Πρόνοιας και περί Συναφών Θεμάτων Νόμο</w:t>
            </w:r>
            <w:r w:rsidR="00FC116A">
              <w:rPr>
                <w:rFonts w:ascii="Arial" w:hAnsi="Arial" w:cs="Arial"/>
              </w:rPr>
              <w:t xml:space="preserve"> του 2021</w:t>
            </w:r>
            <w:r>
              <w:rPr>
                <w:rFonts w:ascii="Arial" w:hAnsi="Arial" w:cs="Arial"/>
              </w:rPr>
              <w:t xml:space="preserve"> </w:t>
            </w:r>
            <w:r w:rsidRPr="00C25D0F">
              <w:rPr>
                <w:rFonts w:ascii="Arial" w:hAnsi="Arial" w:cs="Arial"/>
              </w:rPr>
              <w:t xml:space="preserve">(που στο εξής θα αναφέρεται ως </w:t>
            </w:r>
            <w:r w:rsidR="00FC116A">
              <w:rPr>
                <w:rFonts w:ascii="Arial" w:hAnsi="Arial" w:cs="Arial"/>
              </w:rPr>
              <w:t>«</w:t>
            </w:r>
            <w:r w:rsidRPr="00C25D0F">
              <w:rPr>
                <w:rFonts w:ascii="Arial" w:hAnsi="Arial" w:cs="Arial"/>
              </w:rPr>
              <w:t>ο βασικός νόμος»</w:t>
            </w:r>
            <w:r>
              <w:rPr>
                <w:rFonts w:ascii="Arial" w:hAnsi="Arial" w:cs="Arial"/>
              </w:rPr>
              <w:t xml:space="preserve">), </w:t>
            </w:r>
            <w:r w:rsidRPr="00C25D0F">
              <w:rPr>
                <w:rFonts w:ascii="Arial" w:hAnsi="Arial" w:cs="Arial"/>
              </w:rPr>
              <w:t>και ο βασικός νόμος</w:t>
            </w:r>
            <w:r>
              <w:rPr>
                <w:rFonts w:ascii="Arial" w:hAnsi="Arial" w:cs="Arial"/>
              </w:rPr>
              <w:t xml:space="preserve"> </w:t>
            </w:r>
            <w:r w:rsidRPr="00C25D0F">
              <w:rPr>
                <w:rFonts w:ascii="Arial" w:hAnsi="Arial" w:cs="Arial"/>
              </w:rPr>
              <w:t xml:space="preserve">και ο παρών Νόμος θα αναφέρονται μαζί ως </w:t>
            </w:r>
            <w:r>
              <w:rPr>
                <w:rFonts w:ascii="Arial" w:hAnsi="Arial" w:cs="Arial"/>
              </w:rPr>
              <w:t xml:space="preserve">οι </w:t>
            </w:r>
            <w:r w:rsidRPr="00C25D0F">
              <w:rPr>
                <w:rFonts w:ascii="Arial" w:hAnsi="Arial" w:cs="Arial"/>
              </w:rPr>
              <w:t xml:space="preserve">περί </w:t>
            </w:r>
            <w:r>
              <w:rPr>
                <w:rFonts w:ascii="Arial" w:hAnsi="Arial" w:cs="Arial"/>
              </w:rPr>
              <w:t>της Ίδρυσης Υφυπουργείου Κοινωνικής Πρόνοιας και περί Συναφών Θεμάτων Συναφών Θεμάτων Νόμοι του 2021 και 2022.</w:t>
            </w:r>
          </w:p>
        </w:tc>
      </w:tr>
      <w:tr w:rsidR="00DB61AA" w:rsidRPr="00C25D0F" w14:paraId="78B7656C" w14:textId="77777777" w:rsidTr="00F21542">
        <w:tc>
          <w:tcPr>
            <w:tcW w:w="2068" w:type="dxa"/>
            <w:shd w:val="clear" w:color="auto" w:fill="auto"/>
          </w:tcPr>
          <w:p w14:paraId="7F2C6454" w14:textId="77777777" w:rsidR="00DB61AA" w:rsidRPr="00FC116A" w:rsidRDefault="00DB61AA" w:rsidP="00FC11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570" w:type="dxa"/>
            <w:gridSpan w:val="2"/>
            <w:shd w:val="clear" w:color="auto" w:fill="auto"/>
          </w:tcPr>
          <w:p w14:paraId="6511D8CF" w14:textId="77777777" w:rsidR="00DB61AA" w:rsidRPr="00C25D0F" w:rsidRDefault="00DB61AA" w:rsidP="00FC116A">
            <w:pPr>
              <w:spacing w:line="360" w:lineRule="auto"/>
              <w:ind w:left="567" w:hanging="567"/>
              <w:jc w:val="both"/>
              <w:rPr>
                <w:rFonts w:ascii="Arial" w:hAnsi="Arial" w:cs="Arial"/>
              </w:rPr>
            </w:pPr>
          </w:p>
        </w:tc>
      </w:tr>
      <w:tr w:rsidR="00396399" w:rsidRPr="00C25D0F" w14:paraId="14407193" w14:textId="77777777" w:rsidTr="00F3277D">
        <w:tc>
          <w:tcPr>
            <w:tcW w:w="2068" w:type="dxa"/>
            <w:shd w:val="clear" w:color="auto" w:fill="auto"/>
          </w:tcPr>
          <w:p w14:paraId="5558119D" w14:textId="1096378A" w:rsidR="00396399" w:rsidRPr="00FC116A" w:rsidRDefault="00396399" w:rsidP="00F3277D">
            <w:pPr>
              <w:spacing w:line="360" w:lineRule="auto"/>
              <w:rPr>
                <w:rFonts w:ascii="Arial" w:hAnsi="Arial" w:cs="Arial"/>
              </w:rPr>
            </w:pPr>
            <w:r w:rsidRPr="00FC116A">
              <w:rPr>
                <w:rFonts w:ascii="Arial" w:hAnsi="Arial" w:cs="Arial"/>
              </w:rPr>
              <w:t>Τροποποίηση του άρθρου 14 του βασικού νόμου.</w:t>
            </w:r>
          </w:p>
        </w:tc>
        <w:tc>
          <w:tcPr>
            <w:tcW w:w="7570" w:type="dxa"/>
            <w:gridSpan w:val="2"/>
            <w:shd w:val="clear" w:color="auto" w:fill="auto"/>
          </w:tcPr>
          <w:p w14:paraId="0DD07146" w14:textId="77777777" w:rsidR="00396399" w:rsidRDefault="00396399" w:rsidP="00396399">
            <w:pPr>
              <w:tabs>
                <w:tab w:val="left" w:pos="522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ab/>
              <w:t xml:space="preserve">Το άρθρο 14 </w:t>
            </w:r>
            <w:r w:rsidRPr="00D11F48">
              <w:rPr>
                <w:rFonts w:ascii="Arial" w:hAnsi="Arial" w:cs="Arial"/>
              </w:rPr>
              <w:t>του βασικού νόμου τροποποιείται</w:t>
            </w:r>
            <w:r>
              <w:rPr>
                <w:rFonts w:ascii="Arial" w:hAnsi="Arial" w:cs="Arial"/>
              </w:rPr>
              <w:t xml:space="preserve"> με την προσθήκη, αμέσως μετά το εδάφιο (5) αυτού, των ακόλουθων νέων εδαφίων:</w:t>
            </w:r>
          </w:p>
          <w:p w14:paraId="2EA893F2" w14:textId="77777777" w:rsidR="00396399" w:rsidRDefault="00396399" w:rsidP="00F3277D">
            <w:pPr>
              <w:tabs>
                <w:tab w:val="left" w:pos="52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96399" w:rsidRPr="00C25D0F" w14:paraId="7FA56DBC" w14:textId="77777777" w:rsidTr="00C513AC">
        <w:tc>
          <w:tcPr>
            <w:tcW w:w="2068" w:type="dxa"/>
            <w:shd w:val="clear" w:color="auto" w:fill="auto"/>
          </w:tcPr>
          <w:p w14:paraId="575B0FE5" w14:textId="77777777" w:rsidR="00396399" w:rsidRPr="00FC116A" w:rsidRDefault="00396399" w:rsidP="00FC11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</w:tcPr>
          <w:p w14:paraId="4DAA3DEA" w14:textId="77777777" w:rsidR="00396399" w:rsidRDefault="00396399" w:rsidP="00FC11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27" w:type="dxa"/>
            <w:shd w:val="clear" w:color="auto" w:fill="auto"/>
          </w:tcPr>
          <w:p w14:paraId="5B7DAEBD" w14:textId="06D62FE4" w:rsidR="00396399" w:rsidRDefault="00C513AC" w:rsidP="00C900FA">
            <w:pPr>
              <w:tabs>
                <w:tab w:val="left" w:pos="73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«(6) </w:t>
            </w:r>
            <w:r w:rsidR="00C900F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Από την ημερομηνία έναρξης της ισχύος απόφασης του Υπουργικού Συμβουλίου που εκδίδεται δυνάμει των διατάξεων του άρθρου 12, οι διατάξεις των εδαφίων (1) έως (5) </w:t>
            </w:r>
            <w:r w:rsidR="00885B48">
              <w:rPr>
                <w:rFonts w:ascii="Arial" w:hAnsi="Arial" w:cs="Arial"/>
              </w:rPr>
              <w:t xml:space="preserve">του παρόντος άρθρου </w:t>
            </w:r>
            <w:r>
              <w:rPr>
                <w:rFonts w:ascii="Arial" w:hAnsi="Arial" w:cs="Arial"/>
              </w:rPr>
              <w:t>εφαρμόζονται στο Τμήμα Κοινωνικής Ενσωμάτωσης Ατόμων με Αναπηρία και στους επηρεαζόμενους υπαλλήλους οι οποίοι μεταφέρονται στο Υφυπουργείο καθώς και επί της αρμοδιότητας εξέτασης επιδομάτων βάσει της οικείας νομοθεσίας περί επιδομάτων.</w:t>
            </w:r>
          </w:p>
        </w:tc>
      </w:tr>
      <w:tr w:rsidR="00C513AC" w:rsidRPr="00C25D0F" w14:paraId="625F4265" w14:textId="77777777" w:rsidTr="00C513AC">
        <w:tc>
          <w:tcPr>
            <w:tcW w:w="2068" w:type="dxa"/>
            <w:shd w:val="clear" w:color="auto" w:fill="auto"/>
          </w:tcPr>
          <w:p w14:paraId="7525DEF0" w14:textId="77777777" w:rsidR="00C513AC" w:rsidRPr="00FC116A" w:rsidRDefault="00C513AC" w:rsidP="00FC11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</w:tcPr>
          <w:p w14:paraId="48E68FAD" w14:textId="77777777" w:rsidR="00C513AC" w:rsidRDefault="00C513AC" w:rsidP="00FC11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27" w:type="dxa"/>
            <w:shd w:val="clear" w:color="auto" w:fill="auto"/>
          </w:tcPr>
          <w:p w14:paraId="5022CEAA" w14:textId="77777777" w:rsidR="00C513AC" w:rsidRDefault="00C513AC" w:rsidP="00FC11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13AC" w:rsidRPr="00C25D0F" w14:paraId="27A5B3B5" w14:textId="77777777" w:rsidTr="00C513AC">
        <w:tc>
          <w:tcPr>
            <w:tcW w:w="2068" w:type="dxa"/>
            <w:shd w:val="clear" w:color="auto" w:fill="auto"/>
          </w:tcPr>
          <w:p w14:paraId="23584AD3" w14:textId="77777777" w:rsidR="00C513AC" w:rsidRPr="00FC116A" w:rsidRDefault="00C513AC" w:rsidP="00FC11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</w:tcPr>
          <w:p w14:paraId="0F944A68" w14:textId="77777777" w:rsidR="00C513AC" w:rsidRPr="00DC2F36" w:rsidRDefault="00C513AC" w:rsidP="00DC2F36">
            <w:pPr>
              <w:spacing w:line="360" w:lineRule="auto"/>
              <w:ind w:right="60"/>
              <w:jc w:val="right"/>
              <w:rPr>
                <w:rStyle w:val="toc-instrument-enum"/>
              </w:rPr>
            </w:pPr>
          </w:p>
          <w:p w14:paraId="155FBC57" w14:textId="77777777" w:rsidR="001A6C9B" w:rsidRPr="00DC2F36" w:rsidRDefault="001A6C9B" w:rsidP="00DC2F36">
            <w:pPr>
              <w:spacing w:line="360" w:lineRule="auto"/>
              <w:ind w:right="60"/>
              <w:jc w:val="right"/>
              <w:rPr>
                <w:rStyle w:val="toc-instrument-enum"/>
              </w:rPr>
            </w:pPr>
          </w:p>
          <w:p w14:paraId="7E3D8A01" w14:textId="77777777" w:rsidR="001A6C9B" w:rsidRPr="00DC2F36" w:rsidRDefault="001A6C9B" w:rsidP="00DC2F36">
            <w:pPr>
              <w:spacing w:line="360" w:lineRule="auto"/>
              <w:ind w:right="60"/>
              <w:jc w:val="right"/>
              <w:rPr>
                <w:rStyle w:val="toc-instrument-enum"/>
              </w:rPr>
            </w:pPr>
          </w:p>
          <w:p w14:paraId="67E89B97" w14:textId="77777777" w:rsidR="001A6C9B" w:rsidRPr="00DC2F36" w:rsidRDefault="001A6C9B" w:rsidP="00DC2F36">
            <w:pPr>
              <w:spacing w:line="360" w:lineRule="auto"/>
              <w:ind w:right="60"/>
              <w:jc w:val="right"/>
              <w:rPr>
                <w:rStyle w:val="toc-instrument-enum"/>
              </w:rPr>
            </w:pPr>
          </w:p>
          <w:p w14:paraId="61A5DE99" w14:textId="77777777" w:rsidR="001A6C9B" w:rsidRPr="00885B48" w:rsidRDefault="001A6C9B" w:rsidP="00DC2F36">
            <w:pPr>
              <w:spacing w:line="360" w:lineRule="auto"/>
              <w:ind w:right="60"/>
              <w:jc w:val="right"/>
              <w:rPr>
                <w:rStyle w:val="toc-instrument-enum"/>
                <w:rFonts w:ascii="Arial" w:hAnsi="Arial" w:cs="Arial"/>
              </w:rPr>
            </w:pPr>
            <w:r w:rsidRPr="00885B48">
              <w:rPr>
                <w:rStyle w:val="toc-instrument-enum"/>
                <w:rFonts w:ascii="Arial" w:hAnsi="Arial" w:cs="Arial"/>
              </w:rPr>
              <w:t>109(Ι) του 2014</w:t>
            </w:r>
          </w:p>
          <w:p w14:paraId="33597F41" w14:textId="77777777" w:rsidR="001A6C9B" w:rsidRPr="00DC2F36" w:rsidRDefault="001A6C9B" w:rsidP="00DC2F36">
            <w:pPr>
              <w:spacing w:line="360" w:lineRule="auto"/>
              <w:ind w:right="60"/>
              <w:jc w:val="right"/>
              <w:rPr>
                <w:rStyle w:val="toc-instrument-enum"/>
              </w:rPr>
            </w:pPr>
            <w:r w:rsidRPr="00FC116A">
              <w:rPr>
                <w:rStyle w:val="toc-instrument-enum"/>
                <w:rFonts w:ascii="Arial" w:hAnsi="Arial" w:cs="Arial"/>
              </w:rPr>
              <w:lastRenderedPageBreak/>
              <w:t>135(Ι) του 2014</w:t>
            </w:r>
            <w:r w:rsidRPr="00DC2F36">
              <w:rPr>
                <w:rStyle w:val="toc-instrument-enum"/>
              </w:rPr>
              <w:t xml:space="preserve"> </w:t>
            </w:r>
          </w:p>
          <w:p w14:paraId="0B73BB21" w14:textId="77777777" w:rsidR="001A6C9B" w:rsidRPr="00DC2F36" w:rsidRDefault="001A6C9B" w:rsidP="00DC2F36">
            <w:pPr>
              <w:spacing w:line="360" w:lineRule="auto"/>
              <w:ind w:right="60"/>
              <w:jc w:val="right"/>
              <w:rPr>
                <w:rStyle w:val="toc-instrument-enum"/>
              </w:rPr>
            </w:pPr>
            <w:r w:rsidRPr="00FC116A">
              <w:rPr>
                <w:rStyle w:val="toc-instrument-enum"/>
                <w:rFonts w:ascii="Arial" w:hAnsi="Arial" w:cs="Arial"/>
              </w:rPr>
              <w:t>173(Ι) του 2014</w:t>
            </w:r>
            <w:r w:rsidRPr="00DC2F36">
              <w:rPr>
                <w:rStyle w:val="toc-instrument-enum"/>
              </w:rPr>
              <w:t xml:space="preserve"> </w:t>
            </w:r>
          </w:p>
          <w:p w14:paraId="71DEA4A5" w14:textId="77777777" w:rsidR="001A6C9B" w:rsidRPr="00DC2F36" w:rsidRDefault="001A6C9B" w:rsidP="00DC2F36">
            <w:pPr>
              <w:spacing w:line="360" w:lineRule="auto"/>
              <w:ind w:right="60"/>
              <w:jc w:val="right"/>
              <w:rPr>
                <w:rStyle w:val="toc-instrument-enum"/>
              </w:rPr>
            </w:pPr>
            <w:r w:rsidRPr="00FC116A">
              <w:rPr>
                <w:rStyle w:val="toc-instrument-enum"/>
                <w:rFonts w:ascii="Arial" w:hAnsi="Arial" w:cs="Arial"/>
              </w:rPr>
              <w:t>195(I) του 2014</w:t>
            </w:r>
            <w:r w:rsidRPr="00DC2F36">
              <w:rPr>
                <w:rStyle w:val="toc-instrument-enum"/>
              </w:rPr>
              <w:t xml:space="preserve"> </w:t>
            </w:r>
          </w:p>
          <w:p w14:paraId="055F4EF9" w14:textId="77777777" w:rsidR="001A6C9B" w:rsidRPr="00DC2F36" w:rsidRDefault="001A6C9B" w:rsidP="00DC2F36">
            <w:pPr>
              <w:spacing w:line="360" w:lineRule="auto"/>
              <w:ind w:right="60"/>
              <w:jc w:val="right"/>
              <w:rPr>
                <w:rStyle w:val="toc-instrument-enum"/>
              </w:rPr>
            </w:pPr>
            <w:r w:rsidRPr="00FC116A">
              <w:rPr>
                <w:rStyle w:val="toc-instrument-enum"/>
                <w:rFonts w:ascii="Arial" w:hAnsi="Arial" w:cs="Arial"/>
              </w:rPr>
              <w:t>3(I) του 2015</w:t>
            </w:r>
            <w:r w:rsidRPr="00DC2F36">
              <w:rPr>
                <w:rStyle w:val="toc-instrument-enum"/>
              </w:rPr>
              <w:t xml:space="preserve"> </w:t>
            </w:r>
          </w:p>
          <w:p w14:paraId="346551D7" w14:textId="77777777" w:rsidR="001A6C9B" w:rsidRPr="00DC2F36" w:rsidRDefault="001A6C9B" w:rsidP="00DC2F36">
            <w:pPr>
              <w:spacing w:line="360" w:lineRule="auto"/>
              <w:ind w:right="60"/>
              <w:jc w:val="right"/>
              <w:rPr>
                <w:rStyle w:val="toc-instrument-enum"/>
              </w:rPr>
            </w:pPr>
            <w:r w:rsidRPr="00FC116A">
              <w:rPr>
                <w:rStyle w:val="toc-instrument-enum"/>
                <w:rFonts w:ascii="Arial" w:hAnsi="Arial" w:cs="Arial"/>
              </w:rPr>
              <w:t>118(I) του 2015</w:t>
            </w:r>
            <w:r w:rsidRPr="00DC2F36">
              <w:rPr>
                <w:rStyle w:val="toc-instrument-enum"/>
              </w:rPr>
              <w:t xml:space="preserve"> </w:t>
            </w:r>
          </w:p>
          <w:p w14:paraId="2E018577" w14:textId="77777777" w:rsidR="001A6C9B" w:rsidRPr="00DC2F36" w:rsidRDefault="001A6C9B" w:rsidP="00DC2F36">
            <w:pPr>
              <w:spacing w:line="360" w:lineRule="auto"/>
              <w:ind w:right="60"/>
              <w:jc w:val="right"/>
              <w:rPr>
                <w:rStyle w:val="toc-instrument-enum"/>
              </w:rPr>
            </w:pPr>
            <w:r w:rsidRPr="00FC116A">
              <w:rPr>
                <w:rStyle w:val="toc-instrument-enum"/>
                <w:rFonts w:ascii="Arial" w:hAnsi="Arial" w:cs="Arial"/>
              </w:rPr>
              <w:t>36(I) του 2017</w:t>
            </w:r>
            <w:r w:rsidRPr="00DC2F36">
              <w:rPr>
                <w:rStyle w:val="toc-instrument-enum"/>
              </w:rPr>
              <w:t xml:space="preserve"> </w:t>
            </w:r>
          </w:p>
          <w:p w14:paraId="0B69F057" w14:textId="77777777" w:rsidR="001A6C9B" w:rsidRPr="00FC116A" w:rsidRDefault="001A6C9B" w:rsidP="00DC2F36">
            <w:pPr>
              <w:spacing w:line="360" w:lineRule="auto"/>
              <w:ind w:right="60"/>
              <w:jc w:val="right"/>
              <w:rPr>
                <w:rStyle w:val="toc-instrument-enum"/>
                <w:rFonts w:ascii="Arial" w:hAnsi="Arial" w:cs="Arial"/>
              </w:rPr>
            </w:pPr>
            <w:r w:rsidRPr="00FC116A">
              <w:rPr>
                <w:rStyle w:val="toc-instrument-enum"/>
                <w:rFonts w:ascii="Arial" w:hAnsi="Arial" w:cs="Arial"/>
              </w:rPr>
              <w:t>114(I) του 2017</w:t>
            </w:r>
            <w:r w:rsidRPr="00DC2F36">
              <w:rPr>
                <w:rStyle w:val="toc-instrument-enum"/>
              </w:rPr>
              <w:t xml:space="preserve"> </w:t>
            </w:r>
          </w:p>
          <w:p w14:paraId="7A35DF5E" w14:textId="77777777" w:rsidR="001A6C9B" w:rsidRPr="00FC116A" w:rsidRDefault="001A6C9B" w:rsidP="00DC2F36">
            <w:pPr>
              <w:spacing w:line="360" w:lineRule="auto"/>
              <w:ind w:right="60"/>
              <w:jc w:val="right"/>
              <w:rPr>
                <w:rStyle w:val="toc-instrument-enum"/>
                <w:rFonts w:ascii="Arial" w:hAnsi="Arial" w:cs="Arial"/>
              </w:rPr>
            </w:pPr>
            <w:r w:rsidRPr="00FC116A">
              <w:rPr>
                <w:rStyle w:val="toc-instrument-enum"/>
                <w:rFonts w:ascii="Arial" w:hAnsi="Arial" w:cs="Arial"/>
              </w:rPr>
              <w:t>2(I) του 2018</w:t>
            </w:r>
            <w:r w:rsidRPr="00DC2F36">
              <w:rPr>
                <w:rStyle w:val="toc-instrument-enum"/>
              </w:rPr>
              <w:t xml:space="preserve"> </w:t>
            </w:r>
          </w:p>
          <w:p w14:paraId="7FC707F7" w14:textId="77777777" w:rsidR="001A6C9B" w:rsidRPr="00DC2F36" w:rsidRDefault="001A6C9B" w:rsidP="00DC2F36">
            <w:pPr>
              <w:spacing w:line="360" w:lineRule="auto"/>
              <w:ind w:right="60"/>
              <w:jc w:val="right"/>
              <w:rPr>
                <w:rStyle w:val="toc-instrument-enum"/>
              </w:rPr>
            </w:pPr>
            <w:r w:rsidRPr="00FC116A">
              <w:rPr>
                <w:rStyle w:val="toc-instrument-enum"/>
                <w:rFonts w:ascii="Arial" w:hAnsi="Arial" w:cs="Arial"/>
              </w:rPr>
              <w:t>135(I) του 2019</w:t>
            </w:r>
            <w:r w:rsidRPr="00DC2F36">
              <w:rPr>
                <w:rStyle w:val="toc-instrument-enum"/>
              </w:rPr>
              <w:t xml:space="preserve"> </w:t>
            </w:r>
          </w:p>
          <w:p w14:paraId="11898173" w14:textId="77777777" w:rsidR="001A6C9B" w:rsidRPr="00DC2F36" w:rsidRDefault="001A6C9B" w:rsidP="00DC2F36">
            <w:pPr>
              <w:spacing w:line="360" w:lineRule="auto"/>
              <w:ind w:right="60"/>
              <w:jc w:val="right"/>
              <w:rPr>
                <w:rStyle w:val="toc-instrument-enum"/>
              </w:rPr>
            </w:pPr>
            <w:r w:rsidRPr="00FC116A">
              <w:rPr>
                <w:rStyle w:val="toc-instrument-enum"/>
                <w:rFonts w:ascii="Arial" w:hAnsi="Arial" w:cs="Arial"/>
              </w:rPr>
              <w:t>164(I) του 2019</w:t>
            </w:r>
            <w:r w:rsidRPr="00DC2F36">
              <w:rPr>
                <w:rStyle w:val="toc-instrument-enum"/>
              </w:rPr>
              <w:t xml:space="preserve"> </w:t>
            </w:r>
          </w:p>
          <w:p w14:paraId="40353957" w14:textId="77777777" w:rsidR="00DC2F36" w:rsidRDefault="001A6C9B" w:rsidP="00DC2F36">
            <w:pPr>
              <w:spacing w:line="360" w:lineRule="auto"/>
              <w:ind w:right="60"/>
              <w:jc w:val="right"/>
              <w:rPr>
                <w:rStyle w:val="toc-instrument-enum"/>
                <w:rFonts w:ascii="Arial" w:hAnsi="Arial" w:cs="Arial"/>
              </w:rPr>
            </w:pPr>
            <w:r w:rsidRPr="00FC116A">
              <w:rPr>
                <w:rStyle w:val="toc-instrument-enum"/>
                <w:rFonts w:ascii="Arial" w:hAnsi="Arial" w:cs="Arial"/>
              </w:rPr>
              <w:t>23(I) του 2020</w:t>
            </w:r>
          </w:p>
          <w:p w14:paraId="6337CFD9" w14:textId="6BE550E0" w:rsidR="001A6C9B" w:rsidRDefault="00DC2F36" w:rsidP="00433246">
            <w:pPr>
              <w:spacing w:line="360" w:lineRule="auto"/>
              <w:ind w:right="18"/>
              <w:jc w:val="right"/>
              <w:rPr>
                <w:rStyle w:val="toc-instrument-enum"/>
                <w:rFonts w:ascii="Arial" w:hAnsi="Arial" w:cs="Arial"/>
              </w:rPr>
            </w:pPr>
            <w:r w:rsidRPr="00DC2F36">
              <w:rPr>
                <w:rStyle w:val="toc-instrument-enum"/>
                <w:rFonts w:ascii="Arial" w:hAnsi="Arial" w:cs="Arial"/>
              </w:rPr>
              <w:t>3(Ι) του 2022.</w:t>
            </w:r>
          </w:p>
          <w:p w14:paraId="575C8E3F" w14:textId="14C9DDE2" w:rsidR="00433246" w:rsidRDefault="00433246" w:rsidP="00DC2F36">
            <w:pPr>
              <w:spacing w:line="360" w:lineRule="auto"/>
              <w:ind w:right="39"/>
              <w:jc w:val="right"/>
              <w:rPr>
                <w:rStyle w:val="toc-instrument-enum"/>
              </w:rPr>
            </w:pPr>
          </w:p>
          <w:p w14:paraId="21919912" w14:textId="77777777" w:rsidR="00433246" w:rsidRPr="00433246" w:rsidRDefault="00433246" w:rsidP="00433246">
            <w:pPr>
              <w:spacing w:line="360" w:lineRule="auto"/>
              <w:ind w:right="60"/>
              <w:jc w:val="right"/>
              <w:rPr>
                <w:rStyle w:val="toc-instrument-enum"/>
                <w:rFonts w:ascii="Arial" w:hAnsi="Arial" w:cs="Arial"/>
              </w:rPr>
            </w:pPr>
            <w:r w:rsidRPr="00433246">
              <w:rPr>
                <w:rStyle w:val="toc-instrument-enum"/>
                <w:rFonts w:ascii="Arial" w:hAnsi="Arial" w:cs="Arial"/>
              </w:rPr>
              <w:t>167(I) του 2002</w:t>
            </w:r>
          </w:p>
          <w:p w14:paraId="69AA0787" w14:textId="77777777" w:rsidR="00433246" w:rsidRPr="00433246" w:rsidRDefault="00433246" w:rsidP="00433246">
            <w:pPr>
              <w:spacing w:line="360" w:lineRule="auto"/>
              <w:ind w:right="60"/>
              <w:jc w:val="right"/>
              <w:rPr>
                <w:rStyle w:val="toc-instrument-enum"/>
              </w:rPr>
            </w:pPr>
            <w:r w:rsidRPr="00FC116A">
              <w:rPr>
                <w:rStyle w:val="toc-instrument-enum"/>
                <w:rFonts w:ascii="Arial" w:hAnsi="Arial" w:cs="Arial"/>
              </w:rPr>
              <w:t>22(I) του 2003</w:t>
            </w:r>
            <w:r w:rsidRPr="00433246">
              <w:rPr>
                <w:rStyle w:val="toc-instrument-enum"/>
              </w:rPr>
              <w:t xml:space="preserve"> </w:t>
            </w:r>
          </w:p>
          <w:p w14:paraId="3AEFA487" w14:textId="77777777" w:rsidR="00433246" w:rsidRPr="00433246" w:rsidRDefault="00433246" w:rsidP="00433246">
            <w:pPr>
              <w:spacing w:line="360" w:lineRule="auto"/>
              <w:ind w:right="60"/>
              <w:jc w:val="right"/>
              <w:rPr>
                <w:rStyle w:val="toc-instrument-enum"/>
              </w:rPr>
            </w:pPr>
            <w:r w:rsidRPr="00FC116A">
              <w:rPr>
                <w:rStyle w:val="toc-instrument-enum"/>
                <w:rFonts w:ascii="Arial" w:hAnsi="Arial" w:cs="Arial"/>
              </w:rPr>
              <w:t>57(I) του 2003</w:t>
            </w:r>
            <w:r w:rsidRPr="00433246">
              <w:rPr>
                <w:rStyle w:val="toc-instrument-enum"/>
              </w:rPr>
              <w:t xml:space="preserve"> </w:t>
            </w:r>
          </w:p>
          <w:p w14:paraId="1687AAC2" w14:textId="77777777" w:rsidR="00433246" w:rsidRPr="00433246" w:rsidRDefault="00433246" w:rsidP="00433246">
            <w:pPr>
              <w:spacing w:line="360" w:lineRule="auto"/>
              <w:ind w:right="60"/>
              <w:jc w:val="right"/>
              <w:rPr>
                <w:rStyle w:val="toc-instrument-enum"/>
              </w:rPr>
            </w:pPr>
            <w:r w:rsidRPr="00FC116A">
              <w:rPr>
                <w:rStyle w:val="toc-instrument-enum"/>
                <w:rFonts w:ascii="Arial" w:hAnsi="Arial" w:cs="Arial"/>
              </w:rPr>
              <w:t>136(I) του 2007</w:t>
            </w:r>
            <w:r w:rsidRPr="00433246">
              <w:rPr>
                <w:rStyle w:val="toc-instrument-enum"/>
              </w:rPr>
              <w:t xml:space="preserve"> </w:t>
            </w:r>
          </w:p>
          <w:p w14:paraId="6DAE948A" w14:textId="77777777" w:rsidR="00433246" w:rsidRPr="00433246" w:rsidRDefault="00433246" w:rsidP="00433246">
            <w:pPr>
              <w:spacing w:line="360" w:lineRule="auto"/>
              <w:ind w:right="60"/>
              <w:jc w:val="right"/>
              <w:rPr>
                <w:rStyle w:val="toc-instrument-enum"/>
              </w:rPr>
            </w:pPr>
            <w:r w:rsidRPr="00FC116A">
              <w:rPr>
                <w:rStyle w:val="toc-instrument-enum"/>
                <w:rFonts w:ascii="Arial" w:hAnsi="Arial" w:cs="Arial"/>
              </w:rPr>
              <w:t>194(I) του 2007</w:t>
            </w:r>
            <w:r w:rsidRPr="00433246">
              <w:rPr>
                <w:rStyle w:val="toc-instrument-enum"/>
              </w:rPr>
              <w:t xml:space="preserve"> </w:t>
            </w:r>
          </w:p>
          <w:p w14:paraId="5D855796" w14:textId="77777777" w:rsidR="00433246" w:rsidRPr="00433246" w:rsidRDefault="00433246" w:rsidP="00433246">
            <w:pPr>
              <w:spacing w:line="360" w:lineRule="auto"/>
              <w:ind w:right="60"/>
              <w:jc w:val="right"/>
              <w:rPr>
                <w:rStyle w:val="toc-instrument-enum"/>
              </w:rPr>
            </w:pPr>
            <w:r w:rsidRPr="00FC116A">
              <w:rPr>
                <w:rStyle w:val="toc-instrument-enum"/>
                <w:rFonts w:ascii="Arial" w:hAnsi="Arial" w:cs="Arial"/>
              </w:rPr>
              <w:t>55(I) του 2010</w:t>
            </w:r>
            <w:r w:rsidRPr="00433246">
              <w:rPr>
                <w:rStyle w:val="toc-instrument-enum"/>
              </w:rPr>
              <w:t xml:space="preserve"> </w:t>
            </w:r>
          </w:p>
          <w:p w14:paraId="5F7DED3B" w14:textId="77777777" w:rsidR="00433246" w:rsidRPr="00FC116A" w:rsidRDefault="00433246" w:rsidP="00433246">
            <w:pPr>
              <w:spacing w:line="360" w:lineRule="auto"/>
              <w:ind w:right="60"/>
              <w:jc w:val="right"/>
              <w:rPr>
                <w:rStyle w:val="toc-instrument-enum"/>
                <w:rFonts w:ascii="Arial" w:hAnsi="Arial" w:cs="Arial"/>
              </w:rPr>
            </w:pPr>
            <w:r w:rsidRPr="00FC116A">
              <w:rPr>
                <w:rStyle w:val="toc-instrument-enum"/>
                <w:rFonts w:ascii="Arial" w:hAnsi="Arial" w:cs="Arial"/>
              </w:rPr>
              <w:t>189(I) του 2011</w:t>
            </w:r>
            <w:r w:rsidRPr="00433246">
              <w:rPr>
                <w:rStyle w:val="toc-instrument-enum"/>
              </w:rPr>
              <w:t xml:space="preserve"> </w:t>
            </w:r>
          </w:p>
          <w:p w14:paraId="7D02E52B" w14:textId="77777777" w:rsidR="00433246" w:rsidRPr="00433246" w:rsidRDefault="00433246" w:rsidP="00433246">
            <w:pPr>
              <w:spacing w:line="360" w:lineRule="auto"/>
              <w:ind w:right="60"/>
              <w:jc w:val="right"/>
              <w:rPr>
                <w:rStyle w:val="toc-instrument-enum"/>
              </w:rPr>
            </w:pPr>
            <w:r w:rsidRPr="00FC116A">
              <w:rPr>
                <w:rStyle w:val="toc-instrument-enum"/>
                <w:rFonts w:ascii="Arial" w:hAnsi="Arial" w:cs="Arial"/>
              </w:rPr>
              <w:t>180(Ι) του 2012</w:t>
            </w:r>
            <w:r w:rsidRPr="00433246">
              <w:rPr>
                <w:rStyle w:val="toc-instrument-enum"/>
              </w:rPr>
              <w:t xml:space="preserve"> </w:t>
            </w:r>
          </w:p>
          <w:p w14:paraId="731EA2AC" w14:textId="77777777" w:rsidR="00433246" w:rsidRPr="00433246" w:rsidRDefault="00433246" w:rsidP="00433246">
            <w:pPr>
              <w:spacing w:line="360" w:lineRule="auto"/>
              <w:ind w:right="60"/>
              <w:jc w:val="right"/>
              <w:rPr>
                <w:rStyle w:val="toc-instrument-enum"/>
              </w:rPr>
            </w:pPr>
            <w:r w:rsidRPr="00FC116A">
              <w:rPr>
                <w:rStyle w:val="toc-instrument-enum"/>
                <w:rFonts w:ascii="Arial" w:hAnsi="Arial" w:cs="Arial"/>
              </w:rPr>
              <w:t>175(Ι) του 2014</w:t>
            </w:r>
            <w:r w:rsidRPr="00433246">
              <w:rPr>
                <w:rStyle w:val="toc-instrument-enum"/>
              </w:rPr>
              <w:t xml:space="preserve"> </w:t>
            </w:r>
          </w:p>
          <w:p w14:paraId="79538AA8" w14:textId="77777777" w:rsidR="00433246" w:rsidRPr="00433246" w:rsidRDefault="00433246" w:rsidP="00433246">
            <w:pPr>
              <w:spacing w:line="360" w:lineRule="auto"/>
              <w:ind w:right="60"/>
              <w:jc w:val="right"/>
              <w:rPr>
                <w:rStyle w:val="toc-instrument-enum"/>
              </w:rPr>
            </w:pPr>
            <w:r w:rsidRPr="00FC116A">
              <w:rPr>
                <w:rStyle w:val="toc-instrument-enum"/>
                <w:rFonts w:ascii="Arial" w:hAnsi="Arial" w:cs="Arial"/>
              </w:rPr>
              <w:t>177(I) του 2015</w:t>
            </w:r>
            <w:r w:rsidRPr="00433246">
              <w:rPr>
                <w:rStyle w:val="toc-instrument-enum"/>
              </w:rPr>
              <w:t xml:space="preserve"> </w:t>
            </w:r>
          </w:p>
          <w:p w14:paraId="1F51D629" w14:textId="14FB37B6" w:rsidR="00433246" w:rsidRDefault="00433246" w:rsidP="00433246">
            <w:pPr>
              <w:spacing w:line="360" w:lineRule="auto"/>
              <w:ind w:right="18"/>
              <w:jc w:val="right"/>
              <w:rPr>
                <w:rStyle w:val="toc-instrument-enum"/>
                <w:rFonts w:ascii="Arial" w:hAnsi="Arial" w:cs="Arial"/>
              </w:rPr>
            </w:pPr>
            <w:r w:rsidRPr="00FC116A">
              <w:rPr>
                <w:rStyle w:val="toc-instrument-enum"/>
                <w:rFonts w:ascii="Arial" w:hAnsi="Arial" w:cs="Arial"/>
              </w:rPr>
              <w:t>118(I) του 2017</w:t>
            </w:r>
            <w:r w:rsidRPr="00FC116A">
              <w:rPr>
                <w:rFonts w:ascii="Arial" w:hAnsi="Arial" w:cs="Arial"/>
              </w:rPr>
              <w:t>.</w:t>
            </w:r>
          </w:p>
          <w:p w14:paraId="0D3B358E" w14:textId="19E456F4" w:rsidR="001A6C9B" w:rsidRPr="00DC2F36" w:rsidRDefault="001A6C9B" w:rsidP="00433246">
            <w:pPr>
              <w:spacing w:line="360" w:lineRule="auto"/>
              <w:ind w:right="60"/>
              <w:rPr>
                <w:rStyle w:val="toc-instrument-enum"/>
              </w:rPr>
            </w:pPr>
          </w:p>
        </w:tc>
        <w:tc>
          <w:tcPr>
            <w:tcW w:w="5527" w:type="dxa"/>
            <w:shd w:val="clear" w:color="auto" w:fill="auto"/>
          </w:tcPr>
          <w:p w14:paraId="14A53268" w14:textId="7064C2D4" w:rsidR="00C513AC" w:rsidRDefault="00C513AC" w:rsidP="00C900FA">
            <w:pPr>
              <w:tabs>
                <w:tab w:val="left" w:pos="73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(7) </w:t>
            </w:r>
            <w:r w:rsidR="00C900FA">
              <w:rPr>
                <w:rFonts w:ascii="Arial" w:hAnsi="Arial" w:cs="Arial"/>
              </w:rPr>
              <w:tab/>
              <w:t>Ε</w:t>
            </w:r>
            <w:r w:rsidR="003B7135">
              <w:rPr>
                <w:rFonts w:ascii="Arial" w:hAnsi="Arial" w:cs="Arial"/>
              </w:rPr>
              <w:t xml:space="preserve">πιπροσθέτως των αναφερομένων στο </w:t>
            </w:r>
            <w:r>
              <w:rPr>
                <w:rFonts w:ascii="Arial" w:hAnsi="Arial" w:cs="Arial"/>
              </w:rPr>
              <w:t xml:space="preserve">εδάφιο (6), από την ημερομηνία </w:t>
            </w:r>
            <w:r w:rsidR="003B7135">
              <w:rPr>
                <w:rFonts w:ascii="Arial" w:hAnsi="Arial" w:cs="Arial"/>
              </w:rPr>
              <w:t xml:space="preserve">έναρξης </w:t>
            </w:r>
            <w:r>
              <w:rPr>
                <w:rFonts w:ascii="Arial" w:hAnsi="Arial" w:cs="Arial"/>
              </w:rPr>
              <w:t xml:space="preserve">της </w:t>
            </w:r>
            <w:r w:rsidR="003B7135">
              <w:rPr>
                <w:rFonts w:ascii="Arial" w:hAnsi="Arial" w:cs="Arial"/>
              </w:rPr>
              <w:t xml:space="preserve">ισχύος </w:t>
            </w:r>
            <w:r>
              <w:rPr>
                <w:rFonts w:ascii="Arial" w:hAnsi="Arial" w:cs="Arial"/>
              </w:rPr>
              <w:t xml:space="preserve">απόφασης του Υπουργικού Συμβουλίου σύμφωνα με τις διατάξεις του άρθρου 12, όπου στον </w:t>
            </w:r>
            <w:r w:rsidRPr="00D928FC">
              <w:rPr>
                <w:rFonts w:ascii="Arial" w:hAnsi="Arial" w:cs="Arial"/>
              </w:rPr>
              <w:t xml:space="preserve">περί Ελάχιστου Εγγυημένου Εισοδήματος και </w:t>
            </w:r>
            <w:r w:rsidRPr="00D928FC">
              <w:rPr>
                <w:rFonts w:ascii="Arial" w:hAnsi="Arial" w:cs="Arial"/>
              </w:rPr>
              <w:lastRenderedPageBreak/>
              <w:t>Γενικότε</w:t>
            </w:r>
            <w:r>
              <w:rPr>
                <w:rFonts w:ascii="Arial" w:hAnsi="Arial" w:cs="Arial"/>
              </w:rPr>
              <w:t xml:space="preserve">ρα περί Κοινωνικών Παροχών Νόμο και στον περί </w:t>
            </w:r>
            <w:r w:rsidRPr="001161B2">
              <w:rPr>
                <w:rFonts w:ascii="Arial" w:hAnsi="Arial" w:cs="Arial"/>
              </w:rPr>
              <w:t>Παροχής Επιδόματος Τέκνου</w:t>
            </w:r>
            <w:r>
              <w:rPr>
                <w:rFonts w:ascii="Arial" w:hAnsi="Arial" w:cs="Arial"/>
              </w:rPr>
              <w:t xml:space="preserve"> Νόμο, </w:t>
            </w:r>
            <w:r w:rsidRPr="001161B2">
              <w:rPr>
                <w:rFonts w:ascii="Arial" w:hAnsi="Arial" w:cs="Arial"/>
              </w:rPr>
              <w:t>γίνεται αναφορά στον Υπουργό Εργασίας</w:t>
            </w:r>
            <w:r w:rsidR="003B7135">
              <w:rPr>
                <w:rFonts w:ascii="Arial" w:hAnsi="Arial" w:cs="Arial"/>
              </w:rPr>
              <w:t>,</w:t>
            </w:r>
            <w:r w:rsidRPr="001161B2">
              <w:rPr>
                <w:rFonts w:ascii="Arial" w:hAnsi="Arial" w:cs="Arial"/>
              </w:rPr>
              <w:t xml:space="preserve"> Πρόνοιας και Κοινωνικών Ασφαλίσεων, λογίζεται ως αναφορά στον Υφυπουργό Κοινωνικής Πρόνοιας παρά τω Προέδρω</w:t>
            </w:r>
            <w:r>
              <w:rPr>
                <w:rFonts w:ascii="Arial" w:hAnsi="Arial" w:cs="Arial"/>
              </w:rPr>
              <w:t xml:space="preserve"> και όπου γίνεται αναφορά στον Γενικό</w:t>
            </w:r>
            <w:r w:rsidRPr="00FE2CF9">
              <w:rPr>
                <w:rFonts w:ascii="Arial" w:hAnsi="Arial" w:cs="Arial"/>
              </w:rPr>
              <w:t xml:space="preserve"> Διευθυντή του Υπουργείου Εργασίας</w:t>
            </w:r>
            <w:r w:rsidR="003B7135">
              <w:rPr>
                <w:rFonts w:ascii="Arial" w:hAnsi="Arial" w:cs="Arial"/>
              </w:rPr>
              <w:t>,</w:t>
            </w:r>
            <w:r w:rsidRPr="00FE2CF9">
              <w:rPr>
                <w:rFonts w:ascii="Arial" w:hAnsi="Arial" w:cs="Arial"/>
              </w:rPr>
              <w:t xml:space="preserve"> Πρόνοιας και Κοινωνικών Ασφαλίσεων, λογίζεται ως αναφορά στον Γενικό Διευθυντή του Υφυπουργείου Κοινωνικής Πρόνοιας</w:t>
            </w:r>
            <w:r w:rsidRPr="001161B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».</w:t>
            </w:r>
          </w:p>
          <w:p w14:paraId="33824534" w14:textId="77777777" w:rsidR="00C513AC" w:rsidRDefault="00C513AC" w:rsidP="00FC11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6CE46B4" w14:textId="77777777" w:rsidR="00C513AC" w:rsidRDefault="00C513AC"/>
    <w:p w14:paraId="38A1C34C" w14:textId="407A5DC4" w:rsidR="006A69CF" w:rsidRDefault="006A69CF"/>
    <w:p w14:paraId="316C0CD5" w14:textId="19351F0C" w:rsidR="00A14484" w:rsidRDefault="00A14484"/>
    <w:p w14:paraId="25F4D6C5" w14:textId="283371C5" w:rsidR="00A14484" w:rsidRDefault="00A14484">
      <w:pPr>
        <w:rPr>
          <w:rFonts w:ascii="Arial" w:hAnsi="Arial" w:cs="Arial"/>
        </w:rPr>
      </w:pPr>
      <w:r>
        <w:rPr>
          <w:rFonts w:ascii="Arial" w:hAnsi="Arial" w:cs="Arial"/>
        </w:rPr>
        <w:t>Αρ. Φακ.:  23.01.063.013-2022</w:t>
      </w:r>
    </w:p>
    <w:p w14:paraId="58A056FA" w14:textId="1A358871" w:rsidR="00A14484" w:rsidRDefault="00A14484">
      <w:pPr>
        <w:rPr>
          <w:rFonts w:ascii="Arial" w:hAnsi="Arial" w:cs="Arial"/>
        </w:rPr>
      </w:pPr>
    </w:p>
    <w:p w14:paraId="12C025CE" w14:textId="4A5B6ADC" w:rsidR="00A14484" w:rsidRDefault="00A14484">
      <w:pPr>
        <w:rPr>
          <w:rFonts w:ascii="Arial" w:hAnsi="Arial" w:cs="Arial"/>
        </w:rPr>
      </w:pPr>
      <w:r>
        <w:rPr>
          <w:rFonts w:ascii="Arial" w:hAnsi="Arial" w:cs="Arial"/>
        </w:rPr>
        <w:t>ΧρΚ/ΝΑ</w:t>
      </w:r>
    </w:p>
    <w:p w14:paraId="301F4CA5" w14:textId="3BCC1DCC" w:rsidR="00A14484" w:rsidRDefault="00A14484">
      <w:pPr>
        <w:rPr>
          <w:rFonts w:ascii="Arial" w:hAnsi="Arial" w:cs="Arial"/>
        </w:rPr>
      </w:pPr>
    </w:p>
    <w:p w14:paraId="209FFC5E" w14:textId="77777777" w:rsidR="00A14484" w:rsidRPr="00A14484" w:rsidRDefault="00A14484">
      <w:pPr>
        <w:rPr>
          <w:rFonts w:ascii="Arial" w:hAnsi="Arial" w:cs="Arial"/>
        </w:rPr>
      </w:pPr>
    </w:p>
    <w:sectPr w:rsidR="00A14484" w:rsidRPr="00A14484" w:rsidSect="00AF10E1">
      <w:headerReference w:type="default" r:id="rId7"/>
      <w:footerReference w:type="even" r:id="rId8"/>
      <w:footerReference w:type="default" r:id="rId9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C4E8" w14:textId="77777777" w:rsidR="005D3A49" w:rsidRDefault="005D3A49">
      <w:r>
        <w:separator/>
      </w:r>
    </w:p>
  </w:endnote>
  <w:endnote w:type="continuationSeparator" w:id="0">
    <w:p w14:paraId="32ABAD93" w14:textId="77777777" w:rsidR="005D3A49" w:rsidRDefault="005D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49D2" w14:textId="77777777" w:rsidR="006012F3" w:rsidRDefault="003C3E45" w:rsidP="00883E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DBE405" w14:textId="77777777" w:rsidR="006012F3" w:rsidRDefault="005D3A49" w:rsidP="00C16F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1A1F" w14:textId="77777777" w:rsidR="006012F3" w:rsidRDefault="005D3A49" w:rsidP="00C16F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8D3D" w14:textId="77777777" w:rsidR="005D3A49" w:rsidRDefault="005D3A49">
      <w:r>
        <w:separator/>
      </w:r>
    </w:p>
  </w:footnote>
  <w:footnote w:type="continuationSeparator" w:id="0">
    <w:p w14:paraId="60CEFE72" w14:textId="77777777" w:rsidR="005D3A49" w:rsidRDefault="005D3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777513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343A87E6" w14:textId="6DD54FB2" w:rsidR="00AF10E1" w:rsidRPr="00AF10E1" w:rsidRDefault="00AF10E1">
        <w:pPr>
          <w:pStyle w:val="Header"/>
          <w:jc w:val="center"/>
          <w:rPr>
            <w:rFonts w:ascii="Arial" w:hAnsi="Arial" w:cs="Arial"/>
          </w:rPr>
        </w:pPr>
        <w:r w:rsidRPr="00AF10E1">
          <w:rPr>
            <w:rFonts w:ascii="Arial" w:hAnsi="Arial" w:cs="Arial"/>
          </w:rPr>
          <w:fldChar w:fldCharType="begin"/>
        </w:r>
        <w:r w:rsidRPr="00AF10E1">
          <w:rPr>
            <w:rFonts w:ascii="Arial" w:hAnsi="Arial" w:cs="Arial"/>
          </w:rPr>
          <w:instrText xml:space="preserve"> PAGE   \* MERGEFORMAT </w:instrText>
        </w:r>
        <w:r w:rsidRPr="00AF10E1">
          <w:rPr>
            <w:rFonts w:ascii="Arial" w:hAnsi="Arial" w:cs="Arial"/>
          </w:rPr>
          <w:fldChar w:fldCharType="separate"/>
        </w:r>
        <w:r w:rsidRPr="00AF10E1">
          <w:rPr>
            <w:rFonts w:ascii="Arial" w:hAnsi="Arial" w:cs="Arial"/>
            <w:noProof/>
          </w:rPr>
          <w:t>2</w:t>
        </w:r>
        <w:r w:rsidRPr="00AF10E1">
          <w:rPr>
            <w:rFonts w:ascii="Arial" w:hAnsi="Arial" w:cs="Arial"/>
            <w:noProof/>
          </w:rPr>
          <w:fldChar w:fldCharType="end"/>
        </w:r>
      </w:p>
    </w:sdtContent>
  </w:sdt>
  <w:p w14:paraId="1828CC3D" w14:textId="77777777" w:rsidR="00AF10E1" w:rsidRDefault="00AF10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5079"/>
    <w:multiLevelType w:val="multilevel"/>
    <w:tmpl w:val="137C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9314C"/>
    <w:multiLevelType w:val="hybridMultilevel"/>
    <w:tmpl w:val="A02890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775C1"/>
    <w:multiLevelType w:val="multilevel"/>
    <w:tmpl w:val="9A10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582"/>
    <w:rsid w:val="000951C1"/>
    <w:rsid w:val="001161B2"/>
    <w:rsid w:val="001A3EC0"/>
    <w:rsid w:val="001A6C9B"/>
    <w:rsid w:val="003464FB"/>
    <w:rsid w:val="00357654"/>
    <w:rsid w:val="00396399"/>
    <w:rsid w:val="003B7135"/>
    <w:rsid w:val="003C3E45"/>
    <w:rsid w:val="00433246"/>
    <w:rsid w:val="004D5B11"/>
    <w:rsid w:val="00500064"/>
    <w:rsid w:val="0053737A"/>
    <w:rsid w:val="005B66DB"/>
    <w:rsid w:val="005D3A49"/>
    <w:rsid w:val="006A69CF"/>
    <w:rsid w:val="006C72DE"/>
    <w:rsid w:val="00700F9F"/>
    <w:rsid w:val="007E40A1"/>
    <w:rsid w:val="00885B48"/>
    <w:rsid w:val="00A14484"/>
    <w:rsid w:val="00AB4ECC"/>
    <w:rsid w:val="00AF10E1"/>
    <w:rsid w:val="00BF7CD7"/>
    <w:rsid w:val="00C513AC"/>
    <w:rsid w:val="00C87990"/>
    <w:rsid w:val="00C900FA"/>
    <w:rsid w:val="00D928FC"/>
    <w:rsid w:val="00DB61AA"/>
    <w:rsid w:val="00DC2F36"/>
    <w:rsid w:val="00DD2582"/>
    <w:rsid w:val="00F1162A"/>
    <w:rsid w:val="00F21542"/>
    <w:rsid w:val="00F314BC"/>
    <w:rsid w:val="00FC116A"/>
    <w:rsid w:val="00FD0F1A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30E3"/>
  <w15:chartTrackingRefBased/>
  <w15:docId w15:val="{5541F82F-44DD-4D31-B1C4-9A604B63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1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1A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rsid w:val="00DB61AA"/>
  </w:style>
  <w:style w:type="character" w:customStyle="1" w:styleId="toc-instrument-enum">
    <w:name w:val="toc-instrument-enum"/>
    <w:basedOn w:val="DefaultParagraphFont"/>
    <w:rsid w:val="001161B2"/>
  </w:style>
  <w:style w:type="paragraph" w:styleId="BalloonText">
    <w:name w:val="Balloon Text"/>
    <w:basedOn w:val="Normal"/>
    <w:link w:val="BalloonTextChar"/>
    <w:uiPriority w:val="99"/>
    <w:semiHidden/>
    <w:unhideWhenUsed/>
    <w:rsid w:val="00537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7A"/>
    <w:rPr>
      <w:rFonts w:ascii="Segoe UI" w:eastAsia="Times New Roman" w:hAnsi="Segoe UI" w:cs="Segoe UI"/>
      <w:sz w:val="18"/>
      <w:szCs w:val="18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F10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0E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Neophytou  Irene</dc:creator>
  <cp:keywords/>
  <dc:description/>
  <cp:lastModifiedBy>AGROTOU NITSA</cp:lastModifiedBy>
  <cp:revision>4</cp:revision>
  <cp:lastPrinted>2022-01-10T09:35:00Z</cp:lastPrinted>
  <dcterms:created xsi:type="dcterms:W3CDTF">2022-02-03T09:48:00Z</dcterms:created>
  <dcterms:modified xsi:type="dcterms:W3CDTF">2022-02-14T08:30:00Z</dcterms:modified>
</cp:coreProperties>
</file>