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F5EE" w14:textId="69FB1F6B" w:rsidR="00CC5F41" w:rsidRPr="00903F89" w:rsidRDefault="006E2C6C" w:rsidP="00903F89">
      <w:pPr>
        <w:pStyle w:val="Title"/>
        <w:jc w:val="both"/>
        <w:rPr>
          <w:rFonts w:cs="Arial"/>
          <w:sz w:val="20"/>
          <w:u w:val="none"/>
          <w:lang w:val="el-GR"/>
        </w:rPr>
      </w:pPr>
      <w:r>
        <w:rPr>
          <w:rFonts w:cs="Arial"/>
          <w:noProof/>
          <w:sz w:val="20"/>
          <w:u w:val="none"/>
          <w:lang w:val="el-GR"/>
        </w:rPr>
        <mc:AlternateContent>
          <mc:Choice Requires="wps">
            <w:drawing>
              <wp:anchor distT="0" distB="0" distL="114300" distR="114300" simplePos="0" relativeHeight="251659264" behindDoc="0" locked="0" layoutInCell="1" allowOverlap="1" wp14:anchorId="61F144E1" wp14:editId="20051F07">
                <wp:simplePos x="0" y="0"/>
                <wp:positionH relativeFrom="column">
                  <wp:posOffset>4304542</wp:posOffset>
                </wp:positionH>
                <wp:positionV relativeFrom="paragraph">
                  <wp:posOffset>-10795</wp:posOffset>
                </wp:positionV>
                <wp:extent cx="2101933" cy="273133"/>
                <wp:effectExtent l="0" t="0" r="0" b="0"/>
                <wp:wrapNone/>
                <wp:docPr id="2" name="Text Box 2"/>
                <wp:cNvGraphicFramePr/>
                <a:graphic xmlns:a="http://schemas.openxmlformats.org/drawingml/2006/main">
                  <a:graphicData uri="http://schemas.microsoft.com/office/word/2010/wordprocessingShape">
                    <wps:wsp>
                      <wps:cNvSpPr txBox="1"/>
                      <wps:spPr>
                        <a:xfrm>
                          <a:off x="0" y="0"/>
                          <a:ext cx="2101933" cy="273133"/>
                        </a:xfrm>
                        <a:prstGeom prst="rect">
                          <a:avLst/>
                        </a:prstGeom>
                        <a:solidFill>
                          <a:schemeClr val="lt1"/>
                        </a:solidFill>
                        <a:ln w="6350">
                          <a:noFill/>
                        </a:ln>
                      </wps:spPr>
                      <wps:txbx>
                        <w:txbxContent>
                          <w:p w14:paraId="03812BA9" w14:textId="4975898D" w:rsidR="006E2C6C" w:rsidRPr="006E2C6C" w:rsidRDefault="006E2C6C" w:rsidP="006E2C6C">
                            <w:pPr>
                              <w:jc w:val="right"/>
                              <w:rPr>
                                <w:b/>
                              </w:rPr>
                            </w:pPr>
                            <w:bookmarkStart w:id="0" w:name="_GoBack"/>
                            <w:r w:rsidRPr="006E2C6C">
                              <w:rPr>
                                <w:b/>
                              </w:rPr>
                              <w:t>ΠΑΡΑΡΤΗΜΑ 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F144E1" id="_x0000_t202" coordsize="21600,21600" o:spt="202" path="m,l,21600r21600,l21600,xe">
                <v:stroke joinstyle="miter"/>
                <v:path gradientshapeok="t" o:connecttype="rect"/>
              </v:shapetype>
              <v:shape id="Text Box 2" o:spid="_x0000_s1026" type="#_x0000_t202" style="position:absolute;left:0;text-align:left;margin-left:338.95pt;margin-top:-.85pt;width:165.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" fillcolor="white [3201]" stroked="f" strokeweight=".5pt">
                <v:textbox>
                  <w:txbxContent>
                    <w:p w14:paraId="03812BA9" w14:textId="4975898D" w:rsidR="006E2C6C" w:rsidRPr="006E2C6C" w:rsidRDefault="006E2C6C" w:rsidP="006E2C6C">
                      <w:pPr>
                        <w:jc w:val="right"/>
                        <w:rPr>
                          <w:b/>
                        </w:rPr>
                      </w:pPr>
                      <w:bookmarkStart w:id="1" w:name="_GoBack"/>
                      <w:r w:rsidRPr="006E2C6C">
                        <w:rPr>
                          <w:b/>
                        </w:rPr>
                        <w:t>ΠΑΡΑΡΤΗΜΑ 2</w:t>
                      </w:r>
                      <w:bookmarkEnd w:id="1"/>
                    </w:p>
                  </w:txbxContent>
                </v:textbox>
              </v:shape>
            </w:pict>
          </mc:Fallback>
        </mc:AlternateContent>
      </w:r>
    </w:p>
    <w:p w14:paraId="7A73A932" w14:textId="77777777" w:rsidR="00B55347" w:rsidRPr="00903F89" w:rsidRDefault="00B55347" w:rsidP="00903F89">
      <w:pPr>
        <w:pStyle w:val="Title"/>
        <w:jc w:val="both"/>
        <w:rPr>
          <w:rFonts w:cs="Arial"/>
          <w:sz w:val="20"/>
          <w:u w:val="none"/>
          <w:lang w:val="en-GB"/>
        </w:rPr>
      </w:pPr>
    </w:p>
    <w:p w14:paraId="455FA371" w14:textId="77777777" w:rsidR="0045563D" w:rsidRPr="00903F89" w:rsidRDefault="0045563D" w:rsidP="00903F89">
      <w:pPr>
        <w:pStyle w:val="Title"/>
        <w:jc w:val="both"/>
        <w:rPr>
          <w:rFonts w:cs="Arial"/>
          <w:sz w:val="20"/>
          <w:u w:val="none"/>
          <w:lang w:val="el-GR"/>
        </w:rPr>
      </w:pPr>
    </w:p>
    <w:p w14:paraId="010DF9FA" w14:textId="77777777" w:rsidR="0045563D" w:rsidRPr="00903F89" w:rsidRDefault="0045563D" w:rsidP="00903F89">
      <w:pPr>
        <w:pStyle w:val="Title"/>
        <w:jc w:val="both"/>
        <w:rPr>
          <w:rFonts w:cs="Arial"/>
          <w:sz w:val="20"/>
          <w:u w:val="none"/>
          <w:lang w:val="el-GR"/>
        </w:rPr>
      </w:pPr>
    </w:p>
    <w:p w14:paraId="103B89B8" w14:textId="77777777" w:rsidR="0045563D" w:rsidRPr="00903F89" w:rsidRDefault="0045563D" w:rsidP="00903F89">
      <w:pPr>
        <w:pStyle w:val="Title"/>
        <w:jc w:val="both"/>
        <w:rPr>
          <w:rFonts w:cs="Arial"/>
          <w:sz w:val="20"/>
          <w:u w:val="none"/>
          <w:lang w:val="el-GR"/>
        </w:rPr>
      </w:pPr>
    </w:p>
    <w:p w14:paraId="571F1D87" w14:textId="77777777" w:rsidR="0045563D" w:rsidRPr="00903F89" w:rsidRDefault="0045563D" w:rsidP="00903F89">
      <w:pPr>
        <w:pStyle w:val="Title"/>
        <w:jc w:val="both"/>
        <w:rPr>
          <w:rFonts w:cs="Arial"/>
          <w:sz w:val="20"/>
          <w:u w:val="none"/>
          <w:lang w:val="el-GR"/>
        </w:rPr>
      </w:pPr>
    </w:p>
    <w:p w14:paraId="5FBCA689" w14:textId="77777777" w:rsidR="0045563D" w:rsidRPr="00903F89" w:rsidRDefault="0045563D" w:rsidP="00903F89">
      <w:pPr>
        <w:pStyle w:val="Title"/>
        <w:jc w:val="both"/>
        <w:rPr>
          <w:rFonts w:cs="Arial"/>
          <w:sz w:val="20"/>
          <w:u w:val="none"/>
          <w:lang w:val="el-GR"/>
        </w:rPr>
      </w:pPr>
    </w:p>
    <w:p w14:paraId="634DB9DF" w14:textId="77777777" w:rsidR="0045563D" w:rsidRPr="00903F89" w:rsidRDefault="004E43B0" w:rsidP="00903F89">
      <w:pPr>
        <w:tabs>
          <w:tab w:val="left" w:pos="5672"/>
        </w:tabs>
        <w:jc w:val="center"/>
        <w:rPr>
          <w:rFonts w:cs="Arial"/>
          <w:b/>
          <w:noProof/>
          <w:szCs w:val="20"/>
          <w:lang w:val="en-US" w:eastAsia="el-GR"/>
        </w:rPr>
      </w:pPr>
      <w:bookmarkStart w:id="2" w:name="_Hlk62829121"/>
      <w:r w:rsidRPr="00903F89">
        <w:rPr>
          <w:rFonts w:cs="Arial"/>
          <w:b/>
          <w:noProof/>
          <w:szCs w:val="20"/>
          <w:lang w:val="en-US"/>
        </w:rPr>
        <w:drawing>
          <wp:inline distT="0" distB="0" distL="0" distR="0" wp14:anchorId="44D05078" wp14:editId="06ABD627">
            <wp:extent cx="23907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733425"/>
                    </a:xfrm>
                    <a:prstGeom prst="rect">
                      <a:avLst/>
                    </a:prstGeom>
                    <a:noFill/>
                    <a:ln w="9525">
                      <a:noFill/>
                      <a:miter lim="800000"/>
                      <a:headEnd/>
                      <a:tailEnd/>
                    </a:ln>
                  </pic:spPr>
                </pic:pic>
              </a:graphicData>
            </a:graphic>
          </wp:inline>
        </w:drawing>
      </w:r>
    </w:p>
    <w:p w14:paraId="37E093A0" w14:textId="77777777" w:rsidR="0045563D" w:rsidRPr="00903F89" w:rsidRDefault="0045563D" w:rsidP="00903F89">
      <w:pPr>
        <w:tabs>
          <w:tab w:val="left" w:pos="5672"/>
        </w:tabs>
        <w:jc w:val="center"/>
        <w:rPr>
          <w:rFonts w:cs="Arial"/>
          <w:b/>
          <w:noProof/>
          <w:szCs w:val="20"/>
          <w:lang w:val="en-US" w:eastAsia="el-GR"/>
        </w:rPr>
      </w:pPr>
    </w:p>
    <w:p w14:paraId="3D8C4561" w14:textId="77777777" w:rsidR="0045563D" w:rsidRPr="00903F89" w:rsidRDefault="0045563D" w:rsidP="00903F89">
      <w:pPr>
        <w:jc w:val="center"/>
        <w:rPr>
          <w:rFonts w:cs="Arial"/>
          <w:szCs w:val="20"/>
        </w:rPr>
      </w:pPr>
    </w:p>
    <w:p w14:paraId="494E756D" w14:textId="77777777" w:rsidR="0045563D" w:rsidRPr="00903F89" w:rsidRDefault="0045563D" w:rsidP="00903F89">
      <w:pPr>
        <w:jc w:val="center"/>
        <w:rPr>
          <w:rFonts w:cs="Arial"/>
          <w:szCs w:val="20"/>
        </w:rPr>
      </w:pPr>
    </w:p>
    <w:p w14:paraId="61FBB29C" w14:textId="77777777" w:rsidR="0045563D" w:rsidRPr="00035687" w:rsidRDefault="045AFEAA" w:rsidP="00293AA1">
      <w:pPr>
        <w:spacing w:line="360" w:lineRule="auto"/>
        <w:jc w:val="center"/>
        <w:rPr>
          <w:rFonts w:cs="Arial"/>
          <w:sz w:val="32"/>
          <w:szCs w:val="20"/>
          <w:lang w:eastAsia="el-GR"/>
        </w:rPr>
      </w:pPr>
      <w:r w:rsidRPr="00035687">
        <w:rPr>
          <w:rFonts w:cs="Arial"/>
          <w:sz w:val="32"/>
          <w:szCs w:val="20"/>
          <w:lang w:eastAsia="el-GR"/>
        </w:rPr>
        <w:t>ΕΠΕΞΗΓΗΜΑΤΙΚΟ ΜΝΗΜΟΝΙΟ</w:t>
      </w:r>
    </w:p>
    <w:p w14:paraId="5B2E35D9" w14:textId="1763C25B" w:rsidR="001A5282" w:rsidRPr="00035687" w:rsidRDefault="045AFEAA" w:rsidP="00293AA1">
      <w:pPr>
        <w:spacing w:line="360" w:lineRule="auto"/>
        <w:jc w:val="center"/>
        <w:rPr>
          <w:rFonts w:cs="Arial"/>
          <w:sz w:val="32"/>
          <w:szCs w:val="20"/>
          <w:lang w:eastAsia="el-GR"/>
        </w:rPr>
      </w:pPr>
      <w:r w:rsidRPr="00035687">
        <w:rPr>
          <w:rFonts w:cs="Arial"/>
          <w:sz w:val="32"/>
          <w:szCs w:val="20"/>
          <w:lang w:eastAsia="el-GR"/>
        </w:rPr>
        <w:t>ΠΡΟΫΠΟΛΟΓΙΣΜΟΥ</w:t>
      </w:r>
    </w:p>
    <w:p w14:paraId="0FFFE69D" w14:textId="246FA9E4" w:rsidR="0045563D" w:rsidRPr="00035687" w:rsidRDefault="045AFEAA" w:rsidP="00293AA1">
      <w:pPr>
        <w:spacing w:line="360" w:lineRule="auto"/>
        <w:jc w:val="center"/>
        <w:rPr>
          <w:rFonts w:cs="Arial"/>
          <w:sz w:val="32"/>
          <w:szCs w:val="20"/>
          <w:lang w:eastAsia="el-GR"/>
        </w:rPr>
      </w:pPr>
      <w:r w:rsidRPr="00035687">
        <w:rPr>
          <w:rFonts w:cs="Arial"/>
          <w:sz w:val="32"/>
          <w:szCs w:val="20"/>
          <w:lang w:eastAsia="el-GR"/>
        </w:rPr>
        <w:t>20</w:t>
      </w:r>
      <w:r w:rsidR="00764BFD" w:rsidRPr="00035687">
        <w:rPr>
          <w:rFonts w:cs="Arial"/>
          <w:sz w:val="32"/>
          <w:szCs w:val="20"/>
          <w:lang w:eastAsia="el-GR"/>
        </w:rPr>
        <w:t>2</w:t>
      </w:r>
      <w:r w:rsidR="00CA51D3" w:rsidRPr="00035687">
        <w:rPr>
          <w:rFonts w:cs="Arial"/>
          <w:sz w:val="32"/>
          <w:szCs w:val="20"/>
          <w:lang w:eastAsia="el-GR"/>
        </w:rPr>
        <w:t>2</w:t>
      </w:r>
    </w:p>
    <w:p w14:paraId="673EC3A3" w14:textId="77777777" w:rsidR="008A0ED9" w:rsidRPr="00903F89" w:rsidRDefault="008A0ED9" w:rsidP="00903F89">
      <w:pPr>
        <w:jc w:val="both"/>
        <w:rPr>
          <w:rFonts w:cs="Arial"/>
          <w:sz w:val="20"/>
          <w:szCs w:val="20"/>
        </w:rPr>
      </w:pPr>
    </w:p>
    <w:p w14:paraId="6DE443AA" w14:textId="77777777" w:rsidR="0045563D" w:rsidRPr="00903F89" w:rsidRDefault="0045563D" w:rsidP="00903F89">
      <w:pPr>
        <w:jc w:val="both"/>
        <w:rPr>
          <w:rFonts w:cs="Arial"/>
          <w:b/>
          <w:sz w:val="20"/>
          <w:szCs w:val="20"/>
        </w:rPr>
      </w:pPr>
    </w:p>
    <w:p w14:paraId="6904CFD6" w14:textId="77777777" w:rsidR="0045563D" w:rsidRPr="00903F89" w:rsidRDefault="0045563D" w:rsidP="00903F89">
      <w:pPr>
        <w:jc w:val="both"/>
        <w:rPr>
          <w:rFonts w:cs="Arial"/>
          <w:sz w:val="20"/>
          <w:szCs w:val="20"/>
        </w:rPr>
      </w:pPr>
    </w:p>
    <w:bookmarkEnd w:id="2"/>
    <w:p w14:paraId="78A620FA" w14:textId="77777777" w:rsidR="0045563D" w:rsidRPr="00903F89" w:rsidRDefault="0045563D" w:rsidP="00903F89">
      <w:pPr>
        <w:jc w:val="both"/>
        <w:rPr>
          <w:rFonts w:cs="Arial"/>
          <w:sz w:val="20"/>
          <w:szCs w:val="20"/>
        </w:rPr>
      </w:pPr>
    </w:p>
    <w:p w14:paraId="184C07AA" w14:textId="77777777" w:rsidR="0045563D" w:rsidRPr="00903F89" w:rsidRDefault="0045563D" w:rsidP="00903F89">
      <w:pPr>
        <w:jc w:val="both"/>
        <w:rPr>
          <w:rFonts w:cs="Arial"/>
          <w:sz w:val="20"/>
          <w:szCs w:val="20"/>
        </w:rPr>
      </w:pPr>
    </w:p>
    <w:p w14:paraId="37CECD84" w14:textId="77777777" w:rsidR="0045563D" w:rsidRPr="00903F89" w:rsidRDefault="0045563D" w:rsidP="00903F89">
      <w:pPr>
        <w:jc w:val="both"/>
        <w:rPr>
          <w:rFonts w:cs="Arial"/>
          <w:sz w:val="20"/>
          <w:szCs w:val="20"/>
        </w:rPr>
      </w:pPr>
    </w:p>
    <w:p w14:paraId="13AF02BE" w14:textId="6A6C0FB5" w:rsidR="0045563D" w:rsidRPr="00903F89" w:rsidRDefault="0045563D" w:rsidP="00903F89">
      <w:pPr>
        <w:jc w:val="both"/>
        <w:rPr>
          <w:rFonts w:cs="Arial"/>
          <w:sz w:val="20"/>
          <w:szCs w:val="20"/>
        </w:rPr>
      </w:pPr>
    </w:p>
    <w:p w14:paraId="3C08F8EF" w14:textId="77777777" w:rsidR="0045563D" w:rsidRPr="00903F89" w:rsidRDefault="0045563D" w:rsidP="00903F89">
      <w:pPr>
        <w:jc w:val="both"/>
        <w:rPr>
          <w:rFonts w:cs="Arial"/>
          <w:sz w:val="20"/>
          <w:szCs w:val="20"/>
        </w:rPr>
      </w:pPr>
    </w:p>
    <w:p w14:paraId="3F42AE5C" w14:textId="77777777" w:rsidR="0045563D" w:rsidRPr="00903F89" w:rsidRDefault="0045563D" w:rsidP="00903F89">
      <w:pPr>
        <w:jc w:val="both"/>
        <w:rPr>
          <w:rFonts w:cs="Arial"/>
          <w:sz w:val="20"/>
          <w:szCs w:val="20"/>
        </w:rPr>
      </w:pPr>
    </w:p>
    <w:p w14:paraId="7C27C879" w14:textId="77777777" w:rsidR="0045563D" w:rsidRPr="00903F89" w:rsidRDefault="0045563D" w:rsidP="00903F89">
      <w:pPr>
        <w:jc w:val="both"/>
        <w:rPr>
          <w:rFonts w:cs="Arial"/>
          <w:sz w:val="20"/>
          <w:szCs w:val="20"/>
        </w:rPr>
      </w:pPr>
    </w:p>
    <w:p w14:paraId="1D42CDFC" w14:textId="77777777" w:rsidR="0045563D" w:rsidRPr="00903F89" w:rsidRDefault="0045563D" w:rsidP="00903F89">
      <w:pPr>
        <w:jc w:val="both"/>
        <w:rPr>
          <w:rFonts w:cs="Arial"/>
          <w:sz w:val="20"/>
          <w:szCs w:val="20"/>
        </w:rPr>
      </w:pPr>
    </w:p>
    <w:p w14:paraId="26E4F21F" w14:textId="77777777" w:rsidR="0045563D" w:rsidRPr="00903F89" w:rsidRDefault="0045563D" w:rsidP="00903F89">
      <w:pPr>
        <w:jc w:val="both"/>
        <w:rPr>
          <w:rFonts w:cs="Arial"/>
          <w:sz w:val="20"/>
          <w:szCs w:val="20"/>
        </w:rPr>
      </w:pPr>
    </w:p>
    <w:p w14:paraId="3829643B" w14:textId="77777777" w:rsidR="0045563D" w:rsidRPr="00903F89" w:rsidRDefault="0045563D" w:rsidP="00903F89">
      <w:pPr>
        <w:jc w:val="both"/>
        <w:rPr>
          <w:rFonts w:cs="Arial"/>
          <w:sz w:val="20"/>
          <w:szCs w:val="20"/>
        </w:rPr>
      </w:pPr>
    </w:p>
    <w:p w14:paraId="26F70486" w14:textId="77777777" w:rsidR="0045563D" w:rsidRPr="00903F89" w:rsidRDefault="0045563D" w:rsidP="00903F89">
      <w:pPr>
        <w:jc w:val="both"/>
        <w:rPr>
          <w:rFonts w:cs="Arial"/>
          <w:sz w:val="20"/>
          <w:szCs w:val="20"/>
        </w:rPr>
      </w:pPr>
    </w:p>
    <w:p w14:paraId="6D756164" w14:textId="77777777" w:rsidR="0045563D" w:rsidRPr="00903F89" w:rsidRDefault="0045563D" w:rsidP="00903F89">
      <w:pPr>
        <w:jc w:val="both"/>
        <w:rPr>
          <w:rFonts w:cs="Arial"/>
          <w:sz w:val="20"/>
          <w:szCs w:val="20"/>
        </w:rPr>
      </w:pPr>
    </w:p>
    <w:p w14:paraId="4B263BEE" w14:textId="77777777" w:rsidR="0045563D" w:rsidRPr="00903F89" w:rsidRDefault="0045563D" w:rsidP="00903F89">
      <w:pPr>
        <w:jc w:val="both"/>
        <w:rPr>
          <w:rFonts w:cs="Arial"/>
          <w:sz w:val="20"/>
          <w:szCs w:val="20"/>
        </w:rPr>
      </w:pPr>
    </w:p>
    <w:p w14:paraId="14D5E404" w14:textId="77777777" w:rsidR="0045563D" w:rsidRPr="00903F89" w:rsidRDefault="0045563D" w:rsidP="00903F89">
      <w:pPr>
        <w:jc w:val="both"/>
        <w:rPr>
          <w:rFonts w:cs="Arial"/>
          <w:sz w:val="20"/>
          <w:szCs w:val="20"/>
        </w:rPr>
      </w:pPr>
    </w:p>
    <w:p w14:paraId="6C993D06" w14:textId="77777777" w:rsidR="0045563D" w:rsidRPr="00903F89" w:rsidRDefault="0045563D" w:rsidP="00903F89">
      <w:pPr>
        <w:jc w:val="both"/>
        <w:rPr>
          <w:rFonts w:cs="Arial"/>
          <w:sz w:val="20"/>
          <w:szCs w:val="20"/>
        </w:rPr>
      </w:pPr>
    </w:p>
    <w:p w14:paraId="4DC70BA3" w14:textId="77777777" w:rsidR="0045563D" w:rsidRPr="00903F89" w:rsidRDefault="0045563D" w:rsidP="00903F89">
      <w:pPr>
        <w:jc w:val="both"/>
        <w:rPr>
          <w:rFonts w:cs="Arial"/>
          <w:sz w:val="20"/>
          <w:szCs w:val="20"/>
        </w:rPr>
      </w:pPr>
    </w:p>
    <w:p w14:paraId="68163AD0" w14:textId="77777777" w:rsidR="0045563D" w:rsidRPr="00903F89" w:rsidRDefault="0045563D" w:rsidP="00903F89">
      <w:pPr>
        <w:jc w:val="both"/>
        <w:rPr>
          <w:rFonts w:cs="Arial"/>
          <w:sz w:val="20"/>
          <w:szCs w:val="20"/>
        </w:rPr>
      </w:pPr>
    </w:p>
    <w:p w14:paraId="37DB2C28" w14:textId="77777777" w:rsidR="0045563D" w:rsidRPr="00903F89" w:rsidRDefault="0045563D" w:rsidP="00903F89">
      <w:pPr>
        <w:jc w:val="both"/>
        <w:rPr>
          <w:rFonts w:cs="Arial"/>
          <w:sz w:val="20"/>
          <w:szCs w:val="20"/>
        </w:rPr>
      </w:pPr>
    </w:p>
    <w:p w14:paraId="6E39D844" w14:textId="77777777" w:rsidR="0045563D" w:rsidRPr="00903F89" w:rsidRDefault="0045563D" w:rsidP="00903F89">
      <w:pPr>
        <w:jc w:val="both"/>
        <w:rPr>
          <w:rFonts w:cs="Arial"/>
          <w:sz w:val="20"/>
          <w:szCs w:val="20"/>
        </w:rPr>
      </w:pPr>
    </w:p>
    <w:p w14:paraId="3C2A8B76" w14:textId="77777777" w:rsidR="0045563D" w:rsidRPr="00903F89" w:rsidRDefault="0045563D" w:rsidP="00903F89">
      <w:pPr>
        <w:jc w:val="both"/>
        <w:rPr>
          <w:rFonts w:cs="Arial"/>
          <w:sz w:val="20"/>
          <w:szCs w:val="20"/>
        </w:rPr>
      </w:pPr>
    </w:p>
    <w:p w14:paraId="4734F0EE" w14:textId="77777777" w:rsidR="0045563D" w:rsidRPr="00903F89" w:rsidRDefault="0045563D" w:rsidP="00903F89">
      <w:pPr>
        <w:jc w:val="both"/>
        <w:rPr>
          <w:rFonts w:cs="Arial"/>
          <w:sz w:val="20"/>
          <w:szCs w:val="20"/>
        </w:rPr>
      </w:pPr>
    </w:p>
    <w:p w14:paraId="550BA3BD" w14:textId="77777777" w:rsidR="0045563D" w:rsidRPr="00903F89" w:rsidRDefault="0045563D" w:rsidP="00903F89">
      <w:pPr>
        <w:jc w:val="both"/>
        <w:rPr>
          <w:rFonts w:cs="Arial"/>
          <w:sz w:val="20"/>
          <w:szCs w:val="20"/>
        </w:rPr>
      </w:pPr>
    </w:p>
    <w:p w14:paraId="3A957C3A" w14:textId="77777777" w:rsidR="0045563D" w:rsidRPr="00903F89" w:rsidRDefault="0045563D" w:rsidP="00903F89">
      <w:pPr>
        <w:jc w:val="both"/>
        <w:rPr>
          <w:rFonts w:cs="Arial"/>
          <w:sz w:val="20"/>
          <w:szCs w:val="20"/>
        </w:rPr>
      </w:pPr>
    </w:p>
    <w:p w14:paraId="13CB8C7F" w14:textId="77777777" w:rsidR="0045563D" w:rsidRPr="00903F89" w:rsidRDefault="0045563D" w:rsidP="00903F89">
      <w:pPr>
        <w:jc w:val="both"/>
        <w:rPr>
          <w:rFonts w:cs="Arial"/>
          <w:sz w:val="20"/>
          <w:szCs w:val="20"/>
        </w:rPr>
      </w:pPr>
    </w:p>
    <w:p w14:paraId="02D9AC4C" w14:textId="77777777" w:rsidR="003538F8" w:rsidRPr="00903F89" w:rsidRDefault="003538F8" w:rsidP="00903F89">
      <w:pPr>
        <w:jc w:val="both"/>
        <w:rPr>
          <w:rFonts w:cs="Arial"/>
          <w:sz w:val="20"/>
          <w:szCs w:val="20"/>
        </w:rPr>
      </w:pPr>
    </w:p>
    <w:p w14:paraId="73B39003" w14:textId="77777777" w:rsidR="003538F8" w:rsidRPr="00903F89" w:rsidRDefault="003538F8" w:rsidP="00903F89">
      <w:pPr>
        <w:jc w:val="both"/>
        <w:rPr>
          <w:rFonts w:cs="Arial"/>
          <w:sz w:val="20"/>
          <w:szCs w:val="20"/>
        </w:rPr>
      </w:pPr>
    </w:p>
    <w:p w14:paraId="4AA8A9F8" w14:textId="77777777" w:rsidR="003538F8" w:rsidRPr="00903F89" w:rsidRDefault="003538F8" w:rsidP="00903F89">
      <w:pPr>
        <w:jc w:val="both"/>
        <w:rPr>
          <w:rFonts w:cs="Arial"/>
          <w:sz w:val="20"/>
          <w:szCs w:val="20"/>
        </w:rPr>
      </w:pPr>
    </w:p>
    <w:p w14:paraId="438D68A2" w14:textId="77777777" w:rsidR="003538F8" w:rsidRPr="00903F89" w:rsidRDefault="003538F8" w:rsidP="00903F89">
      <w:pPr>
        <w:jc w:val="both"/>
        <w:rPr>
          <w:rFonts w:cs="Arial"/>
          <w:sz w:val="20"/>
          <w:szCs w:val="20"/>
        </w:rPr>
      </w:pPr>
    </w:p>
    <w:p w14:paraId="22F3EB04" w14:textId="77777777" w:rsidR="003538F8" w:rsidRPr="00903F89" w:rsidRDefault="003538F8" w:rsidP="00903F89">
      <w:pPr>
        <w:jc w:val="both"/>
        <w:rPr>
          <w:rFonts w:cs="Arial"/>
          <w:sz w:val="20"/>
          <w:szCs w:val="20"/>
        </w:rPr>
      </w:pPr>
    </w:p>
    <w:p w14:paraId="028BBBF8" w14:textId="77777777" w:rsidR="003538F8" w:rsidRPr="00903F89" w:rsidRDefault="003538F8" w:rsidP="00903F89">
      <w:pPr>
        <w:jc w:val="both"/>
        <w:rPr>
          <w:rFonts w:cs="Arial"/>
          <w:sz w:val="20"/>
          <w:szCs w:val="20"/>
        </w:rPr>
      </w:pPr>
    </w:p>
    <w:p w14:paraId="392EEF44" w14:textId="43E8D2B7" w:rsidR="00E426B2" w:rsidRPr="00903F89" w:rsidRDefault="004D60B9" w:rsidP="00903F89">
      <w:pPr>
        <w:jc w:val="both"/>
        <w:rPr>
          <w:rFonts w:cs="Arial"/>
          <w:b/>
          <w:sz w:val="20"/>
          <w:szCs w:val="20"/>
          <w:u w:val="single"/>
        </w:rPr>
      </w:pPr>
      <w:r w:rsidRPr="00903F89">
        <w:rPr>
          <w:rFonts w:cs="Arial"/>
          <w:sz w:val="20"/>
          <w:szCs w:val="20"/>
        </w:rPr>
        <w:br w:type="page"/>
      </w:r>
    </w:p>
    <w:tbl>
      <w:tblPr>
        <w:tblStyle w:val="TableGrid"/>
        <w:tblpPr w:leftFromText="180" w:rightFromText="180" w:vertAnchor="text" w:horzAnchor="margin" w:tblpY="133"/>
        <w:tblW w:w="10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103"/>
        <w:gridCol w:w="5435"/>
      </w:tblGrid>
      <w:tr w:rsidR="00903F89" w:rsidRPr="00903F89" w14:paraId="33E95F68" w14:textId="77777777" w:rsidTr="00B1212B">
        <w:trPr>
          <w:trHeight w:val="80"/>
        </w:trPr>
        <w:tc>
          <w:tcPr>
            <w:tcW w:w="10823" w:type="dxa"/>
            <w:gridSpan w:val="3"/>
            <w:shd w:val="clear" w:color="auto" w:fill="auto"/>
          </w:tcPr>
          <w:p w14:paraId="353B02DB" w14:textId="218E8520" w:rsidR="009B605C" w:rsidRPr="00903F89" w:rsidRDefault="00B1212B" w:rsidP="00903F89">
            <w:pPr>
              <w:jc w:val="center"/>
              <w:rPr>
                <w:rFonts w:cs="Arial"/>
                <w:b/>
                <w:sz w:val="20"/>
                <w:szCs w:val="20"/>
              </w:rPr>
            </w:pPr>
            <w:r>
              <w:rPr>
                <w:rFonts w:cs="Arial"/>
                <w:sz w:val="20"/>
                <w:szCs w:val="20"/>
              </w:rPr>
              <w:lastRenderedPageBreak/>
              <w:t xml:space="preserve">ΕΠΕΞΗΓΗΜΑΤΙΚΟ ΜΝΗΜΟΝΙΟ ΠΡΟΫΠΟΛΟΓΙΣΜΟΥ </w:t>
            </w:r>
            <w:r w:rsidR="00903F89" w:rsidRPr="00903F89">
              <w:rPr>
                <w:rFonts w:cs="Arial"/>
                <w:sz w:val="20"/>
                <w:szCs w:val="20"/>
              </w:rPr>
              <w:t xml:space="preserve">ΠΑΝΕΠΙΣΤΗΜΙΟ ΚΥΠΡΟΥ </w:t>
            </w:r>
            <w:r>
              <w:rPr>
                <w:rFonts w:cs="Arial"/>
                <w:sz w:val="20"/>
                <w:szCs w:val="20"/>
              </w:rPr>
              <w:t>ΓΙΑ ΤΟ ΕΤΟΣ 2022</w:t>
            </w:r>
          </w:p>
        </w:tc>
      </w:tr>
      <w:tr w:rsidR="00903F89" w:rsidRPr="00903F89" w14:paraId="2A5CA818" w14:textId="77777777" w:rsidTr="007422AB">
        <w:trPr>
          <w:trHeight w:val="20"/>
        </w:trPr>
        <w:tc>
          <w:tcPr>
            <w:tcW w:w="10823" w:type="dxa"/>
            <w:gridSpan w:val="3"/>
            <w:tcBorders>
              <w:top w:val="single" w:sz="4" w:space="0" w:color="4F81BD" w:themeColor="accent1"/>
            </w:tcBorders>
            <w:shd w:val="clear" w:color="auto" w:fill="auto"/>
          </w:tcPr>
          <w:p w14:paraId="2633C015" w14:textId="77777777" w:rsidR="00BD1701" w:rsidRPr="00903F89" w:rsidRDefault="00BD1701" w:rsidP="00903F89">
            <w:pPr>
              <w:jc w:val="both"/>
              <w:rPr>
                <w:rFonts w:cs="Arial"/>
                <w:sz w:val="20"/>
                <w:szCs w:val="20"/>
                <w:u w:val="single"/>
              </w:rPr>
            </w:pPr>
          </w:p>
        </w:tc>
      </w:tr>
      <w:tr w:rsidR="007422AB" w:rsidRPr="00903F89" w14:paraId="13604F3C" w14:textId="77777777" w:rsidTr="00A85AF3">
        <w:trPr>
          <w:trHeight w:val="20"/>
        </w:trPr>
        <w:tc>
          <w:tcPr>
            <w:tcW w:w="10823" w:type="dxa"/>
            <w:gridSpan w:val="3"/>
            <w:shd w:val="clear" w:color="auto" w:fill="auto"/>
          </w:tcPr>
          <w:p w14:paraId="5C1B0374" w14:textId="2B30DECF" w:rsidR="007422AB" w:rsidRPr="00903F89" w:rsidRDefault="007422AB" w:rsidP="00903F89">
            <w:pPr>
              <w:jc w:val="both"/>
              <w:rPr>
                <w:rFonts w:cs="Arial"/>
                <w:sz w:val="20"/>
                <w:szCs w:val="20"/>
              </w:rPr>
            </w:pPr>
            <w:r w:rsidRPr="00903F89">
              <w:rPr>
                <w:rFonts w:cs="Arial"/>
                <w:sz w:val="20"/>
                <w:szCs w:val="20"/>
              </w:rPr>
              <w:t>Ο Προϋπολογισμός του Πανεπιστημίου Κύπρου για το έτος 2022 παρουσιάζει έσοδα ύψους €163.6</w:t>
            </w:r>
            <w:r w:rsidR="006A39F9">
              <w:rPr>
                <w:rFonts w:cs="Arial"/>
                <w:sz w:val="20"/>
                <w:szCs w:val="20"/>
              </w:rPr>
              <w:t>40</w:t>
            </w:r>
            <w:r w:rsidRPr="00903F89">
              <w:rPr>
                <w:rFonts w:cs="Arial"/>
                <w:sz w:val="20"/>
                <w:szCs w:val="20"/>
              </w:rPr>
              <w:t>.000 και έξοδα ύψους €163.6</w:t>
            </w:r>
            <w:r w:rsidR="006A39F9">
              <w:rPr>
                <w:rFonts w:cs="Arial"/>
                <w:sz w:val="20"/>
                <w:szCs w:val="20"/>
              </w:rPr>
              <w:t>40</w:t>
            </w:r>
            <w:r w:rsidRPr="00903F89">
              <w:rPr>
                <w:rFonts w:cs="Arial"/>
                <w:sz w:val="20"/>
                <w:szCs w:val="20"/>
              </w:rPr>
              <w:t>.000</w:t>
            </w:r>
            <w:r w:rsidRPr="00903F89">
              <w:rPr>
                <w:rFonts w:eastAsia="Arial" w:cs="Arial"/>
                <w:sz w:val="20"/>
                <w:szCs w:val="20"/>
              </w:rPr>
              <w:t xml:space="preserve">, </w:t>
            </w:r>
            <w:r w:rsidRPr="00903F89">
              <w:rPr>
                <w:rFonts w:cs="Arial"/>
                <w:sz w:val="20"/>
                <w:szCs w:val="20"/>
              </w:rPr>
              <w:t>εκ των οποίων €59.200.000</w:t>
            </w:r>
            <w:r w:rsidRPr="00903F89">
              <w:rPr>
                <w:rFonts w:eastAsia="Arial" w:cs="Arial"/>
                <w:sz w:val="20"/>
                <w:szCs w:val="20"/>
              </w:rPr>
              <w:t xml:space="preserve"> </w:t>
            </w:r>
            <w:r w:rsidRPr="00903F89">
              <w:rPr>
                <w:rFonts w:cs="Arial"/>
                <w:sz w:val="20"/>
                <w:szCs w:val="20"/>
              </w:rPr>
              <w:t>θα χρηματοδοτηθούν από Κρατική Χορηγία, €20.000.000 από Κυβερνητική Χορηγία για τη Χρηματοδότηση Έργων από τα Δάνεια με την Ευρωπαϊκή Τράπεζα Επενδύσεων και την Τράπεζα Αναπτύξεως του Συμβουλίου της Ευρώπης, €18.000.000 από Προπτυχιακά Δίδακτρα (Πρόγραμμα Κρατικών Υποτροφιών), €909.092 από Έσοδα για Χρηματοδότηση Διαρθρωτικών Προγραμμάτων και Σχεδίων</w:t>
            </w:r>
            <w:r w:rsidRPr="00903F89">
              <w:rPr>
                <w:rFonts w:eastAsia="Arial" w:cs="Arial"/>
                <w:sz w:val="20"/>
                <w:szCs w:val="20"/>
              </w:rPr>
              <w:t xml:space="preserve">, </w:t>
            </w:r>
            <w:r w:rsidRPr="00903F89">
              <w:rPr>
                <w:rFonts w:cs="Arial"/>
                <w:sz w:val="20"/>
                <w:szCs w:val="20"/>
              </w:rPr>
              <w:t>€1.830.000 από τη Χρηματοδότηση του Υφυπουργείου Έρευνας, Καινοτομίας και Ψηφιακής Πολιτικής για Έργα και Σχέδια Συγχρηματοδοτούμενα από Κοινοτικούς Πόρους (Θεσμική Χρηματοδότηση για την αναβάθμιση του ΚΟΙΟΣ)</w:t>
            </w:r>
            <w:r w:rsidRPr="00903F89">
              <w:rPr>
                <w:rFonts w:eastAsia="Arial" w:cs="Arial"/>
                <w:sz w:val="20"/>
                <w:szCs w:val="20"/>
              </w:rPr>
              <w:t xml:space="preserve">, </w:t>
            </w:r>
            <w:r w:rsidRPr="00903F89">
              <w:rPr>
                <w:rFonts w:cs="Arial"/>
                <w:sz w:val="20"/>
                <w:szCs w:val="20"/>
              </w:rPr>
              <w:t>€1.000.000 από τη Χρηματοδότηση του Υφυπουργείου Έρευνας, Καινοτομίας και Ψηφιακής Πολιτικής για Έργα και Σχέδια Συγχρηματοδοτούμενα από Κοινοτικούς Πόρους (BIOBANK - Biobanking and the Cyprus Human Genome Project - Θεσμική Χρηματοδότηση), €1.500.000 από Χρηματοδότηση που απορρέει από τη Συμφωνία Συνεργασίας μεταξύ Οργανισμού Κρατικών Υπηρεσιών Υγείας (ΟΚΥπΥ) και Πανεπιστημίου Κύπρου για την Ιατρική Σχολή, €1.021.070 από τη Χρηματοδότηση του Σχεδίου Ανάκαμψης και Ανθεκτικότητας Κύπρου και €</w:t>
            </w:r>
            <w:r w:rsidR="00224FDC" w:rsidRPr="00224FDC">
              <w:rPr>
                <w:rFonts w:cs="Arial"/>
                <w:sz w:val="20"/>
                <w:szCs w:val="20"/>
              </w:rPr>
              <w:t xml:space="preserve">60.179.838 </w:t>
            </w:r>
            <w:r w:rsidRPr="00903F89">
              <w:rPr>
                <w:rFonts w:cs="Arial"/>
                <w:sz w:val="20"/>
                <w:szCs w:val="20"/>
              </w:rPr>
              <w:t>από Διάφορες Εισπράξεις πέραν της Κρατικής Χορηγίας.</w:t>
            </w:r>
          </w:p>
        </w:tc>
      </w:tr>
      <w:tr w:rsidR="00492B85" w:rsidRPr="00903F89" w14:paraId="593D806F" w14:textId="77777777" w:rsidTr="00BB31B9">
        <w:trPr>
          <w:trHeight w:val="20"/>
        </w:trPr>
        <w:tc>
          <w:tcPr>
            <w:tcW w:w="285" w:type="dxa"/>
            <w:shd w:val="clear" w:color="auto" w:fill="auto"/>
          </w:tcPr>
          <w:p w14:paraId="78EF3EE5" w14:textId="77777777" w:rsidR="0055619F" w:rsidRPr="00903F89" w:rsidRDefault="0055619F" w:rsidP="00903F89">
            <w:pPr>
              <w:jc w:val="both"/>
              <w:rPr>
                <w:rFonts w:cs="Arial"/>
                <w:sz w:val="20"/>
                <w:szCs w:val="20"/>
              </w:rPr>
            </w:pPr>
          </w:p>
        </w:tc>
        <w:tc>
          <w:tcPr>
            <w:tcW w:w="10538" w:type="dxa"/>
            <w:gridSpan w:val="2"/>
            <w:shd w:val="clear" w:color="auto" w:fill="auto"/>
          </w:tcPr>
          <w:p w14:paraId="0D4CE017" w14:textId="77777777" w:rsidR="0055619F" w:rsidRPr="00903F89" w:rsidRDefault="0055619F" w:rsidP="00903F89">
            <w:pPr>
              <w:jc w:val="both"/>
              <w:rPr>
                <w:rFonts w:cs="Arial"/>
                <w:sz w:val="20"/>
                <w:szCs w:val="20"/>
              </w:rPr>
            </w:pPr>
          </w:p>
        </w:tc>
      </w:tr>
      <w:tr w:rsidR="007422AB" w:rsidRPr="00903F89" w14:paraId="321A049C" w14:textId="77777777" w:rsidTr="00A85AF3">
        <w:trPr>
          <w:trHeight w:val="20"/>
        </w:trPr>
        <w:tc>
          <w:tcPr>
            <w:tcW w:w="10823" w:type="dxa"/>
            <w:gridSpan w:val="3"/>
            <w:shd w:val="clear" w:color="auto" w:fill="auto"/>
          </w:tcPr>
          <w:p w14:paraId="2A163C74" w14:textId="433822F5" w:rsidR="007422AB" w:rsidRPr="00903F89" w:rsidRDefault="007422AB" w:rsidP="00903F89">
            <w:pPr>
              <w:jc w:val="both"/>
              <w:rPr>
                <w:rFonts w:eastAsia="Arial" w:cs="Arial"/>
                <w:sz w:val="20"/>
                <w:szCs w:val="20"/>
              </w:rPr>
            </w:pPr>
            <w:r w:rsidRPr="00903F89">
              <w:rPr>
                <w:rFonts w:cs="Arial"/>
                <w:sz w:val="20"/>
                <w:szCs w:val="20"/>
              </w:rPr>
              <w:t>Σημειώνεται ότι η κατάρτι</w:t>
            </w:r>
            <w:r w:rsidRPr="00903F89">
              <w:rPr>
                <w:rFonts w:cs="Arial"/>
                <w:i/>
                <w:iCs/>
                <w:sz w:val="20"/>
                <w:szCs w:val="20"/>
              </w:rPr>
              <w:t>σ</w:t>
            </w:r>
            <w:r w:rsidRPr="00903F89">
              <w:rPr>
                <w:rFonts w:cs="Arial"/>
                <w:sz w:val="20"/>
                <w:szCs w:val="20"/>
              </w:rPr>
              <w:t xml:space="preserve">η του Προϋπολογισμού έλαβε υπόψη την παρούσα δημοσιονομική κατάσταση του Κράτους, τις ειλημμένες υποχρεώσεις του Πανεπιστημίου Κύπρου καθώς και τις προτεραιότητες του ιδιαίτερα όσον αφορά αναπτυξιακές του δραστηριότητες. </w:t>
            </w:r>
          </w:p>
        </w:tc>
      </w:tr>
      <w:tr w:rsidR="00E5393D" w:rsidRPr="00903F89" w14:paraId="4AB09038" w14:textId="77777777" w:rsidTr="00BB31B9">
        <w:trPr>
          <w:trHeight w:val="20"/>
        </w:trPr>
        <w:tc>
          <w:tcPr>
            <w:tcW w:w="285" w:type="dxa"/>
            <w:shd w:val="clear" w:color="auto" w:fill="auto"/>
          </w:tcPr>
          <w:p w14:paraId="139E30C7" w14:textId="77777777" w:rsidR="00E5393D" w:rsidRPr="00903F89" w:rsidRDefault="00E5393D" w:rsidP="00903F89">
            <w:pPr>
              <w:jc w:val="both"/>
              <w:rPr>
                <w:rFonts w:cs="Arial"/>
                <w:sz w:val="20"/>
                <w:szCs w:val="20"/>
              </w:rPr>
            </w:pPr>
          </w:p>
        </w:tc>
        <w:tc>
          <w:tcPr>
            <w:tcW w:w="10538" w:type="dxa"/>
            <w:gridSpan w:val="2"/>
            <w:shd w:val="clear" w:color="auto" w:fill="auto"/>
          </w:tcPr>
          <w:p w14:paraId="36C1FA6A" w14:textId="77777777" w:rsidR="00E5393D" w:rsidRPr="00903F89" w:rsidRDefault="00E5393D" w:rsidP="00903F89">
            <w:pPr>
              <w:jc w:val="both"/>
              <w:rPr>
                <w:rFonts w:cs="Arial"/>
                <w:sz w:val="20"/>
                <w:szCs w:val="20"/>
              </w:rPr>
            </w:pPr>
          </w:p>
        </w:tc>
      </w:tr>
      <w:tr w:rsidR="007422AB" w:rsidRPr="00903F89" w14:paraId="7D7A54DD" w14:textId="77777777" w:rsidTr="00A85AF3">
        <w:trPr>
          <w:trHeight w:val="20"/>
        </w:trPr>
        <w:tc>
          <w:tcPr>
            <w:tcW w:w="10823" w:type="dxa"/>
            <w:gridSpan w:val="3"/>
            <w:shd w:val="clear" w:color="auto" w:fill="auto"/>
          </w:tcPr>
          <w:p w14:paraId="3149F64A" w14:textId="31484E9F" w:rsidR="007422AB" w:rsidRPr="00903F89" w:rsidRDefault="007422AB" w:rsidP="00903F89">
            <w:pPr>
              <w:jc w:val="both"/>
              <w:rPr>
                <w:rFonts w:cs="Arial"/>
                <w:sz w:val="20"/>
                <w:szCs w:val="20"/>
              </w:rPr>
            </w:pPr>
            <w:r w:rsidRPr="00903F89">
              <w:rPr>
                <w:rFonts w:cs="Arial"/>
                <w:sz w:val="20"/>
                <w:szCs w:val="20"/>
              </w:rPr>
              <w:t>Η πρόνοια προορίζεται να καλύψει και την ετήσια χορηγία του Πανεπιστημίου Κύπρου προς το Ινστιτούτο Έρευνας Καρκίνου Κύπρου, με βάση το περιεχόμενο (α) του Πρωτοκόλλου Συνεργασίας μεταξύ του Καραϊσκάκειου Ιδρύματος, του Πανεπιστημίου Κύπρου και του Ογκολογικού Κέντρου Τράπεζας Κύπρου και (β) σχετικών εσωτερικών αποφάσεών του (Αποφάσεις Συμβουλίου, Συνεδρίες Αρ. 24/2018, ημερ. 05/11/2018 και 08/2020 ημερ. 06/07/2020).  Η καταβολή της χρηματοδότησης άρχισε με την εγγραφή του Ινστιτούτου ως νομική οντότητα.</w:t>
            </w:r>
          </w:p>
        </w:tc>
      </w:tr>
      <w:tr w:rsidR="00BA34F0" w:rsidRPr="00903F89" w14:paraId="48343BFE" w14:textId="77777777" w:rsidTr="00BB31B9">
        <w:trPr>
          <w:trHeight w:val="20"/>
        </w:trPr>
        <w:tc>
          <w:tcPr>
            <w:tcW w:w="285" w:type="dxa"/>
            <w:shd w:val="clear" w:color="auto" w:fill="auto"/>
          </w:tcPr>
          <w:p w14:paraId="587BB10B" w14:textId="77777777" w:rsidR="00BA34F0" w:rsidRPr="00903F89" w:rsidRDefault="00BA34F0" w:rsidP="00903F89">
            <w:pPr>
              <w:jc w:val="both"/>
              <w:rPr>
                <w:rFonts w:cs="Arial"/>
                <w:sz w:val="20"/>
                <w:szCs w:val="20"/>
              </w:rPr>
            </w:pPr>
          </w:p>
        </w:tc>
        <w:tc>
          <w:tcPr>
            <w:tcW w:w="5103" w:type="dxa"/>
            <w:shd w:val="clear" w:color="auto" w:fill="auto"/>
          </w:tcPr>
          <w:p w14:paraId="1C43CC17" w14:textId="77777777" w:rsidR="00BA34F0" w:rsidRPr="00903F89" w:rsidRDefault="00BA34F0" w:rsidP="00903F89">
            <w:pPr>
              <w:jc w:val="both"/>
              <w:rPr>
                <w:rFonts w:cs="Arial"/>
                <w:sz w:val="20"/>
                <w:szCs w:val="20"/>
              </w:rPr>
            </w:pPr>
          </w:p>
        </w:tc>
        <w:tc>
          <w:tcPr>
            <w:tcW w:w="5435" w:type="dxa"/>
            <w:shd w:val="clear" w:color="auto" w:fill="auto"/>
          </w:tcPr>
          <w:p w14:paraId="6FF940B4" w14:textId="77777777" w:rsidR="00BA34F0" w:rsidRPr="00903F89" w:rsidRDefault="00BA34F0" w:rsidP="00903F89">
            <w:pPr>
              <w:jc w:val="both"/>
              <w:rPr>
                <w:rFonts w:cs="Arial"/>
                <w:sz w:val="20"/>
                <w:szCs w:val="20"/>
              </w:rPr>
            </w:pPr>
          </w:p>
        </w:tc>
      </w:tr>
      <w:tr w:rsidR="007422AB" w:rsidRPr="00903F89" w14:paraId="4C960A1F" w14:textId="77777777" w:rsidTr="00A85AF3">
        <w:trPr>
          <w:trHeight w:val="20"/>
        </w:trPr>
        <w:tc>
          <w:tcPr>
            <w:tcW w:w="10823" w:type="dxa"/>
            <w:gridSpan w:val="3"/>
            <w:shd w:val="clear" w:color="auto" w:fill="auto"/>
          </w:tcPr>
          <w:p w14:paraId="269210AA" w14:textId="2DB71B6C" w:rsidR="007422AB" w:rsidRPr="00903F89" w:rsidRDefault="007422AB" w:rsidP="00903F89">
            <w:pPr>
              <w:jc w:val="both"/>
              <w:rPr>
                <w:rFonts w:cs="Arial"/>
                <w:sz w:val="20"/>
                <w:szCs w:val="20"/>
              </w:rPr>
            </w:pPr>
            <w:r w:rsidRPr="00903F89">
              <w:rPr>
                <w:rFonts w:cs="Arial"/>
                <w:sz w:val="20"/>
                <w:szCs w:val="20"/>
              </w:rPr>
              <w:t xml:space="preserve">Ο Προϋπολογισμός περιέλαβε επίσης πρόνοια για </w:t>
            </w:r>
            <w:r w:rsidR="004142D7">
              <w:rPr>
                <w:rFonts w:cs="Arial"/>
                <w:sz w:val="20"/>
                <w:szCs w:val="20"/>
              </w:rPr>
              <w:t xml:space="preserve">τα </w:t>
            </w:r>
            <w:r w:rsidRPr="00903F89">
              <w:rPr>
                <w:rFonts w:cs="Arial"/>
                <w:sz w:val="20"/>
                <w:szCs w:val="20"/>
              </w:rPr>
              <w:t>ακόλουθα κατασκευαστικά έργα στην Πανεπιστημιούπολη, τα οποία θα χρηματοδοτηθούν από πρόσθετη Κυβερνητική Χορηγία από τα</w:t>
            </w:r>
            <w:r w:rsidRPr="00903F89">
              <w:rPr>
                <w:rFonts w:eastAsia="Arial" w:cs="Arial"/>
                <w:sz w:val="20"/>
                <w:szCs w:val="20"/>
              </w:rPr>
              <w:t xml:space="preserve"> </w:t>
            </w:r>
            <w:r w:rsidRPr="00903F89">
              <w:rPr>
                <w:rFonts w:cs="Arial"/>
                <w:sz w:val="20"/>
                <w:szCs w:val="20"/>
              </w:rPr>
              <w:t>Δάνεια με την Ευρωπαϊκή Τράπεζα Επενδύσεων και την Τράπεζα Αναπτύξεως του Συμβουλίου της Ευρώπης: (α) Πολυτεχνική Σχολή, (β) Ιατρική Σχολή στην Πανεπιστημιούπολη, (γ) Τμήμα Βιολογικών Επιστημών &amp; Χώροι Διδασκαλίας ΙΙΙ, (δ) Φωτοβολταϊκό Πάρκο «Απόλλων» 5ΜW, (ε) Αντισεισμική Αναβάθμιση και Μεταστέγαση Αρχιτεκτονικής στα Κτήρια της Ακαδημίας, (</w:t>
            </w:r>
            <w:proofErr w:type="spellStart"/>
            <w:r w:rsidRPr="00903F89">
              <w:rPr>
                <w:rFonts w:cs="Arial"/>
                <w:sz w:val="20"/>
                <w:szCs w:val="20"/>
              </w:rPr>
              <w:t>στ</w:t>
            </w:r>
            <w:proofErr w:type="spellEnd"/>
            <w:r w:rsidRPr="00903F89">
              <w:rPr>
                <w:rFonts w:cs="Arial"/>
                <w:sz w:val="20"/>
                <w:szCs w:val="20"/>
              </w:rPr>
              <w:t xml:space="preserve">) Ενεργειακό Κέντρο Β΄.  Ενόψει αναθεώρησης ή/και επέκτασης ή/και τη σύναψης νέας σύμβασης με την Ευρωπαϊκή Τράπεζα Επενδύσεων και την Τράπεζα Αναπτύξεως του Συμβουλίου της Ευρώπης, πρόσθετες κατασκευαστικές εργασίες δύναται να εκτελεστούν για τα εξής: (ζ) Έργα Υποδομής – Φάση Β’, (η) Πάρκο Πανεπιστημίου στην Πανεπιστημιούπολη, (θ) Φοιτητικές Εστίες (Φάση Β′), και (ι) Υποσταθμό και Καλωδιακή Σύνδεση </w:t>
            </w:r>
            <w:proofErr w:type="spellStart"/>
            <w:r w:rsidRPr="00903F89">
              <w:rPr>
                <w:rFonts w:cs="Arial"/>
                <w:sz w:val="20"/>
                <w:szCs w:val="20"/>
              </w:rPr>
              <w:t>Φωτοβολταϊκού</w:t>
            </w:r>
            <w:proofErr w:type="spellEnd"/>
            <w:r w:rsidRPr="00903F89">
              <w:rPr>
                <w:rFonts w:cs="Arial"/>
                <w:sz w:val="20"/>
                <w:szCs w:val="20"/>
              </w:rPr>
              <w:t xml:space="preserve"> Πάρκου.</w:t>
            </w:r>
          </w:p>
        </w:tc>
      </w:tr>
      <w:tr w:rsidR="00492B85" w:rsidRPr="00903F89" w14:paraId="13EBA61B" w14:textId="77777777" w:rsidTr="00BB31B9">
        <w:trPr>
          <w:trHeight w:val="20"/>
        </w:trPr>
        <w:tc>
          <w:tcPr>
            <w:tcW w:w="285" w:type="dxa"/>
          </w:tcPr>
          <w:p w14:paraId="593BE426" w14:textId="231EB27C" w:rsidR="00564C20" w:rsidRPr="00903F89" w:rsidRDefault="00564C20" w:rsidP="00903F89">
            <w:pPr>
              <w:jc w:val="both"/>
              <w:rPr>
                <w:rFonts w:cs="Arial"/>
                <w:sz w:val="20"/>
                <w:szCs w:val="20"/>
              </w:rPr>
            </w:pPr>
          </w:p>
        </w:tc>
        <w:tc>
          <w:tcPr>
            <w:tcW w:w="5103" w:type="dxa"/>
          </w:tcPr>
          <w:p w14:paraId="69AC6975" w14:textId="77777777" w:rsidR="00564C20" w:rsidRPr="00903F89" w:rsidRDefault="00564C20" w:rsidP="00903F89">
            <w:pPr>
              <w:jc w:val="both"/>
              <w:rPr>
                <w:rFonts w:cs="Arial"/>
                <w:sz w:val="20"/>
                <w:szCs w:val="20"/>
              </w:rPr>
            </w:pPr>
          </w:p>
        </w:tc>
        <w:tc>
          <w:tcPr>
            <w:tcW w:w="5435" w:type="dxa"/>
          </w:tcPr>
          <w:p w14:paraId="16569DAD" w14:textId="77777777" w:rsidR="00564C20" w:rsidRPr="00903F89" w:rsidRDefault="00564C20" w:rsidP="00903F89">
            <w:pPr>
              <w:jc w:val="both"/>
              <w:rPr>
                <w:rFonts w:cs="Arial"/>
                <w:sz w:val="20"/>
                <w:szCs w:val="20"/>
              </w:rPr>
            </w:pPr>
          </w:p>
        </w:tc>
      </w:tr>
      <w:tr w:rsidR="007422AB" w:rsidRPr="00903F89" w14:paraId="6E625925" w14:textId="77777777" w:rsidTr="00A85AF3">
        <w:trPr>
          <w:trHeight w:val="20"/>
        </w:trPr>
        <w:tc>
          <w:tcPr>
            <w:tcW w:w="10823" w:type="dxa"/>
            <w:gridSpan w:val="3"/>
          </w:tcPr>
          <w:p w14:paraId="4EFD819E" w14:textId="0278AD8C" w:rsidR="007422AB" w:rsidRPr="00903F89" w:rsidRDefault="007422AB" w:rsidP="00903F89">
            <w:pPr>
              <w:jc w:val="both"/>
              <w:rPr>
                <w:rFonts w:eastAsia="Arial" w:cs="Arial"/>
                <w:sz w:val="20"/>
                <w:szCs w:val="20"/>
              </w:rPr>
            </w:pPr>
            <w:r w:rsidRPr="00903F89">
              <w:rPr>
                <w:rFonts w:cs="Arial"/>
                <w:sz w:val="20"/>
                <w:szCs w:val="20"/>
              </w:rPr>
              <w:t>Πρόσθετες δαπάνες στέγασης θα αφορούν μετατροπές, προσθήκες και βελτιωτικά έργα στις εγκαταστάσεις της Πανεπιστημιούπολης, στον κεντρικό χώρο του Πανεπιστημίου Κύπρου και στις προσωρινές εγκαταστάσεις του όπως</w:t>
            </w:r>
            <w:r w:rsidRPr="00903F89">
              <w:rPr>
                <w:rFonts w:eastAsia="Arial" w:cs="Arial"/>
                <w:sz w:val="20"/>
                <w:szCs w:val="20"/>
              </w:rPr>
              <w:t>:</w:t>
            </w:r>
          </w:p>
        </w:tc>
      </w:tr>
      <w:tr w:rsidR="00492B85" w:rsidRPr="00903F89" w14:paraId="02534251" w14:textId="77777777" w:rsidTr="00BB31B9">
        <w:trPr>
          <w:trHeight w:val="20"/>
        </w:trPr>
        <w:tc>
          <w:tcPr>
            <w:tcW w:w="285" w:type="dxa"/>
          </w:tcPr>
          <w:p w14:paraId="4F23300B" w14:textId="77777777" w:rsidR="00934615" w:rsidRPr="00903F89" w:rsidRDefault="00934615" w:rsidP="00903F89">
            <w:pPr>
              <w:jc w:val="both"/>
              <w:rPr>
                <w:rFonts w:cs="Arial"/>
                <w:sz w:val="20"/>
                <w:szCs w:val="20"/>
              </w:rPr>
            </w:pPr>
          </w:p>
        </w:tc>
        <w:tc>
          <w:tcPr>
            <w:tcW w:w="10538" w:type="dxa"/>
            <w:gridSpan w:val="2"/>
          </w:tcPr>
          <w:p w14:paraId="13F6E8F2" w14:textId="77777777" w:rsidR="00934615" w:rsidRPr="00903F89" w:rsidRDefault="00934615" w:rsidP="00903F89">
            <w:pPr>
              <w:jc w:val="both"/>
              <w:rPr>
                <w:rFonts w:cs="Arial"/>
                <w:sz w:val="20"/>
                <w:szCs w:val="20"/>
              </w:rPr>
            </w:pPr>
          </w:p>
        </w:tc>
      </w:tr>
      <w:tr w:rsidR="007422AB" w:rsidRPr="00903F89" w14:paraId="268E369C" w14:textId="77777777" w:rsidTr="00A85AF3">
        <w:trPr>
          <w:trHeight w:val="20"/>
        </w:trPr>
        <w:tc>
          <w:tcPr>
            <w:tcW w:w="10823" w:type="dxa"/>
            <w:gridSpan w:val="3"/>
          </w:tcPr>
          <w:p w14:paraId="5C0F2915" w14:textId="1AA9BD59"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 xml:space="preserve">Αναβάθμιση Ενεργειακού Κέντρου </w:t>
            </w:r>
          </w:p>
          <w:p w14:paraId="1D4A72F3" w14:textId="1A4490A6"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Διαφοροποιήσεις/ επεκτάσεις σε κτηριακές εγκαταστάσεις (συμπεριλαμβανομένου του 3</w:t>
            </w:r>
            <w:r w:rsidRPr="00903F89">
              <w:rPr>
                <w:rFonts w:cs="Arial"/>
                <w:sz w:val="20"/>
                <w:szCs w:val="20"/>
                <w:vertAlign w:val="superscript"/>
              </w:rPr>
              <w:t>ου</w:t>
            </w:r>
            <w:r w:rsidRPr="00903F89">
              <w:rPr>
                <w:rFonts w:cs="Arial"/>
                <w:sz w:val="20"/>
                <w:szCs w:val="20"/>
              </w:rPr>
              <w:t xml:space="preserve"> ορόφου του Κτηρίου Συμβουλίου-Συγκλήτου «Α.Γ. Λεβέντης»)</w:t>
            </w:r>
          </w:p>
          <w:p w14:paraId="53EEFECF" w14:textId="40BEEDD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 xml:space="preserve">Αναβάθμιση </w:t>
            </w:r>
            <w:proofErr w:type="spellStart"/>
            <w:r w:rsidRPr="00903F89">
              <w:rPr>
                <w:rFonts w:cs="Arial"/>
                <w:sz w:val="20"/>
                <w:szCs w:val="20"/>
              </w:rPr>
              <w:t>Αγρέπαυλης</w:t>
            </w:r>
            <w:proofErr w:type="spellEnd"/>
            <w:r w:rsidRPr="00903F89">
              <w:rPr>
                <w:rFonts w:cs="Arial"/>
                <w:sz w:val="20"/>
                <w:szCs w:val="20"/>
              </w:rPr>
              <w:t xml:space="preserve"> </w:t>
            </w:r>
            <w:proofErr w:type="spellStart"/>
            <w:r w:rsidRPr="00903F89">
              <w:rPr>
                <w:rFonts w:cs="Arial"/>
                <w:sz w:val="20"/>
                <w:szCs w:val="20"/>
              </w:rPr>
              <w:t>Ποταμία</w:t>
            </w:r>
            <w:proofErr w:type="spellEnd"/>
          </w:p>
          <w:p w14:paraId="7DAB58E6"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 xml:space="preserve">Αναβάθμιση Συστημάτων Θέρμανσης, Οπτικοακουστικού Εξοπλισμού, Αδιάλειπτης Παροχής Ρεύματος  </w:t>
            </w:r>
          </w:p>
          <w:p w14:paraId="67D4BC44" w14:textId="02D3B68C"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Αναβάθμιση Φωτισμού, έξυπνος ηλεκτροφωτισμός</w:t>
            </w:r>
          </w:p>
          <w:p w14:paraId="353DB1F3"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Έργο/α Τέχνης Κτηρίου Κέντρου Πληροφόρησης - Βιβλιοθήκη</w:t>
            </w:r>
          </w:p>
          <w:p w14:paraId="08558B45"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Κατασκευή Πρόσθετων Στεγάστρων σε Χώρους Στάθμευσης</w:t>
            </w:r>
          </w:p>
          <w:p w14:paraId="5125D536"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Διαχείριση Υδάτινων Πόρων</w:t>
            </w:r>
          </w:p>
          <w:p w14:paraId="36FD0153"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Κατασκευή Πρόσθετης Δεξαμενής Νερού Πυρόσβεσης</w:t>
            </w:r>
          </w:p>
          <w:p w14:paraId="0B94DB70"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Έργα που αφορούν υποδομές για ΑΜΕΑ</w:t>
            </w:r>
          </w:p>
          <w:p w14:paraId="15419990"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Περίφραξη Πανεπιστημιούπολης</w:t>
            </w:r>
          </w:p>
          <w:p w14:paraId="6F16C0C4"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Εξωτερική Σήμανση Ακαδημίας</w:t>
            </w:r>
          </w:p>
          <w:p w14:paraId="56EE20AE" w14:textId="4BBC3541"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 xml:space="preserve">Εφαρμογή Συστήματος Ανακύκλωσης </w:t>
            </w:r>
          </w:p>
          <w:p w14:paraId="799744FA"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Κατασκευές για ενίσχυση θεμάτων Ασφάλειας</w:t>
            </w:r>
          </w:p>
          <w:p w14:paraId="65699556" w14:textId="77777777"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Κάλυψη ανοικτών δεξαμενών Βιολογικού Σταθμού</w:t>
            </w:r>
          </w:p>
          <w:p w14:paraId="250E0979" w14:textId="6D8CC05A" w:rsidR="007422AB" w:rsidRPr="00903F89" w:rsidRDefault="007422AB" w:rsidP="00903F89">
            <w:pPr>
              <w:pStyle w:val="ListParagraph"/>
              <w:numPr>
                <w:ilvl w:val="0"/>
                <w:numId w:val="32"/>
              </w:numPr>
              <w:jc w:val="both"/>
              <w:rPr>
                <w:rFonts w:cs="Arial"/>
                <w:sz w:val="20"/>
                <w:szCs w:val="20"/>
              </w:rPr>
            </w:pPr>
            <w:r w:rsidRPr="00903F89">
              <w:rPr>
                <w:rFonts w:cs="Arial"/>
                <w:sz w:val="20"/>
                <w:szCs w:val="20"/>
              </w:rPr>
              <w:t>Διάφορα</w:t>
            </w:r>
          </w:p>
        </w:tc>
      </w:tr>
    </w:tbl>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81"/>
        <w:gridCol w:w="640"/>
        <w:gridCol w:w="2390"/>
        <w:gridCol w:w="717"/>
        <w:gridCol w:w="842"/>
        <w:gridCol w:w="4252"/>
      </w:tblGrid>
      <w:tr w:rsidR="007422AB" w:rsidRPr="00903F89" w14:paraId="45D8C26B" w14:textId="77777777" w:rsidTr="007422AB">
        <w:tc>
          <w:tcPr>
            <w:tcW w:w="10773" w:type="dxa"/>
            <w:gridSpan w:val="7"/>
          </w:tcPr>
          <w:p w14:paraId="1712C33D" w14:textId="05A81C91" w:rsidR="00D701FF" w:rsidRPr="00903F89" w:rsidRDefault="00D054C1" w:rsidP="00903F89">
            <w:pPr>
              <w:jc w:val="both"/>
              <w:rPr>
                <w:rFonts w:eastAsia="Arial" w:cs="Arial"/>
                <w:b/>
                <w:bCs/>
                <w:sz w:val="20"/>
                <w:szCs w:val="20"/>
                <w:u w:val="double"/>
              </w:rPr>
            </w:pPr>
            <w:r w:rsidRPr="00903F89">
              <w:rPr>
                <w:rFonts w:cs="Arial"/>
                <w:b/>
                <w:bCs/>
                <w:sz w:val="20"/>
                <w:szCs w:val="20"/>
                <w:u w:val="double"/>
              </w:rPr>
              <w:lastRenderedPageBreak/>
              <w:t>ΟΜΑΔΑ</w:t>
            </w:r>
            <w:r w:rsidR="045AFEAA" w:rsidRPr="00903F89">
              <w:rPr>
                <w:rFonts w:cs="Arial"/>
                <w:b/>
                <w:bCs/>
                <w:sz w:val="20"/>
                <w:szCs w:val="20"/>
                <w:u w:val="double"/>
              </w:rPr>
              <w:t xml:space="preserve"> 100 – ΤΡΕΧΟΥΣΕΣ ΔΑΠΑΝΕΣ</w:t>
            </w:r>
          </w:p>
        </w:tc>
      </w:tr>
      <w:tr w:rsidR="007422AB" w:rsidRPr="00903F89" w14:paraId="183C9031" w14:textId="77777777" w:rsidTr="007422AB">
        <w:tc>
          <w:tcPr>
            <w:tcW w:w="2572" w:type="dxa"/>
            <w:gridSpan w:val="3"/>
          </w:tcPr>
          <w:p w14:paraId="27A752BF" w14:textId="77777777" w:rsidR="00564C20" w:rsidRPr="00903F89" w:rsidRDefault="00564C20" w:rsidP="00903F89">
            <w:pPr>
              <w:jc w:val="both"/>
              <w:rPr>
                <w:rFonts w:cs="Arial"/>
                <w:b/>
                <w:sz w:val="20"/>
                <w:szCs w:val="20"/>
                <w:u w:val="single"/>
              </w:rPr>
            </w:pPr>
          </w:p>
        </w:tc>
        <w:tc>
          <w:tcPr>
            <w:tcW w:w="3107" w:type="dxa"/>
            <w:gridSpan w:val="2"/>
          </w:tcPr>
          <w:p w14:paraId="591E34FD" w14:textId="77777777" w:rsidR="00564C20" w:rsidRPr="00903F89" w:rsidRDefault="00564C20" w:rsidP="00903F89">
            <w:pPr>
              <w:jc w:val="both"/>
              <w:rPr>
                <w:rFonts w:cs="Arial"/>
                <w:b/>
                <w:sz w:val="20"/>
                <w:szCs w:val="20"/>
                <w:u w:val="single"/>
              </w:rPr>
            </w:pPr>
          </w:p>
        </w:tc>
        <w:tc>
          <w:tcPr>
            <w:tcW w:w="5094" w:type="dxa"/>
            <w:gridSpan w:val="2"/>
          </w:tcPr>
          <w:p w14:paraId="76E3B250" w14:textId="77777777" w:rsidR="00564C20" w:rsidRPr="00903F89" w:rsidRDefault="00564C20" w:rsidP="00903F89">
            <w:pPr>
              <w:jc w:val="both"/>
              <w:rPr>
                <w:rFonts w:cs="Arial"/>
                <w:b/>
                <w:sz w:val="20"/>
                <w:szCs w:val="20"/>
                <w:u w:val="single"/>
              </w:rPr>
            </w:pPr>
          </w:p>
        </w:tc>
      </w:tr>
      <w:tr w:rsidR="007422AB" w:rsidRPr="00903F89" w14:paraId="456E6BC4" w14:textId="77777777" w:rsidTr="007422AB">
        <w:tc>
          <w:tcPr>
            <w:tcW w:w="10773" w:type="dxa"/>
            <w:gridSpan w:val="7"/>
          </w:tcPr>
          <w:p w14:paraId="358B8B5E" w14:textId="267A9A77" w:rsidR="00D701FF" w:rsidRPr="00903F89" w:rsidRDefault="00D054C1" w:rsidP="00903F89">
            <w:pPr>
              <w:jc w:val="both"/>
              <w:rPr>
                <w:rFonts w:eastAsia="Arial" w:cs="Arial"/>
                <w:b/>
                <w:bCs/>
                <w:sz w:val="20"/>
                <w:szCs w:val="20"/>
                <w:u w:val="single"/>
              </w:rPr>
            </w:pPr>
            <w:bookmarkStart w:id="3" w:name="_Hlk47012860"/>
            <w:r w:rsidRPr="00903F89">
              <w:rPr>
                <w:rFonts w:cs="Arial"/>
                <w:b/>
                <w:bCs/>
                <w:sz w:val="20"/>
                <w:szCs w:val="20"/>
                <w:u w:val="single"/>
              </w:rPr>
              <w:t>Υπο</w:t>
            </w:r>
            <w:r w:rsidR="004629D1" w:rsidRPr="00903F89">
              <w:rPr>
                <w:rFonts w:cs="Arial"/>
                <w:b/>
                <w:bCs/>
                <w:sz w:val="20"/>
                <w:szCs w:val="20"/>
                <w:u w:val="single"/>
              </w:rPr>
              <w:t>ομάδα</w:t>
            </w:r>
            <w:r w:rsidRPr="00903F89">
              <w:rPr>
                <w:rFonts w:cs="Arial"/>
                <w:b/>
                <w:bCs/>
                <w:sz w:val="20"/>
                <w:szCs w:val="20"/>
                <w:u w:val="single"/>
              </w:rPr>
              <w:t xml:space="preserve"> 11</w:t>
            </w:r>
            <w:r w:rsidR="045AFEAA" w:rsidRPr="00903F89">
              <w:rPr>
                <w:rFonts w:cs="Arial"/>
                <w:b/>
                <w:bCs/>
                <w:sz w:val="20"/>
                <w:szCs w:val="20"/>
                <w:u w:val="single"/>
              </w:rPr>
              <w:t xml:space="preserve"> – </w:t>
            </w:r>
            <w:r w:rsidRPr="00903F89">
              <w:rPr>
                <w:rFonts w:cs="Arial"/>
                <w:b/>
                <w:bCs/>
                <w:sz w:val="20"/>
                <w:szCs w:val="20"/>
                <w:u w:val="single"/>
              </w:rPr>
              <w:t xml:space="preserve">Τρέχουσες Δαπάνες </w:t>
            </w:r>
            <w:r w:rsidR="045AFEAA" w:rsidRPr="00903F89">
              <w:rPr>
                <w:rFonts w:cs="Arial"/>
                <w:b/>
                <w:bCs/>
                <w:sz w:val="20"/>
                <w:szCs w:val="20"/>
                <w:u w:val="single"/>
              </w:rPr>
              <w:t>Ακαδημαϊκού και Άλλου Προσωπικού</w:t>
            </w:r>
          </w:p>
        </w:tc>
      </w:tr>
      <w:bookmarkEnd w:id="3"/>
      <w:tr w:rsidR="007422AB" w:rsidRPr="00903F89" w14:paraId="37408962" w14:textId="77777777" w:rsidTr="007422AB">
        <w:tc>
          <w:tcPr>
            <w:tcW w:w="2572" w:type="dxa"/>
            <w:gridSpan w:val="3"/>
          </w:tcPr>
          <w:p w14:paraId="38291725" w14:textId="77777777" w:rsidR="00564C20" w:rsidRPr="00903F89" w:rsidRDefault="00564C20" w:rsidP="00903F89">
            <w:pPr>
              <w:jc w:val="both"/>
              <w:rPr>
                <w:rFonts w:cs="Arial"/>
                <w:b/>
                <w:sz w:val="20"/>
                <w:szCs w:val="20"/>
                <w:u w:val="single"/>
              </w:rPr>
            </w:pPr>
          </w:p>
        </w:tc>
        <w:tc>
          <w:tcPr>
            <w:tcW w:w="3107" w:type="dxa"/>
            <w:gridSpan w:val="2"/>
          </w:tcPr>
          <w:p w14:paraId="1B69B139" w14:textId="77777777" w:rsidR="00564C20" w:rsidRPr="00903F89" w:rsidRDefault="00564C20" w:rsidP="00903F89">
            <w:pPr>
              <w:jc w:val="both"/>
              <w:rPr>
                <w:rFonts w:cs="Arial"/>
                <w:b/>
                <w:sz w:val="20"/>
                <w:szCs w:val="20"/>
                <w:u w:val="single"/>
              </w:rPr>
            </w:pPr>
          </w:p>
        </w:tc>
        <w:tc>
          <w:tcPr>
            <w:tcW w:w="5094" w:type="dxa"/>
            <w:gridSpan w:val="2"/>
          </w:tcPr>
          <w:p w14:paraId="40C095D3" w14:textId="77777777" w:rsidR="00564C20" w:rsidRPr="00903F89" w:rsidRDefault="00564C20" w:rsidP="00903F89">
            <w:pPr>
              <w:jc w:val="both"/>
              <w:rPr>
                <w:rFonts w:cs="Arial"/>
                <w:b/>
                <w:sz w:val="20"/>
                <w:szCs w:val="20"/>
                <w:u w:val="single"/>
              </w:rPr>
            </w:pPr>
          </w:p>
        </w:tc>
      </w:tr>
      <w:tr w:rsidR="007422AB" w:rsidRPr="00903F89" w14:paraId="677E703B" w14:textId="77777777" w:rsidTr="007422AB">
        <w:tc>
          <w:tcPr>
            <w:tcW w:w="10773" w:type="dxa"/>
            <w:gridSpan w:val="7"/>
            <w:shd w:val="clear" w:color="auto" w:fill="auto"/>
          </w:tcPr>
          <w:p w14:paraId="081D4F78" w14:textId="6E2F3DD9" w:rsidR="00363756" w:rsidRPr="00903F89" w:rsidRDefault="5E334461" w:rsidP="00903F89">
            <w:pPr>
              <w:jc w:val="both"/>
              <w:rPr>
                <w:rFonts w:cs="Arial"/>
                <w:b/>
                <w:bCs/>
                <w:sz w:val="20"/>
                <w:szCs w:val="20"/>
              </w:rPr>
            </w:pPr>
            <w:r w:rsidRPr="00903F89">
              <w:rPr>
                <w:rFonts w:cs="Arial"/>
                <w:b/>
                <w:bCs/>
                <w:sz w:val="20"/>
                <w:szCs w:val="20"/>
                <w:u w:val="single"/>
              </w:rPr>
              <w:t xml:space="preserve">Άρθρο </w:t>
            </w:r>
            <w:r w:rsidR="002A4B3B" w:rsidRPr="00903F89">
              <w:rPr>
                <w:rFonts w:cs="Arial"/>
                <w:b/>
                <w:bCs/>
                <w:sz w:val="20"/>
                <w:szCs w:val="20"/>
                <w:u w:val="single"/>
              </w:rPr>
              <w:t>11-</w:t>
            </w:r>
            <w:r w:rsidRPr="00903F89">
              <w:rPr>
                <w:rFonts w:cs="Arial"/>
                <w:b/>
                <w:bCs/>
                <w:sz w:val="20"/>
                <w:szCs w:val="20"/>
                <w:u w:val="single"/>
              </w:rPr>
              <w:t>101 – Βασικοί Μισθοί – €</w:t>
            </w:r>
            <w:r w:rsidR="00B613A0" w:rsidRPr="00903F89">
              <w:rPr>
                <w:rFonts w:cs="Arial"/>
                <w:b/>
                <w:bCs/>
                <w:sz w:val="20"/>
                <w:szCs w:val="20"/>
                <w:u w:val="single"/>
              </w:rPr>
              <w:t>27.833.530</w:t>
            </w:r>
          </w:p>
        </w:tc>
      </w:tr>
      <w:tr w:rsidR="007422AB" w:rsidRPr="00903F89" w14:paraId="57FC5DE0" w14:textId="77777777" w:rsidTr="007422AB">
        <w:tc>
          <w:tcPr>
            <w:tcW w:w="2572" w:type="dxa"/>
            <w:gridSpan w:val="3"/>
          </w:tcPr>
          <w:p w14:paraId="78A465C4" w14:textId="77777777" w:rsidR="00564C20" w:rsidRPr="00903F89" w:rsidRDefault="00564C20" w:rsidP="00903F89">
            <w:pPr>
              <w:jc w:val="both"/>
              <w:rPr>
                <w:rFonts w:cs="Arial"/>
                <w:b/>
                <w:sz w:val="20"/>
                <w:szCs w:val="20"/>
                <w:u w:val="single"/>
              </w:rPr>
            </w:pPr>
          </w:p>
        </w:tc>
        <w:tc>
          <w:tcPr>
            <w:tcW w:w="3107" w:type="dxa"/>
            <w:gridSpan w:val="2"/>
          </w:tcPr>
          <w:p w14:paraId="55E10457" w14:textId="77777777" w:rsidR="00564C20" w:rsidRPr="00903F89" w:rsidRDefault="00564C20" w:rsidP="00903F89">
            <w:pPr>
              <w:jc w:val="both"/>
              <w:rPr>
                <w:rFonts w:cs="Arial"/>
                <w:b/>
                <w:sz w:val="20"/>
                <w:szCs w:val="20"/>
                <w:u w:val="single"/>
              </w:rPr>
            </w:pPr>
          </w:p>
        </w:tc>
        <w:tc>
          <w:tcPr>
            <w:tcW w:w="5094" w:type="dxa"/>
            <w:gridSpan w:val="2"/>
          </w:tcPr>
          <w:p w14:paraId="34706C6D" w14:textId="77777777" w:rsidR="00564C20" w:rsidRPr="00903F89" w:rsidRDefault="00564C20" w:rsidP="00903F89">
            <w:pPr>
              <w:jc w:val="both"/>
              <w:rPr>
                <w:rFonts w:cs="Arial"/>
                <w:b/>
                <w:sz w:val="20"/>
                <w:szCs w:val="20"/>
                <w:u w:val="single"/>
              </w:rPr>
            </w:pPr>
          </w:p>
        </w:tc>
      </w:tr>
      <w:tr w:rsidR="007422AB" w:rsidRPr="00903F89" w14:paraId="5B8E535D" w14:textId="77777777" w:rsidTr="007422AB">
        <w:tc>
          <w:tcPr>
            <w:tcW w:w="10773" w:type="dxa"/>
            <w:gridSpan w:val="7"/>
          </w:tcPr>
          <w:p w14:paraId="4BE64267" w14:textId="08CDC09A" w:rsidR="00D701FF" w:rsidRPr="00903F89" w:rsidRDefault="045AFEAA" w:rsidP="00903F89">
            <w:pPr>
              <w:jc w:val="both"/>
              <w:rPr>
                <w:rFonts w:eastAsia="Arial" w:cs="Arial"/>
                <w:b/>
                <w:bCs/>
                <w:sz w:val="20"/>
                <w:szCs w:val="20"/>
                <w:u w:val="single"/>
              </w:rPr>
            </w:pPr>
            <w:r w:rsidRPr="00903F89">
              <w:rPr>
                <w:rFonts w:cs="Arial"/>
                <w:sz w:val="20"/>
                <w:szCs w:val="20"/>
              </w:rPr>
              <w:t xml:space="preserve">Η πρόνοια αφορά στους βασικούς μισθούς </w:t>
            </w:r>
            <w:r w:rsidR="00060BFC" w:rsidRPr="00903F89">
              <w:rPr>
                <w:rFonts w:cs="Arial"/>
                <w:sz w:val="20"/>
                <w:szCs w:val="20"/>
              </w:rPr>
              <w:t>τετρακόσιων πενήντα έξι (</w:t>
            </w:r>
            <w:r w:rsidRPr="00903F89">
              <w:rPr>
                <w:rFonts w:cs="Arial"/>
                <w:sz w:val="20"/>
                <w:szCs w:val="20"/>
              </w:rPr>
              <w:t>456</w:t>
            </w:r>
            <w:r w:rsidR="00060BFC" w:rsidRPr="00903F89">
              <w:rPr>
                <w:rFonts w:cs="Arial"/>
                <w:sz w:val="20"/>
                <w:szCs w:val="20"/>
              </w:rPr>
              <w:t>)</w:t>
            </w:r>
            <w:r w:rsidRPr="00903F89">
              <w:rPr>
                <w:rFonts w:cs="Arial"/>
                <w:sz w:val="20"/>
                <w:szCs w:val="20"/>
              </w:rPr>
              <w:t xml:space="preserve"> εγκεκριμένων θέσεων</w:t>
            </w:r>
            <w:r w:rsidRPr="00903F89">
              <w:rPr>
                <w:rFonts w:eastAsia="Arial" w:cs="Arial"/>
                <w:sz w:val="20"/>
                <w:szCs w:val="20"/>
              </w:rPr>
              <w:t xml:space="preserve"> </w:t>
            </w:r>
            <w:r w:rsidRPr="00903F89">
              <w:rPr>
                <w:rFonts w:cs="Arial"/>
                <w:sz w:val="20"/>
                <w:szCs w:val="20"/>
              </w:rPr>
              <w:t>Καθηγητή (Κλ. Α15 και Α16) ή Αναπληρωτή Καθηγητή (Κλ. Α14 και Α15) ή Επίκουρου Καθηγητή (Κλ. Α13 και Α14) ή Λέκτορα (Κλ. Α12 και Α13).</w:t>
            </w:r>
          </w:p>
        </w:tc>
      </w:tr>
      <w:tr w:rsidR="007422AB" w:rsidRPr="00903F89" w14:paraId="00874A4B" w14:textId="77777777" w:rsidTr="007422AB">
        <w:tc>
          <w:tcPr>
            <w:tcW w:w="2572" w:type="dxa"/>
            <w:gridSpan w:val="3"/>
          </w:tcPr>
          <w:p w14:paraId="66DDA5EA" w14:textId="77777777" w:rsidR="00564C20" w:rsidRPr="00903F89" w:rsidRDefault="00564C20" w:rsidP="00903F89">
            <w:pPr>
              <w:jc w:val="both"/>
              <w:rPr>
                <w:rFonts w:cs="Arial"/>
                <w:b/>
                <w:sz w:val="20"/>
                <w:szCs w:val="20"/>
                <w:u w:val="single"/>
              </w:rPr>
            </w:pPr>
          </w:p>
        </w:tc>
        <w:tc>
          <w:tcPr>
            <w:tcW w:w="3107" w:type="dxa"/>
            <w:gridSpan w:val="2"/>
          </w:tcPr>
          <w:p w14:paraId="6032E1FD" w14:textId="77777777" w:rsidR="00564C20" w:rsidRPr="00903F89" w:rsidRDefault="00564C20" w:rsidP="00903F89">
            <w:pPr>
              <w:jc w:val="both"/>
              <w:rPr>
                <w:rFonts w:cs="Arial"/>
                <w:b/>
                <w:sz w:val="20"/>
                <w:szCs w:val="20"/>
                <w:u w:val="single"/>
              </w:rPr>
            </w:pPr>
          </w:p>
        </w:tc>
        <w:tc>
          <w:tcPr>
            <w:tcW w:w="5094" w:type="dxa"/>
            <w:gridSpan w:val="2"/>
          </w:tcPr>
          <w:p w14:paraId="1B149AE7" w14:textId="77777777" w:rsidR="00564C20" w:rsidRPr="00903F89" w:rsidRDefault="00564C20" w:rsidP="00903F89">
            <w:pPr>
              <w:jc w:val="both"/>
              <w:rPr>
                <w:rFonts w:cs="Arial"/>
                <w:b/>
                <w:sz w:val="20"/>
                <w:szCs w:val="20"/>
                <w:u w:val="single"/>
              </w:rPr>
            </w:pPr>
          </w:p>
        </w:tc>
      </w:tr>
      <w:tr w:rsidR="007422AB" w:rsidRPr="00903F89" w14:paraId="63AD5609" w14:textId="77777777" w:rsidTr="007422AB">
        <w:tc>
          <w:tcPr>
            <w:tcW w:w="10773" w:type="dxa"/>
            <w:gridSpan w:val="7"/>
          </w:tcPr>
          <w:p w14:paraId="419DF42E" w14:textId="0B94F8CD" w:rsidR="00D701FF" w:rsidRPr="00903F89" w:rsidRDefault="00143ADA" w:rsidP="00903F89">
            <w:pPr>
              <w:jc w:val="both"/>
              <w:rPr>
                <w:rFonts w:eastAsia="Arial" w:cs="Arial"/>
                <w:b/>
                <w:bCs/>
                <w:sz w:val="20"/>
                <w:szCs w:val="20"/>
                <w:u w:val="single"/>
              </w:rPr>
            </w:pPr>
            <w:r w:rsidRPr="00903F89">
              <w:rPr>
                <w:rFonts w:cs="Arial"/>
                <w:sz w:val="20"/>
                <w:szCs w:val="20"/>
              </w:rPr>
              <w:t>Με βάση τον Περί Πανεπιστημίου Κύπρου (Τροποποιητικό) Νόμο του 2001 (Ν. 44(Ι)/2001), άρθρο 21, εδάφιο (4) «Οι τέσσερις βαθμίδες που αναφέρονται στο εδάφιο (1) είναι συνδυασμένες. Τα μέλη του Ακαδημαϊκού προσωπικού εκλέγονται, αξιολογούνται και ανελίσσονται σε ανώτερη βαθμίδα, σύμφωνα με τη διαδικασία που προβλέπεται σε Κανονισμούς. Η διάκριση σε μόνιμες και μη μόνιμες θέσεις καταργείται.»</w:t>
            </w:r>
          </w:p>
        </w:tc>
      </w:tr>
      <w:tr w:rsidR="007422AB" w:rsidRPr="00903F89" w14:paraId="5E6BB1E8" w14:textId="77777777" w:rsidTr="007422AB">
        <w:tc>
          <w:tcPr>
            <w:tcW w:w="2572" w:type="dxa"/>
            <w:gridSpan w:val="3"/>
          </w:tcPr>
          <w:p w14:paraId="40BC0044" w14:textId="77777777" w:rsidR="00564C20" w:rsidRPr="00903F89" w:rsidRDefault="00564C20" w:rsidP="00903F89">
            <w:pPr>
              <w:jc w:val="both"/>
              <w:rPr>
                <w:rFonts w:cs="Arial"/>
                <w:b/>
                <w:sz w:val="20"/>
                <w:szCs w:val="20"/>
                <w:u w:val="single"/>
              </w:rPr>
            </w:pPr>
          </w:p>
        </w:tc>
        <w:tc>
          <w:tcPr>
            <w:tcW w:w="3107" w:type="dxa"/>
            <w:gridSpan w:val="2"/>
          </w:tcPr>
          <w:p w14:paraId="0762F81D" w14:textId="77777777" w:rsidR="00564C20" w:rsidRPr="00903F89" w:rsidRDefault="00564C20" w:rsidP="00903F89">
            <w:pPr>
              <w:jc w:val="both"/>
              <w:rPr>
                <w:rFonts w:cs="Arial"/>
                <w:b/>
                <w:sz w:val="20"/>
                <w:szCs w:val="20"/>
                <w:u w:val="single"/>
              </w:rPr>
            </w:pPr>
          </w:p>
        </w:tc>
        <w:tc>
          <w:tcPr>
            <w:tcW w:w="5094" w:type="dxa"/>
            <w:gridSpan w:val="2"/>
          </w:tcPr>
          <w:p w14:paraId="7AD527FB" w14:textId="77777777" w:rsidR="00564C20" w:rsidRPr="00903F89" w:rsidRDefault="00564C20" w:rsidP="00903F89">
            <w:pPr>
              <w:jc w:val="both"/>
              <w:rPr>
                <w:rFonts w:cs="Arial"/>
                <w:b/>
                <w:sz w:val="20"/>
                <w:szCs w:val="20"/>
                <w:u w:val="single"/>
              </w:rPr>
            </w:pPr>
          </w:p>
        </w:tc>
      </w:tr>
      <w:tr w:rsidR="007422AB" w:rsidRPr="00903F89" w14:paraId="6CD445E6" w14:textId="77777777" w:rsidTr="007422AB">
        <w:tc>
          <w:tcPr>
            <w:tcW w:w="10773" w:type="dxa"/>
            <w:gridSpan w:val="7"/>
          </w:tcPr>
          <w:p w14:paraId="02AE1E7D" w14:textId="15BA9722" w:rsidR="00D701FF" w:rsidRPr="00903F89" w:rsidRDefault="00143ADA" w:rsidP="00903F89">
            <w:pPr>
              <w:jc w:val="both"/>
              <w:rPr>
                <w:rFonts w:eastAsia="Arial" w:cs="Arial"/>
                <w:b/>
                <w:bCs/>
                <w:sz w:val="20"/>
                <w:szCs w:val="20"/>
                <w:u w:val="single"/>
              </w:rPr>
            </w:pPr>
            <w:r w:rsidRPr="00903F89">
              <w:rPr>
                <w:rFonts w:cs="Arial"/>
                <w:sz w:val="20"/>
                <w:szCs w:val="20"/>
              </w:rPr>
              <w:t>Οι ανελίξεις γίνονται σύμφωνα με τους Περί Πανεπιστημίου Κύπρου (Εκλογή, Ανέλιξη και Ανανέωση Συμβάσεων Ακαδημαϊκού Προσωπικού) (Τροποποιητικούς) Κανονισμούς του 2001 ΚΔΠ/45/2001 Μέρος ΙV - Αξιολόγηση, Ανέλιξη και Τερματισμός Απασχόλησης Ακαδημαϊκού Προσωπικού. «Το ένα δέκατο του εκάστοτε αριθμού θέσεων του ακαδημαϊκού προσωπικού δεν προκηρύσσονται επειδή προορίζονται για πρόσκληση επισκεπτών καθηγητών ή μετάκληση Καθηγητών.»</w:t>
            </w:r>
          </w:p>
        </w:tc>
      </w:tr>
      <w:tr w:rsidR="007422AB" w:rsidRPr="00903F89" w14:paraId="46ABE17F" w14:textId="77777777" w:rsidTr="007422AB">
        <w:tc>
          <w:tcPr>
            <w:tcW w:w="2572" w:type="dxa"/>
            <w:gridSpan w:val="3"/>
          </w:tcPr>
          <w:p w14:paraId="4B73CC9D" w14:textId="77777777" w:rsidR="00564C20" w:rsidRPr="00903F89" w:rsidRDefault="00564C20" w:rsidP="00903F89">
            <w:pPr>
              <w:jc w:val="both"/>
              <w:rPr>
                <w:rFonts w:cs="Arial"/>
                <w:b/>
                <w:sz w:val="20"/>
                <w:szCs w:val="20"/>
                <w:u w:val="single"/>
              </w:rPr>
            </w:pPr>
          </w:p>
        </w:tc>
        <w:tc>
          <w:tcPr>
            <w:tcW w:w="3107" w:type="dxa"/>
            <w:gridSpan w:val="2"/>
          </w:tcPr>
          <w:p w14:paraId="347D76E2" w14:textId="77777777" w:rsidR="00564C20" w:rsidRPr="00903F89" w:rsidRDefault="00564C20" w:rsidP="00903F89">
            <w:pPr>
              <w:jc w:val="both"/>
              <w:rPr>
                <w:rFonts w:cs="Arial"/>
                <w:b/>
                <w:sz w:val="20"/>
                <w:szCs w:val="20"/>
                <w:u w:val="single"/>
              </w:rPr>
            </w:pPr>
          </w:p>
        </w:tc>
        <w:tc>
          <w:tcPr>
            <w:tcW w:w="5094" w:type="dxa"/>
            <w:gridSpan w:val="2"/>
          </w:tcPr>
          <w:p w14:paraId="4C467964" w14:textId="77777777" w:rsidR="00564C20" w:rsidRPr="00903F89" w:rsidRDefault="00564C20" w:rsidP="00903F89">
            <w:pPr>
              <w:jc w:val="both"/>
              <w:rPr>
                <w:rFonts w:cs="Arial"/>
                <w:b/>
                <w:sz w:val="20"/>
                <w:szCs w:val="20"/>
                <w:u w:val="single"/>
              </w:rPr>
            </w:pPr>
          </w:p>
        </w:tc>
      </w:tr>
      <w:tr w:rsidR="007422AB" w:rsidRPr="00903F89" w14:paraId="0912086D" w14:textId="77777777" w:rsidTr="007422AB">
        <w:tc>
          <w:tcPr>
            <w:tcW w:w="10773" w:type="dxa"/>
            <w:gridSpan w:val="7"/>
          </w:tcPr>
          <w:p w14:paraId="1BB85142" w14:textId="20C973FD" w:rsidR="00D701FF" w:rsidRPr="00903F89" w:rsidRDefault="00E402AA" w:rsidP="00903F89">
            <w:pPr>
              <w:jc w:val="both"/>
              <w:rPr>
                <w:rFonts w:eastAsia="Arial" w:cs="Arial"/>
                <w:sz w:val="20"/>
                <w:szCs w:val="20"/>
              </w:rPr>
            </w:pPr>
            <w:r w:rsidRPr="00903F89">
              <w:rPr>
                <w:rFonts w:cs="Arial"/>
                <w:sz w:val="20"/>
                <w:szCs w:val="20"/>
              </w:rPr>
              <w:t>Κατά την ημερομηνία σύνταξης του Προϋπολογισμού του 2022 (ημερ. 27/10/2021) τριακόσια σαράντα πέντε (345) μέλη του Ακαδημαϊκού Προσωπικού [από το σύνολο των τετρακόσιων πενήντα έξι (456)</w:t>
            </w:r>
            <w:r w:rsidR="00060BFC" w:rsidRPr="00903F89">
              <w:rPr>
                <w:rFonts w:cs="Arial"/>
                <w:sz w:val="20"/>
                <w:szCs w:val="20"/>
              </w:rPr>
              <w:t xml:space="preserve"> εγκεκριμένων θέσεων</w:t>
            </w:r>
            <w:r w:rsidRPr="00903F89">
              <w:rPr>
                <w:rFonts w:cs="Arial"/>
                <w:sz w:val="20"/>
                <w:szCs w:val="20"/>
              </w:rPr>
              <w:t>], αναμένεται να πληρούν θέση το 2022 στις τέσσερις βαθμίδες ως ακολούθως:</w:t>
            </w:r>
          </w:p>
        </w:tc>
      </w:tr>
      <w:tr w:rsidR="007422AB" w:rsidRPr="00903F89" w14:paraId="6F20605D" w14:textId="77777777" w:rsidTr="007422AB">
        <w:tc>
          <w:tcPr>
            <w:tcW w:w="10773" w:type="dxa"/>
            <w:gridSpan w:val="7"/>
            <w:tcBorders>
              <w:bottom w:val="single" w:sz="4" w:space="0" w:color="000000" w:themeColor="text1"/>
            </w:tcBorders>
          </w:tcPr>
          <w:p w14:paraId="61936897" w14:textId="77777777" w:rsidR="00D1102C" w:rsidRPr="00903F89" w:rsidRDefault="00D1102C" w:rsidP="00903F89">
            <w:pPr>
              <w:jc w:val="both"/>
              <w:rPr>
                <w:rFonts w:cs="Arial"/>
                <w:sz w:val="20"/>
                <w:szCs w:val="20"/>
              </w:rPr>
            </w:pPr>
          </w:p>
        </w:tc>
      </w:tr>
      <w:tr w:rsidR="007422AB" w:rsidRPr="00903F89" w14:paraId="6B2DFE9A" w14:textId="77777777" w:rsidTr="00130787">
        <w:trPr>
          <w:trHeight w:val="10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D0C7E" w14:textId="3A4E441B" w:rsidR="00E402AA" w:rsidRPr="00903F89" w:rsidRDefault="00E402AA" w:rsidP="00130787">
            <w:pPr>
              <w:rPr>
                <w:rFonts w:cs="Arial"/>
                <w:sz w:val="20"/>
                <w:szCs w:val="20"/>
              </w:rPr>
            </w:pPr>
            <w:r w:rsidRPr="00903F89">
              <w:rPr>
                <w:rFonts w:cs="Arial"/>
                <w:sz w:val="20"/>
                <w:szCs w:val="20"/>
              </w:rPr>
              <w:t>345</w:t>
            </w:r>
          </w:p>
        </w:tc>
        <w:tc>
          <w:tcPr>
            <w:tcW w:w="99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2CE38" w14:textId="728E1DB4" w:rsidR="00E402AA" w:rsidRPr="00903F89" w:rsidRDefault="00E402AA" w:rsidP="00903F89">
            <w:pPr>
              <w:jc w:val="both"/>
              <w:rPr>
                <w:rFonts w:cs="Arial"/>
                <w:sz w:val="20"/>
                <w:szCs w:val="20"/>
              </w:rPr>
            </w:pPr>
            <w:r w:rsidRPr="00903F89">
              <w:rPr>
                <w:rFonts w:cs="Arial"/>
                <w:sz w:val="20"/>
                <w:szCs w:val="20"/>
              </w:rPr>
              <w:t>Σύνολο Πληρωμένων Θέσεων το 2022</w:t>
            </w:r>
          </w:p>
        </w:tc>
      </w:tr>
      <w:tr w:rsidR="007422AB" w:rsidRPr="00903F89" w14:paraId="5C4267BF" w14:textId="77777777" w:rsidTr="00130787">
        <w:trPr>
          <w:trHeight w:val="86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28613" w14:textId="77777777" w:rsidR="00E402AA" w:rsidRPr="00903F89" w:rsidRDefault="00E402AA" w:rsidP="00130787">
            <w:pPr>
              <w:rPr>
                <w:rFonts w:cs="Arial"/>
                <w:sz w:val="20"/>
                <w:szCs w:val="20"/>
              </w:rPr>
            </w:pPr>
            <w:r w:rsidRPr="00903F89">
              <w:rPr>
                <w:rFonts w:cs="Arial"/>
                <w:sz w:val="20"/>
                <w:szCs w:val="20"/>
              </w:rPr>
              <w:t>122</w:t>
            </w:r>
          </w:p>
          <w:p w14:paraId="4293DBDE" w14:textId="77777777" w:rsidR="00130787" w:rsidRDefault="00E402AA" w:rsidP="00130787">
            <w:pPr>
              <w:rPr>
                <w:rFonts w:cs="Arial"/>
                <w:sz w:val="20"/>
                <w:szCs w:val="20"/>
              </w:rPr>
            </w:pPr>
            <w:r w:rsidRPr="00903F89">
              <w:rPr>
                <w:rFonts w:cs="Arial"/>
                <w:sz w:val="20"/>
                <w:szCs w:val="20"/>
              </w:rPr>
              <w:t>127</w:t>
            </w:r>
          </w:p>
          <w:p w14:paraId="263FEFEA" w14:textId="77777777" w:rsidR="00130787" w:rsidRDefault="00E402AA" w:rsidP="00130787">
            <w:pPr>
              <w:rPr>
                <w:rFonts w:cs="Arial"/>
                <w:sz w:val="20"/>
                <w:szCs w:val="20"/>
              </w:rPr>
            </w:pPr>
            <w:r w:rsidRPr="00903F89">
              <w:rPr>
                <w:rFonts w:cs="Arial"/>
                <w:sz w:val="20"/>
                <w:szCs w:val="20"/>
              </w:rPr>
              <w:t>47</w:t>
            </w:r>
          </w:p>
          <w:p w14:paraId="64CE4BDD" w14:textId="7DE39D53" w:rsidR="00E402AA" w:rsidRPr="00903F89" w:rsidRDefault="00E402AA" w:rsidP="00130787">
            <w:pPr>
              <w:rPr>
                <w:rFonts w:cs="Arial"/>
                <w:sz w:val="20"/>
                <w:szCs w:val="20"/>
              </w:rPr>
            </w:pPr>
            <w:r w:rsidRPr="00903F89">
              <w:rPr>
                <w:rFonts w:cs="Arial"/>
                <w:sz w:val="20"/>
                <w:szCs w:val="20"/>
              </w:rPr>
              <w:t>49</w:t>
            </w:r>
          </w:p>
        </w:tc>
        <w:tc>
          <w:tcPr>
            <w:tcW w:w="99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35BA8C" w14:textId="3C7DE5C3" w:rsidR="00E402AA" w:rsidRPr="00903F89" w:rsidRDefault="00E402AA" w:rsidP="007422AB">
            <w:pPr>
              <w:rPr>
                <w:rFonts w:cs="Arial"/>
                <w:sz w:val="20"/>
                <w:szCs w:val="20"/>
              </w:rPr>
            </w:pPr>
            <w:r w:rsidRPr="00903F89">
              <w:rPr>
                <w:rFonts w:cs="Arial"/>
                <w:sz w:val="20"/>
                <w:szCs w:val="20"/>
              </w:rPr>
              <w:t>Καθηγητές (Κλ. Α15 και Α16)</w:t>
            </w:r>
            <w:r w:rsidRPr="00903F89">
              <w:rPr>
                <w:rFonts w:cs="Arial"/>
                <w:sz w:val="20"/>
                <w:szCs w:val="20"/>
              </w:rPr>
              <w:br/>
              <w:t>Αναπληρωτές Καθηγητές (Κλ. Α14 και Α15)</w:t>
            </w:r>
            <w:r w:rsidRPr="00903F89">
              <w:rPr>
                <w:rFonts w:cs="Arial"/>
                <w:sz w:val="20"/>
                <w:szCs w:val="20"/>
              </w:rPr>
              <w:br/>
              <w:t>Επίκουροι Καθηγητές (Κλ. Α13 και Α14)</w:t>
            </w:r>
            <w:r w:rsidRPr="00903F89">
              <w:rPr>
                <w:rFonts w:cs="Arial"/>
                <w:sz w:val="20"/>
                <w:szCs w:val="20"/>
              </w:rPr>
              <w:br/>
              <w:t xml:space="preserve">Λέκτορες (Κλ. Α12 και Α13) </w:t>
            </w:r>
          </w:p>
        </w:tc>
      </w:tr>
      <w:tr w:rsidR="007422AB" w:rsidRPr="00903F89" w14:paraId="25F58ED5" w14:textId="77777777" w:rsidTr="007422AB">
        <w:tc>
          <w:tcPr>
            <w:tcW w:w="2572" w:type="dxa"/>
            <w:gridSpan w:val="3"/>
            <w:tcBorders>
              <w:top w:val="single" w:sz="4" w:space="0" w:color="000000" w:themeColor="text1"/>
            </w:tcBorders>
          </w:tcPr>
          <w:p w14:paraId="1FFC81EF" w14:textId="77777777" w:rsidR="00D1102C" w:rsidRPr="00903F89" w:rsidRDefault="00D1102C" w:rsidP="00903F89">
            <w:pPr>
              <w:jc w:val="both"/>
              <w:rPr>
                <w:rFonts w:cs="Arial"/>
                <w:b/>
                <w:sz w:val="20"/>
                <w:szCs w:val="20"/>
                <w:u w:val="single"/>
              </w:rPr>
            </w:pPr>
          </w:p>
        </w:tc>
        <w:tc>
          <w:tcPr>
            <w:tcW w:w="3107" w:type="dxa"/>
            <w:gridSpan w:val="2"/>
            <w:tcBorders>
              <w:top w:val="single" w:sz="4" w:space="0" w:color="000000" w:themeColor="text1"/>
            </w:tcBorders>
          </w:tcPr>
          <w:p w14:paraId="35115EE7" w14:textId="77777777" w:rsidR="00D1102C" w:rsidRPr="00903F89" w:rsidRDefault="00D1102C" w:rsidP="00903F89">
            <w:pPr>
              <w:jc w:val="both"/>
              <w:rPr>
                <w:rFonts w:cs="Arial"/>
                <w:b/>
                <w:sz w:val="20"/>
                <w:szCs w:val="20"/>
                <w:u w:val="single"/>
              </w:rPr>
            </w:pPr>
          </w:p>
        </w:tc>
        <w:tc>
          <w:tcPr>
            <w:tcW w:w="5094" w:type="dxa"/>
            <w:gridSpan w:val="2"/>
            <w:tcBorders>
              <w:top w:val="single" w:sz="4" w:space="0" w:color="000000" w:themeColor="text1"/>
            </w:tcBorders>
          </w:tcPr>
          <w:p w14:paraId="76729CC8" w14:textId="77777777" w:rsidR="00D1102C" w:rsidRPr="00903F89" w:rsidRDefault="00D1102C" w:rsidP="00903F89">
            <w:pPr>
              <w:jc w:val="both"/>
              <w:rPr>
                <w:rFonts w:cs="Arial"/>
                <w:b/>
                <w:sz w:val="20"/>
                <w:szCs w:val="20"/>
                <w:u w:val="single"/>
              </w:rPr>
            </w:pPr>
          </w:p>
        </w:tc>
      </w:tr>
      <w:tr w:rsidR="007422AB" w:rsidRPr="00903F89" w14:paraId="360AD738" w14:textId="77777777" w:rsidTr="007422AB">
        <w:trPr>
          <w:trHeight w:val="329"/>
        </w:trPr>
        <w:tc>
          <w:tcPr>
            <w:tcW w:w="10773" w:type="dxa"/>
            <w:gridSpan w:val="7"/>
            <w:shd w:val="clear" w:color="auto" w:fill="auto"/>
          </w:tcPr>
          <w:p w14:paraId="5BA0773A" w14:textId="48A0CA9D" w:rsidR="00D1102C" w:rsidRPr="00903F89" w:rsidRDefault="00E402AA" w:rsidP="00903F89">
            <w:pPr>
              <w:jc w:val="both"/>
              <w:rPr>
                <w:rFonts w:eastAsia="Arial" w:cs="Arial"/>
                <w:sz w:val="20"/>
                <w:szCs w:val="20"/>
              </w:rPr>
            </w:pPr>
            <w:r w:rsidRPr="00903F89">
              <w:rPr>
                <w:rFonts w:cs="Arial"/>
                <w:sz w:val="20"/>
                <w:szCs w:val="20"/>
              </w:rPr>
              <w:t>Από τις υπόλοιπες εκατόν έντεκα (111) κενές οργανικές θέσεις Ακαδημαϊκού Προσωπικού, δεκαεπτά (17) θέσεις διατηρούνται στον Προϋπολογισμό του Πανεπιστημίου Κύπρου για το 2022 με μηδενική πρόνοια και ενενήντα τέσσερις (94) περιλαμβάνονται με ενδεικτική ή πλήρη πρόνοια</w:t>
            </w:r>
            <w:r w:rsidR="00AD5715">
              <w:rPr>
                <w:rFonts w:cs="Arial"/>
                <w:sz w:val="20"/>
                <w:szCs w:val="20"/>
              </w:rPr>
              <w:t xml:space="preserve"> (βλ. επίσης </w:t>
            </w:r>
            <w:r w:rsidR="006D5EE4" w:rsidRPr="00903F89">
              <w:rPr>
                <w:rFonts w:cs="Arial"/>
                <w:sz w:val="20"/>
                <w:szCs w:val="20"/>
              </w:rPr>
              <w:t>ΠΑΡΑΡΤΗΜΑ Ι</w:t>
            </w:r>
            <w:r w:rsidR="00AD5715">
              <w:rPr>
                <w:rFonts w:cs="Arial"/>
                <w:sz w:val="20"/>
                <w:szCs w:val="20"/>
              </w:rPr>
              <w:t>)</w:t>
            </w:r>
            <w:r w:rsidR="006D5EE4" w:rsidRPr="00903F89">
              <w:rPr>
                <w:rFonts w:cs="Arial"/>
                <w:sz w:val="20"/>
                <w:szCs w:val="20"/>
              </w:rPr>
              <w:t>.</w:t>
            </w:r>
          </w:p>
        </w:tc>
      </w:tr>
      <w:tr w:rsidR="007422AB" w:rsidRPr="00903F89" w14:paraId="089DE0F5" w14:textId="77777777" w:rsidTr="007422AB">
        <w:tc>
          <w:tcPr>
            <w:tcW w:w="10773" w:type="dxa"/>
            <w:gridSpan w:val="7"/>
            <w:shd w:val="clear" w:color="auto" w:fill="auto"/>
          </w:tcPr>
          <w:p w14:paraId="393A3206" w14:textId="4678E3F7" w:rsidR="002579AA" w:rsidRPr="00903F89" w:rsidRDefault="002579AA" w:rsidP="00903F89">
            <w:pPr>
              <w:jc w:val="both"/>
              <w:rPr>
                <w:rFonts w:cs="Arial"/>
                <w:b/>
                <w:i/>
                <w:sz w:val="20"/>
                <w:szCs w:val="20"/>
              </w:rPr>
            </w:pPr>
          </w:p>
        </w:tc>
      </w:tr>
      <w:tr w:rsidR="007422AB" w:rsidRPr="00903F89" w14:paraId="445809A3" w14:textId="77777777" w:rsidTr="007422AB">
        <w:tc>
          <w:tcPr>
            <w:tcW w:w="10773" w:type="dxa"/>
            <w:gridSpan w:val="7"/>
            <w:shd w:val="clear" w:color="auto" w:fill="auto"/>
          </w:tcPr>
          <w:p w14:paraId="661765C9" w14:textId="77777777" w:rsidR="00301107" w:rsidRPr="00903F89" w:rsidRDefault="00301107" w:rsidP="00903F89">
            <w:pPr>
              <w:tabs>
                <w:tab w:val="left" w:pos="462"/>
              </w:tabs>
              <w:jc w:val="both"/>
              <w:rPr>
                <w:rFonts w:cs="Arial"/>
                <w:sz w:val="20"/>
                <w:szCs w:val="20"/>
              </w:rPr>
            </w:pPr>
            <w:r w:rsidRPr="00903F89">
              <w:rPr>
                <w:rFonts w:cs="Arial"/>
                <w:sz w:val="20"/>
                <w:szCs w:val="20"/>
              </w:rPr>
              <w:t xml:space="preserve">Πρόνοια στο παρόν εδάφιο προορίζεται να καλύψει δαπάνες που διενεργούνται στα πλαίσια της ίδρυσης Εδρών οι οποίες έχουν ήδη πληρωθεί και αφορούν: </w:t>
            </w:r>
          </w:p>
          <w:p w14:paraId="275A82A0" w14:textId="62849070" w:rsidR="00301107" w:rsidRPr="00903F89" w:rsidRDefault="00301107" w:rsidP="006E5981">
            <w:pPr>
              <w:ind w:left="605" w:hanging="605"/>
              <w:jc w:val="both"/>
              <w:rPr>
                <w:rFonts w:cs="Arial"/>
                <w:strike/>
                <w:sz w:val="20"/>
                <w:szCs w:val="20"/>
              </w:rPr>
            </w:pPr>
            <w:r w:rsidRPr="00903F89">
              <w:rPr>
                <w:rFonts w:cs="Arial"/>
                <w:sz w:val="20"/>
                <w:szCs w:val="20"/>
              </w:rPr>
              <w:t xml:space="preserve">(i) </w:t>
            </w:r>
            <w:r w:rsidRPr="00903F89">
              <w:rPr>
                <w:rFonts w:cs="Arial"/>
                <w:sz w:val="20"/>
                <w:szCs w:val="20"/>
              </w:rPr>
              <w:tab/>
              <w:t xml:space="preserve">Τράπεζας Κύπρου στη Χρηματοοικονομική, </w:t>
            </w:r>
          </w:p>
          <w:p w14:paraId="5651F96F" w14:textId="515F4F87" w:rsidR="00301107" w:rsidRPr="00903F89" w:rsidRDefault="00301107" w:rsidP="006E5981">
            <w:pPr>
              <w:ind w:left="605" w:hanging="605"/>
              <w:jc w:val="both"/>
              <w:rPr>
                <w:rFonts w:cs="Arial"/>
                <w:sz w:val="20"/>
                <w:szCs w:val="20"/>
              </w:rPr>
            </w:pPr>
            <w:r w:rsidRPr="00903F89">
              <w:rPr>
                <w:rFonts w:cs="Arial"/>
                <w:sz w:val="20"/>
                <w:szCs w:val="20"/>
              </w:rPr>
              <w:t>(</w:t>
            </w:r>
            <w:proofErr w:type="spellStart"/>
            <w:r w:rsidRPr="00903F89">
              <w:rPr>
                <w:rFonts w:cs="Arial"/>
                <w:sz w:val="20"/>
                <w:szCs w:val="20"/>
              </w:rPr>
              <w:t>ii</w:t>
            </w:r>
            <w:proofErr w:type="spellEnd"/>
            <w:r w:rsidRPr="00903F89">
              <w:rPr>
                <w:rFonts w:cs="Arial"/>
                <w:sz w:val="20"/>
                <w:szCs w:val="20"/>
              </w:rPr>
              <w:t>)</w:t>
            </w:r>
            <w:r w:rsidRPr="00903F89">
              <w:rPr>
                <w:rFonts w:cs="Arial"/>
                <w:sz w:val="20"/>
                <w:szCs w:val="20"/>
              </w:rPr>
              <w:tab/>
            </w:r>
            <w:proofErr w:type="spellStart"/>
            <w:r w:rsidRPr="00903F89">
              <w:rPr>
                <w:rFonts w:cs="Arial"/>
                <w:sz w:val="20"/>
                <w:szCs w:val="20"/>
              </w:rPr>
              <w:t>Eurobank</w:t>
            </w:r>
            <w:proofErr w:type="spellEnd"/>
            <w:r w:rsidRPr="00903F89">
              <w:rPr>
                <w:rFonts w:cs="Arial"/>
                <w:sz w:val="20"/>
                <w:szCs w:val="20"/>
              </w:rPr>
              <w:t xml:space="preserve"> Cyprus </w:t>
            </w:r>
            <w:proofErr w:type="spellStart"/>
            <w:r w:rsidRPr="00903F89">
              <w:rPr>
                <w:rFonts w:cs="Arial"/>
                <w:sz w:val="20"/>
                <w:szCs w:val="20"/>
              </w:rPr>
              <w:t>Ltd</w:t>
            </w:r>
            <w:proofErr w:type="spellEnd"/>
            <w:r w:rsidRPr="00903F89">
              <w:rPr>
                <w:rFonts w:cs="Arial"/>
                <w:sz w:val="20"/>
                <w:szCs w:val="20"/>
              </w:rPr>
              <w:t xml:space="preserve"> (Ιατρική Σχολή), και</w:t>
            </w:r>
          </w:p>
          <w:p w14:paraId="6DA3EA15" w14:textId="06EDCD56" w:rsidR="0023183C" w:rsidRPr="00903F89" w:rsidRDefault="00301107" w:rsidP="006E5981">
            <w:pPr>
              <w:ind w:left="605" w:hanging="605"/>
              <w:jc w:val="both"/>
              <w:rPr>
                <w:rFonts w:cs="Arial"/>
                <w:sz w:val="20"/>
                <w:szCs w:val="20"/>
              </w:rPr>
            </w:pPr>
            <w:r w:rsidRPr="00903F89">
              <w:rPr>
                <w:rFonts w:cs="Arial"/>
                <w:sz w:val="20"/>
                <w:szCs w:val="20"/>
              </w:rPr>
              <w:t>(i</w:t>
            </w:r>
            <w:r w:rsidR="000621A5" w:rsidRPr="00903F89">
              <w:rPr>
                <w:rFonts w:cs="Arial"/>
                <w:sz w:val="20"/>
                <w:szCs w:val="20"/>
                <w:lang w:val="en-GB"/>
              </w:rPr>
              <w:t>ii</w:t>
            </w:r>
            <w:r w:rsidRPr="00903F89">
              <w:rPr>
                <w:rFonts w:cs="Arial"/>
                <w:sz w:val="20"/>
                <w:szCs w:val="20"/>
              </w:rPr>
              <w:t>)</w:t>
            </w:r>
            <w:r w:rsidR="000A7CA0" w:rsidRPr="00903F89">
              <w:rPr>
                <w:rFonts w:cs="Arial"/>
                <w:sz w:val="20"/>
                <w:szCs w:val="20"/>
              </w:rPr>
              <w:tab/>
            </w:r>
            <w:r w:rsidRPr="00903F89">
              <w:rPr>
                <w:rFonts w:cs="Arial"/>
                <w:sz w:val="20"/>
                <w:szCs w:val="20"/>
              </w:rPr>
              <w:t>Σύλβιας Ιωάννου στις Ψηφιακές Ανθρωπιστικές Επιστήμες.</w:t>
            </w:r>
          </w:p>
        </w:tc>
      </w:tr>
      <w:tr w:rsidR="007422AB" w:rsidRPr="00903F89" w14:paraId="3DD1CA51" w14:textId="77777777" w:rsidTr="007422AB">
        <w:trPr>
          <w:trHeight w:val="70"/>
        </w:trPr>
        <w:tc>
          <w:tcPr>
            <w:tcW w:w="10773" w:type="dxa"/>
            <w:gridSpan w:val="7"/>
            <w:shd w:val="clear" w:color="auto" w:fill="auto"/>
          </w:tcPr>
          <w:p w14:paraId="441D945F" w14:textId="77777777" w:rsidR="007B2716" w:rsidRPr="00903F89" w:rsidRDefault="007B2716" w:rsidP="00903F89">
            <w:pPr>
              <w:tabs>
                <w:tab w:val="left" w:pos="462"/>
              </w:tabs>
              <w:jc w:val="both"/>
              <w:rPr>
                <w:rFonts w:cs="Arial"/>
                <w:sz w:val="20"/>
                <w:szCs w:val="20"/>
              </w:rPr>
            </w:pPr>
          </w:p>
        </w:tc>
      </w:tr>
      <w:tr w:rsidR="007422AB" w:rsidRPr="00903F89" w14:paraId="62500AE3" w14:textId="77777777" w:rsidTr="007422AB">
        <w:trPr>
          <w:trHeight w:val="255"/>
        </w:trPr>
        <w:tc>
          <w:tcPr>
            <w:tcW w:w="10773" w:type="dxa"/>
            <w:gridSpan w:val="7"/>
            <w:shd w:val="clear" w:color="auto" w:fill="auto"/>
          </w:tcPr>
          <w:p w14:paraId="36CFF0A7" w14:textId="02B33ABC" w:rsidR="00CE4873" w:rsidRPr="00AD5715" w:rsidRDefault="00AD5715" w:rsidP="00903F89">
            <w:pPr>
              <w:jc w:val="both"/>
              <w:rPr>
                <w:rFonts w:cs="Arial"/>
                <w:sz w:val="20"/>
                <w:szCs w:val="20"/>
              </w:rPr>
            </w:pPr>
            <w:r w:rsidRPr="00903F89">
              <w:rPr>
                <w:rFonts w:cs="Arial"/>
                <w:sz w:val="20"/>
                <w:szCs w:val="20"/>
              </w:rPr>
              <w:t>Η πρόνοια αφορά στους βασικούς μισθούς</w:t>
            </w:r>
            <w:r>
              <w:rPr>
                <w:rFonts w:cs="Arial"/>
                <w:sz w:val="20"/>
                <w:szCs w:val="20"/>
              </w:rPr>
              <w:t xml:space="preserve"> μ</w:t>
            </w:r>
            <w:r w:rsidRPr="00AD5715">
              <w:rPr>
                <w:rFonts w:cs="Arial"/>
                <w:sz w:val="20"/>
                <w:szCs w:val="20"/>
              </w:rPr>
              <w:t>ία</w:t>
            </w:r>
            <w:r>
              <w:rPr>
                <w:rFonts w:cs="Arial"/>
                <w:sz w:val="20"/>
                <w:szCs w:val="20"/>
              </w:rPr>
              <w:t>ς</w:t>
            </w:r>
            <w:r w:rsidRPr="00AD5715">
              <w:rPr>
                <w:rFonts w:cs="Arial"/>
                <w:sz w:val="20"/>
                <w:szCs w:val="20"/>
              </w:rPr>
              <w:t xml:space="preserve"> (1) κενή</w:t>
            </w:r>
            <w:r>
              <w:rPr>
                <w:rFonts w:cs="Arial"/>
                <w:sz w:val="20"/>
                <w:szCs w:val="20"/>
              </w:rPr>
              <w:t>ς</w:t>
            </w:r>
            <w:r w:rsidRPr="00AD5715">
              <w:rPr>
                <w:rFonts w:cs="Arial"/>
                <w:sz w:val="20"/>
                <w:szCs w:val="20"/>
              </w:rPr>
              <w:t xml:space="preserve"> θέση</w:t>
            </w:r>
            <w:r>
              <w:rPr>
                <w:rFonts w:cs="Arial"/>
                <w:sz w:val="20"/>
                <w:szCs w:val="20"/>
              </w:rPr>
              <w:t>ς</w:t>
            </w:r>
            <w:r w:rsidRPr="00AD5715">
              <w:rPr>
                <w:rFonts w:cs="Arial"/>
                <w:sz w:val="20"/>
                <w:szCs w:val="20"/>
              </w:rPr>
              <w:t xml:space="preserve"> Διευθυντή Κέντρου Γλωσσών (Κλ. Α13 και Α14), </w:t>
            </w:r>
            <w:r>
              <w:rPr>
                <w:rFonts w:cs="Arial"/>
                <w:sz w:val="20"/>
                <w:szCs w:val="20"/>
              </w:rPr>
              <w:t xml:space="preserve">η οποία </w:t>
            </w:r>
            <w:r w:rsidRPr="00AD5715">
              <w:rPr>
                <w:rFonts w:cs="Arial"/>
                <w:sz w:val="20"/>
                <w:szCs w:val="20"/>
              </w:rPr>
              <w:t xml:space="preserve">περιλαμβάνεται με πλήρη πρόνοια </w:t>
            </w:r>
            <w:r w:rsidR="003303AF" w:rsidRPr="003303AF">
              <w:rPr>
                <w:rFonts w:cs="Arial"/>
                <w:sz w:val="20"/>
                <w:szCs w:val="20"/>
              </w:rPr>
              <w:t>(</w:t>
            </w:r>
            <w:r w:rsidR="003303AF">
              <w:rPr>
                <w:rFonts w:cs="Arial"/>
                <w:sz w:val="20"/>
                <w:szCs w:val="20"/>
              </w:rPr>
              <w:t xml:space="preserve">δώδεκα </w:t>
            </w:r>
            <w:r w:rsidR="003303AF" w:rsidRPr="003303AF">
              <w:rPr>
                <w:rFonts w:cs="Arial"/>
                <w:sz w:val="20"/>
                <w:szCs w:val="20"/>
              </w:rPr>
              <w:t>(</w:t>
            </w:r>
            <w:r w:rsidR="003303AF">
              <w:rPr>
                <w:rFonts w:cs="Arial"/>
                <w:sz w:val="20"/>
                <w:szCs w:val="20"/>
              </w:rPr>
              <w:t>12</w:t>
            </w:r>
            <w:r w:rsidR="003303AF" w:rsidRPr="003303AF">
              <w:rPr>
                <w:rFonts w:cs="Arial"/>
                <w:sz w:val="20"/>
                <w:szCs w:val="20"/>
              </w:rPr>
              <w:t>) μήνες)</w:t>
            </w:r>
            <w:r>
              <w:rPr>
                <w:rFonts w:cs="Arial"/>
                <w:sz w:val="20"/>
                <w:szCs w:val="20"/>
              </w:rPr>
              <w:t xml:space="preserve">, και δύο </w:t>
            </w:r>
            <w:r w:rsidRPr="00AD5715">
              <w:rPr>
                <w:rFonts w:cs="Arial"/>
                <w:sz w:val="20"/>
                <w:szCs w:val="20"/>
              </w:rPr>
              <w:t>(2) κεν</w:t>
            </w:r>
            <w:r>
              <w:rPr>
                <w:rFonts w:cs="Arial"/>
                <w:sz w:val="20"/>
                <w:szCs w:val="20"/>
              </w:rPr>
              <w:t xml:space="preserve">ών θέσεων </w:t>
            </w:r>
            <w:r w:rsidRPr="00AD5715">
              <w:rPr>
                <w:rFonts w:cs="Arial"/>
                <w:sz w:val="20"/>
                <w:szCs w:val="20"/>
              </w:rPr>
              <w:t>Ειδικού Εκπαιδευτικού Προσωπικού (Κλ. Α8, Α10 και Α11),</w:t>
            </w:r>
            <w:r>
              <w:rPr>
                <w:rFonts w:cs="Arial"/>
                <w:sz w:val="20"/>
                <w:szCs w:val="20"/>
              </w:rPr>
              <w:t xml:space="preserve"> οι οποίες </w:t>
            </w:r>
            <w:r w:rsidRPr="00AD5715">
              <w:rPr>
                <w:rFonts w:cs="Arial"/>
                <w:sz w:val="20"/>
                <w:szCs w:val="20"/>
              </w:rPr>
              <w:t xml:space="preserve">περιλαμβάνονται με μερική πρόνοια </w:t>
            </w:r>
            <w:r w:rsidR="004142D7">
              <w:rPr>
                <w:rFonts w:cs="Arial"/>
                <w:sz w:val="20"/>
                <w:szCs w:val="20"/>
              </w:rPr>
              <w:t xml:space="preserve">των </w:t>
            </w:r>
            <w:r w:rsidR="003303AF">
              <w:rPr>
                <w:rFonts w:cs="Arial"/>
                <w:sz w:val="20"/>
                <w:szCs w:val="20"/>
              </w:rPr>
              <w:t xml:space="preserve">τριών (3) </w:t>
            </w:r>
            <w:r w:rsidR="003303AF" w:rsidRPr="003303AF">
              <w:rPr>
                <w:rFonts w:cs="Arial"/>
                <w:sz w:val="20"/>
                <w:szCs w:val="20"/>
              </w:rPr>
              <w:t>μηνών</w:t>
            </w:r>
            <w:r w:rsidRPr="00AD5715">
              <w:rPr>
                <w:rFonts w:cs="Arial"/>
                <w:sz w:val="20"/>
                <w:szCs w:val="20"/>
              </w:rPr>
              <w:t>.</w:t>
            </w:r>
          </w:p>
        </w:tc>
      </w:tr>
      <w:tr w:rsidR="007422AB" w:rsidRPr="00903F89" w14:paraId="7A4BA5F8" w14:textId="77777777" w:rsidTr="007422AB">
        <w:trPr>
          <w:trHeight w:val="80"/>
        </w:trPr>
        <w:tc>
          <w:tcPr>
            <w:tcW w:w="10773" w:type="dxa"/>
            <w:gridSpan w:val="7"/>
            <w:shd w:val="clear" w:color="auto" w:fill="auto"/>
          </w:tcPr>
          <w:p w14:paraId="1D91B7FA" w14:textId="77777777" w:rsidR="00FB7EEE" w:rsidRPr="00903F89" w:rsidRDefault="00FB7EEE" w:rsidP="00903F89">
            <w:pPr>
              <w:jc w:val="both"/>
              <w:rPr>
                <w:rFonts w:cs="Arial"/>
                <w:sz w:val="20"/>
                <w:szCs w:val="20"/>
              </w:rPr>
            </w:pPr>
          </w:p>
        </w:tc>
      </w:tr>
      <w:tr w:rsidR="007422AB" w:rsidRPr="00903F89" w14:paraId="7D677B74" w14:textId="77777777" w:rsidTr="007422AB">
        <w:tc>
          <w:tcPr>
            <w:tcW w:w="10773" w:type="dxa"/>
            <w:gridSpan w:val="7"/>
            <w:shd w:val="clear" w:color="auto" w:fill="auto"/>
          </w:tcPr>
          <w:p w14:paraId="45EF0389" w14:textId="3BB848CD" w:rsidR="00D1102C" w:rsidRPr="00CF6CE6" w:rsidRDefault="00D1102C" w:rsidP="00903F89">
            <w:pPr>
              <w:jc w:val="both"/>
              <w:rPr>
                <w:rFonts w:cs="Arial"/>
                <w:b/>
                <w:bCs/>
                <w:sz w:val="20"/>
                <w:szCs w:val="20"/>
                <w:u w:val="single"/>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102 – Συνεργάτες Καθηγητές/Επιστημονικοί Συνεργάτες, Μεταπτυχιακοί Συνεργάτες, Μεταδιδακτορικοί και Άλλοι Ερευνητές – €</w:t>
            </w:r>
            <w:r w:rsidR="001B6482" w:rsidRPr="00903F89">
              <w:rPr>
                <w:rFonts w:cs="Arial"/>
                <w:b/>
                <w:bCs/>
                <w:sz w:val="20"/>
                <w:szCs w:val="20"/>
                <w:u w:val="single"/>
              </w:rPr>
              <w:t>1.</w:t>
            </w:r>
            <w:r w:rsidR="00F70A28" w:rsidRPr="00903F89">
              <w:rPr>
                <w:rFonts w:cs="Arial"/>
                <w:b/>
                <w:bCs/>
                <w:sz w:val="20"/>
                <w:szCs w:val="20"/>
                <w:u w:val="single"/>
              </w:rPr>
              <w:t>300.000</w:t>
            </w:r>
          </w:p>
        </w:tc>
      </w:tr>
      <w:tr w:rsidR="007422AB" w:rsidRPr="00903F89" w14:paraId="7FF8E147" w14:textId="77777777" w:rsidTr="007422AB">
        <w:tc>
          <w:tcPr>
            <w:tcW w:w="1932" w:type="dxa"/>
            <w:gridSpan w:val="2"/>
          </w:tcPr>
          <w:p w14:paraId="20B48215" w14:textId="77777777" w:rsidR="00D1102C" w:rsidRPr="00903F89" w:rsidRDefault="00D1102C" w:rsidP="00903F89">
            <w:pPr>
              <w:jc w:val="both"/>
              <w:rPr>
                <w:rFonts w:cs="Arial"/>
                <w:b/>
                <w:sz w:val="20"/>
                <w:szCs w:val="20"/>
                <w:u w:val="single"/>
              </w:rPr>
            </w:pPr>
          </w:p>
        </w:tc>
        <w:tc>
          <w:tcPr>
            <w:tcW w:w="4589" w:type="dxa"/>
            <w:gridSpan w:val="4"/>
            <w:shd w:val="clear" w:color="auto" w:fill="auto"/>
          </w:tcPr>
          <w:p w14:paraId="47EF1BDF" w14:textId="77777777" w:rsidR="00D1102C" w:rsidRPr="00903F89" w:rsidRDefault="00D1102C" w:rsidP="00903F89">
            <w:pPr>
              <w:jc w:val="both"/>
              <w:rPr>
                <w:rFonts w:cs="Arial"/>
                <w:b/>
                <w:sz w:val="20"/>
                <w:szCs w:val="20"/>
                <w:u w:val="single"/>
              </w:rPr>
            </w:pPr>
          </w:p>
        </w:tc>
        <w:tc>
          <w:tcPr>
            <w:tcW w:w="4252" w:type="dxa"/>
            <w:shd w:val="clear" w:color="auto" w:fill="auto"/>
          </w:tcPr>
          <w:p w14:paraId="3B0D155A" w14:textId="1CFF2E70" w:rsidR="00D1102C" w:rsidRPr="00903F89" w:rsidRDefault="00D1102C" w:rsidP="00903F89">
            <w:pPr>
              <w:jc w:val="both"/>
              <w:rPr>
                <w:rFonts w:cs="Arial"/>
                <w:b/>
                <w:i/>
                <w:sz w:val="20"/>
                <w:szCs w:val="20"/>
              </w:rPr>
            </w:pPr>
          </w:p>
        </w:tc>
      </w:tr>
      <w:tr w:rsidR="007422AB" w:rsidRPr="00903F89" w14:paraId="04BCD149" w14:textId="77777777" w:rsidTr="007422AB">
        <w:tc>
          <w:tcPr>
            <w:tcW w:w="10773" w:type="dxa"/>
            <w:gridSpan w:val="7"/>
            <w:shd w:val="clear" w:color="auto" w:fill="auto"/>
          </w:tcPr>
          <w:p w14:paraId="76004DFD" w14:textId="3E09ADFB" w:rsidR="00D1102C" w:rsidRPr="00903F89" w:rsidRDefault="00301107" w:rsidP="00903F89">
            <w:pPr>
              <w:jc w:val="both"/>
              <w:rPr>
                <w:rFonts w:eastAsia="Arial" w:cs="Arial"/>
                <w:sz w:val="20"/>
                <w:szCs w:val="20"/>
                <w:u w:val="single"/>
              </w:rPr>
            </w:pPr>
            <w:r w:rsidRPr="00903F89">
              <w:rPr>
                <w:rFonts w:cs="Arial"/>
                <w:sz w:val="20"/>
                <w:szCs w:val="20"/>
              </w:rPr>
              <w:t xml:space="preserve">Η πρόνοια αφορά στις αμοιβές Μεταπτυχιακών Συνεργατών, Μεταδιδακτορικών και Άλλων Ερευνητών, οι οποίοι ασχολούνται κυρίως με την έρευνα και σε μικρότερο βαθμό με τη διδασκαλία, επίβλεψη, οργάνωση </w:t>
            </w:r>
            <w:r w:rsidR="00D55285" w:rsidRPr="00903F89">
              <w:rPr>
                <w:rFonts w:cs="Arial"/>
                <w:sz w:val="20"/>
                <w:szCs w:val="20"/>
              </w:rPr>
              <w:t>κ.λπ</w:t>
            </w:r>
            <w:r w:rsidRPr="00903F89">
              <w:rPr>
                <w:rFonts w:cs="Arial"/>
                <w:sz w:val="20"/>
                <w:szCs w:val="20"/>
              </w:rPr>
              <w:t>.  Η διαδικασία πρόσληψης, τα δικαιώματα, οι υποχρεώσεις και γενικά οι όροι απασχόλησης τους ρυθμίζονται με Κανόνες που εκδίδει η Σύγκλητος και εγκρίνει το Συμβούλιο.  Μέρος της πρόνοιας αυτής θα καλύψει τους μισθούς των Μεταπτυχιακών Συνεργατών (βασικούς μισθούς, αυξήσεις και τιμαριθμικά επιδόματα) και όλες τις συνεισφορές του Πανεπιστημίου Κύπρου στα διάφορα Ταμεία της κυβέρνησης.  Η αποζημίωση Μεταπτυχιακών Συνεργατών που απασχολούνται σε εσωτερικά ερευνητικά προγράμματα και εναρκτήριες χρηματοδοτήσεις καλύπτονται από το συγκεκριμένο άρθρο.</w:t>
            </w:r>
          </w:p>
        </w:tc>
      </w:tr>
      <w:tr w:rsidR="007422AB" w:rsidRPr="00903F89" w14:paraId="70D32572" w14:textId="77777777" w:rsidTr="007422AB">
        <w:tc>
          <w:tcPr>
            <w:tcW w:w="1932" w:type="dxa"/>
            <w:gridSpan w:val="2"/>
            <w:shd w:val="clear" w:color="auto" w:fill="auto"/>
          </w:tcPr>
          <w:p w14:paraId="01CE7AD6" w14:textId="06396484" w:rsidR="00D1102C" w:rsidRPr="00903F89" w:rsidRDefault="00D1102C" w:rsidP="00903F89">
            <w:pPr>
              <w:jc w:val="both"/>
              <w:rPr>
                <w:rFonts w:cs="Arial"/>
                <w:b/>
                <w:sz w:val="20"/>
                <w:szCs w:val="20"/>
                <w:u w:val="single"/>
              </w:rPr>
            </w:pPr>
          </w:p>
        </w:tc>
        <w:tc>
          <w:tcPr>
            <w:tcW w:w="3030" w:type="dxa"/>
            <w:gridSpan w:val="2"/>
            <w:shd w:val="clear" w:color="auto" w:fill="auto"/>
          </w:tcPr>
          <w:p w14:paraId="694B065B" w14:textId="77777777" w:rsidR="00D1102C" w:rsidRPr="00903F89" w:rsidRDefault="00D1102C" w:rsidP="00903F89">
            <w:pPr>
              <w:jc w:val="both"/>
              <w:rPr>
                <w:rFonts w:cs="Arial"/>
                <w:b/>
                <w:sz w:val="20"/>
                <w:szCs w:val="20"/>
                <w:u w:val="single"/>
              </w:rPr>
            </w:pPr>
          </w:p>
        </w:tc>
        <w:tc>
          <w:tcPr>
            <w:tcW w:w="5811" w:type="dxa"/>
            <w:gridSpan w:val="3"/>
            <w:shd w:val="clear" w:color="auto" w:fill="auto"/>
          </w:tcPr>
          <w:p w14:paraId="7E3FCE1D" w14:textId="77777777" w:rsidR="00D1102C" w:rsidRPr="00903F89" w:rsidRDefault="00D1102C" w:rsidP="00903F89">
            <w:pPr>
              <w:jc w:val="both"/>
              <w:rPr>
                <w:rFonts w:cs="Arial"/>
                <w:b/>
                <w:sz w:val="20"/>
                <w:szCs w:val="20"/>
                <w:u w:val="single"/>
              </w:rPr>
            </w:pPr>
          </w:p>
        </w:tc>
      </w:tr>
      <w:tr w:rsidR="007422AB" w:rsidRPr="00903F89" w14:paraId="5BFFBE14" w14:textId="77777777" w:rsidTr="007422AB">
        <w:tc>
          <w:tcPr>
            <w:tcW w:w="10773" w:type="dxa"/>
            <w:gridSpan w:val="7"/>
            <w:shd w:val="clear" w:color="auto" w:fill="auto"/>
          </w:tcPr>
          <w:p w14:paraId="4D29E9EB" w14:textId="4178BE51" w:rsidR="00D1102C" w:rsidRPr="00903F89" w:rsidRDefault="00D1102C" w:rsidP="00903F89">
            <w:pPr>
              <w:jc w:val="both"/>
              <w:rPr>
                <w:rFonts w:eastAsia="Arial" w:cs="Arial"/>
                <w:b/>
                <w:bCs/>
                <w:sz w:val="20"/>
                <w:szCs w:val="20"/>
                <w:u w:val="single"/>
              </w:rPr>
            </w:pPr>
            <w:r w:rsidRPr="00903F89">
              <w:rPr>
                <w:rFonts w:cs="Arial"/>
                <w:sz w:val="20"/>
                <w:szCs w:val="20"/>
              </w:rPr>
              <w:t>Σημειώνεται ότι:</w:t>
            </w:r>
          </w:p>
        </w:tc>
      </w:tr>
      <w:tr w:rsidR="007422AB" w:rsidRPr="00903F89" w14:paraId="4361396E" w14:textId="77777777" w:rsidTr="007422AB">
        <w:tc>
          <w:tcPr>
            <w:tcW w:w="1932" w:type="dxa"/>
            <w:gridSpan w:val="2"/>
            <w:shd w:val="clear" w:color="auto" w:fill="auto"/>
          </w:tcPr>
          <w:p w14:paraId="4825E045" w14:textId="77777777" w:rsidR="00D1102C" w:rsidRPr="00903F89" w:rsidRDefault="00D1102C" w:rsidP="00903F89">
            <w:pPr>
              <w:jc w:val="both"/>
              <w:rPr>
                <w:rFonts w:cs="Arial"/>
                <w:b/>
                <w:sz w:val="20"/>
                <w:szCs w:val="20"/>
                <w:u w:val="single"/>
              </w:rPr>
            </w:pPr>
          </w:p>
        </w:tc>
        <w:tc>
          <w:tcPr>
            <w:tcW w:w="3030" w:type="dxa"/>
            <w:gridSpan w:val="2"/>
            <w:shd w:val="clear" w:color="auto" w:fill="auto"/>
          </w:tcPr>
          <w:p w14:paraId="7019921A" w14:textId="77777777" w:rsidR="00D1102C" w:rsidRPr="00903F89" w:rsidRDefault="00D1102C" w:rsidP="00903F89">
            <w:pPr>
              <w:jc w:val="both"/>
              <w:rPr>
                <w:rFonts w:cs="Arial"/>
                <w:b/>
                <w:sz w:val="20"/>
                <w:szCs w:val="20"/>
                <w:u w:val="single"/>
              </w:rPr>
            </w:pPr>
          </w:p>
        </w:tc>
        <w:tc>
          <w:tcPr>
            <w:tcW w:w="5811" w:type="dxa"/>
            <w:gridSpan w:val="3"/>
            <w:shd w:val="clear" w:color="auto" w:fill="auto"/>
          </w:tcPr>
          <w:p w14:paraId="2006E3E3" w14:textId="77777777" w:rsidR="00D1102C" w:rsidRPr="00903F89" w:rsidRDefault="00D1102C" w:rsidP="00903F89">
            <w:pPr>
              <w:jc w:val="both"/>
              <w:rPr>
                <w:rFonts w:cs="Arial"/>
                <w:b/>
                <w:sz w:val="20"/>
                <w:szCs w:val="20"/>
                <w:u w:val="single"/>
              </w:rPr>
            </w:pPr>
          </w:p>
        </w:tc>
      </w:tr>
      <w:tr w:rsidR="007422AB" w:rsidRPr="00903F89" w14:paraId="7C77F768" w14:textId="77777777" w:rsidTr="007422AB">
        <w:tc>
          <w:tcPr>
            <w:tcW w:w="10773" w:type="dxa"/>
            <w:gridSpan w:val="7"/>
            <w:shd w:val="clear" w:color="auto" w:fill="auto"/>
          </w:tcPr>
          <w:p w14:paraId="4A0B6BD3" w14:textId="77777777"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lastRenderedPageBreak/>
              <w:t xml:space="preserve">Οι θέσεις προκηρύσσονται από το ενδιαφερόμενο Τμήμα με πρωτοβουλία του υπεύθυνου της συγκεκριμένης έρευνας κατόπιν απόφασης της Συγκλήτου. </w:t>
            </w:r>
          </w:p>
          <w:p w14:paraId="33346C8C" w14:textId="2CD4E472"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t>Το ελάχιστο προσόν για πρόσληψη Μεταπτυχιακών Συνεργατών είναι πανεπιστημιακός τίτλος από αναγνωρισμένο Ανώτατο Εκπαιδευτικό Ίδρυμα σε τομέα σχετικό με το γνωστικό αντικείμενο της έρευνας.</w:t>
            </w:r>
          </w:p>
          <w:p w14:paraId="7D350A1A" w14:textId="621F23F5"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t xml:space="preserve">Τα συγκεκριμένα προσόντα για κάθε θέση που προκηρύσσεται καθορίζονται στη σχετική ανακοίνωση. </w:t>
            </w:r>
          </w:p>
          <w:p w14:paraId="76D18014" w14:textId="5106417C"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t>Οι Μεταπτυχιακοί Συνεργάτες που επιλέγονται για απασχόληση σε εσωτερικά ερευνητικά προγράμματα τοποθετούνται στην 1</w:t>
            </w:r>
            <w:r w:rsidRPr="005216AB">
              <w:rPr>
                <w:rFonts w:cs="Arial"/>
                <w:sz w:val="20"/>
                <w:szCs w:val="20"/>
                <w:vertAlign w:val="superscript"/>
              </w:rPr>
              <w:t>η</w:t>
            </w:r>
            <w:r w:rsidR="005216AB">
              <w:rPr>
                <w:rFonts w:cs="Arial"/>
                <w:sz w:val="20"/>
                <w:szCs w:val="20"/>
              </w:rPr>
              <w:t xml:space="preserve"> </w:t>
            </w:r>
            <w:r w:rsidRPr="00903F89">
              <w:rPr>
                <w:rFonts w:cs="Arial"/>
                <w:sz w:val="20"/>
                <w:szCs w:val="20"/>
              </w:rPr>
              <w:t xml:space="preserve">βαθμίδα της Κλίμακας Α8. </w:t>
            </w:r>
          </w:p>
          <w:p w14:paraId="5E2B6A30" w14:textId="782F2891"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t>Μεταπτυχιακοί Συνεργάτες μπορούν να προσληφθούν επίσης με οικονομική υποστήριξη από εξωτερική χορηγία (ερευνητικά προγράμματα με εξωτερική χρηματοδότηση).  Στην περίπτωση αυτή ισχύουν οι ίδιοι όροι εργοδότησης, εκτός εάν υπάρχουν διαφορετικές προβλέψεις στο εγκεκριμένο ερευνητικό πρόγραμμα.</w:t>
            </w:r>
          </w:p>
          <w:p w14:paraId="42959512" w14:textId="255DD33F"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t>Η ημερομηνία λήξης ενός προγράμματος που απασχολεί Μεταπτυχιακούς Συνεργάτες δεν πρέπει να είναι πέραν των τριών χρόνων από την ημερομηνία του πρώτου διορισμού Μεταπτυχιακών Συνεργατών στο πρόγραμμα, ανεξάρτητα αν υπήρξαν περίοδοι κατά τη διάρκεια των οποίων δεν απασχολήθηκε Μεταπτυχιακός Συνεργάτης.</w:t>
            </w:r>
          </w:p>
          <w:p w14:paraId="7F84A103" w14:textId="47287B57"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t xml:space="preserve">Ενδεικτικά αναφέρεται ότι η κλίμακα των Μεταδιδακτορικών Ερευνητών είναι Α10-Α12.  Η τριμελής Επιτροπή μπορεί να προτείνει στο Συμβούλιο του Πανεπιστημίου Κύπρου, μέσω του Κοσμήτορα της Σχολής, να τοποθετήσει Μεταδιδακτορικούς Ερευνητές σε οποιοδήποτε σημείο της κλίμακας, αφού αιτιολογήσει την πρόταση της.  Τοποθέτηση σε υψηλότερο σημείο της κλίμακας δικαιολογείται σε εξαιρετικές περιπτώσεις, λόγω υψηλών προσόντων πετυχημένης ερευνητικής δραστηριότητας και εκτεταμένης διδακτικής εμπειρίας του υποψήφιου. </w:t>
            </w:r>
          </w:p>
          <w:p w14:paraId="1E21E940" w14:textId="52B7C69C"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t>Μεταδιδακτορικοί Ερευνητές μπορούν να προσληφθούν, επίσης, με οικονομική υποστήριξη από εξωτερική χορηγία (Ερευνητικά Προγράμματα με Εξωτερική Χρηματοδότηση) ή με οικονομική υποστήριξη από Ερευνητικά Προγράμματα του Πανεπιστημίου.</w:t>
            </w:r>
          </w:p>
          <w:p w14:paraId="15FE0B27" w14:textId="3307681F" w:rsidR="00301107" w:rsidRPr="00903F89" w:rsidRDefault="00301107" w:rsidP="007422AB">
            <w:pPr>
              <w:numPr>
                <w:ilvl w:val="0"/>
                <w:numId w:val="42"/>
              </w:numPr>
              <w:ind w:left="605" w:hanging="605"/>
              <w:jc w:val="both"/>
              <w:rPr>
                <w:rFonts w:cs="Arial"/>
                <w:sz w:val="20"/>
                <w:szCs w:val="20"/>
              </w:rPr>
            </w:pPr>
            <w:r w:rsidRPr="00903F89">
              <w:rPr>
                <w:rFonts w:cs="Arial"/>
                <w:sz w:val="20"/>
                <w:szCs w:val="20"/>
              </w:rPr>
              <w:t>Σε περίπτωση που Μεταδιδακτορικός Ερευνητής, διακόψει το συμβόλαιο του τότε η επιλογή για τη νέα πρόσληψη για αντικατάσταση του γίνεται με βάση την αξιολόγηση των αιτήσεων.</w:t>
            </w:r>
          </w:p>
          <w:p w14:paraId="75028367" w14:textId="2A687BE9" w:rsidR="00D1102C" w:rsidRPr="00903F89" w:rsidRDefault="00301107" w:rsidP="007422AB">
            <w:pPr>
              <w:numPr>
                <w:ilvl w:val="0"/>
                <w:numId w:val="42"/>
              </w:numPr>
              <w:ind w:left="605" w:hanging="605"/>
              <w:jc w:val="both"/>
              <w:rPr>
                <w:rFonts w:eastAsia="Arial" w:cs="Arial"/>
                <w:sz w:val="20"/>
                <w:szCs w:val="20"/>
              </w:rPr>
            </w:pPr>
            <w:r w:rsidRPr="00903F89">
              <w:rPr>
                <w:rFonts w:cs="Arial"/>
                <w:sz w:val="20"/>
                <w:szCs w:val="20"/>
              </w:rPr>
              <w:t>Σημειώνεται επίσης ότι η Σύγκλητος ενέκρινε τη δημιουργία του θεσμού του Άμισθου Επισκέπτη Ερευνητή σε επίπεδο Μεταδιδακτορικού Ερευνητή, για περίοδο δύο χρόνων με δυνατότητα ανανέωσης.</w:t>
            </w:r>
          </w:p>
        </w:tc>
      </w:tr>
      <w:tr w:rsidR="007422AB" w:rsidRPr="00903F89" w14:paraId="06F2DD0D" w14:textId="77777777" w:rsidTr="007422AB">
        <w:tc>
          <w:tcPr>
            <w:tcW w:w="10773" w:type="dxa"/>
            <w:gridSpan w:val="7"/>
            <w:shd w:val="clear" w:color="auto" w:fill="auto"/>
          </w:tcPr>
          <w:p w14:paraId="1EF70E78" w14:textId="77777777" w:rsidR="00142590" w:rsidRPr="00903F89" w:rsidRDefault="00142590" w:rsidP="00903F89">
            <w:pPr>
              <w:ind w:left="426"/>
              <w:jc w:val="both"/>
              <w:rPr>
                <w:rFonts w:cs="Arial"/>
                <w:sz w:val="20"/>
                <w:szCs w:val="20"/>
              </w:rPr>
            </w:pPr>
          </w:p>
        </w:tc>
      </w:tr>
      <w:tr w:rsidR="007422AB" w:rsidRPr="00903F89" w14:paraId="234BECF8" w14:textId="77777777" w:rsidTr="007422AB">
        <w:tc>
          <w:tcPr>
            <w:tcW w:w="10773" w:type="dxa"/>
            <w:gridSpan w:val="7"/>
            <w:shd w:val="clear" w:color="auto" w:fill="auto"/>
          </w:tcPr>
          <w:p w14:paraId="6AB455C9" w14:textId="6F9524C7" w:rsidR="00142590" w:rsidRPr="00903F89" w:rsidRDefault="00301107" w:rsidP="00903F89">
            <w:pPr>
              <w:jc w:val="both"/>
              <w:rPr>
                <w:rFonts w:cs="Arial"/>
                <w:sz w:val="20"/>
                <w:szCs w:val="20"/>
                <w:lang w:eastAsia="zh-CN"/>
              </w:rPr>
            </w:pPr>
            <w:r w:rsidRPr="00903F89">
              <w:rPr>
                <w:rFonts w:cs="Arial"/>
                <w:sz w:val="20"/>
                <w:szCs w:val="20"/>
                <w:lang w:eastAsia="zh-CN"/>
              </w:rPr>
              <w:t>Η αμοιβή των εξωτερικών αξιολογητών των αιτήσεων των Μεταδιδακτορικών Ερευνητών καλύπτεται στο πλαίσιο του Άρθρου 348 «Δικαιώματα Εμπειρογνωμόνων /Συμβούλων, Μελέτες, Υπηρεσίες».</w:t>
            </w:r>
          </w:p>
        </w:tc>
      </w:tr>
      <w:tr w:rsidR="007422AB" w:rsidRPr="00903F89" w14:paraId="2BD3EEC1" w14:textId="77777777" w:rsidTr="007422AB">
        <w:tc>
          <w:tcPr>
            <w:tcW w:w="1932" w:type="dxa"/>
            <w:gridSpan w:val="2"/>
          </w:tcPr>
          <w:p w14:paraId="05E54BF4" w14:textId="77777777" w:rsidR="00142590" w:rsidRPr="00903F89" w:rsidRDefault="00142590" w:rsidP="00903F89">
            <w:pPr>
              <w:jc w:val="both"/>
              <w:rPr>
                <w:rFonts w:cs="Arial"/>
                <w:b/>
                <w:sz w:val="20"/>
                <w:szCs w:val="20"/>
                <w:u w:val="single"/>
              </w:rPr>
            </w:pPr>
          </w:p>
        </w:tc>
        <w:tc>
          <w:tcPr>
            <w:tcW w:w="3030" w:type="dxa"/>
            <w:gridSpan w:val="2"/>
          </w:tcPr>
          <w:p w14:paraId="489F7E19" w14:textId="77777777" w:rsidR="00142590" w:rsidRPr="00903F89" w:rsidRDefault="00142590" w:rsidP="00903F89">
            <w:pPr>
              <w:jc w:val="both"/>
              <w:rPr>
                <w:rFonts w:cs="Arial"/>
                <w:b/>
                <w:sz w:val="20"/>
                <w:szCs w:val="20"/>
                <w:u w:val="single"/>
              </w:rPr>
            </w:pPr>
          </w:p>
        </w:tc>
        <w:tc>
          <w:tcPr>
            <w:tcW w:w="5811" w:type="dxa"/>
            <w:gridSpan w:val="3"/>
          </w:tcPr>
          <w:p w14:paraId="29B5503D" w14:textId="77777777" w:rsidR="00142590" w:rsidRPr="00903F89" w:rsidRDefault="00142590" w:rsidP="00903F89">
            <w:pPr>
              <w:jc w:val="both"/>
              <w:rPr>
                <w:rFonts w:cs="Arial"/>
                <w:b/>
                <w:sz w:val="20"/>
                <w:szCs w:val="20"/>
                <w:u w:val="single"/>
              </w:rPr>
            </w:pPr>
          </w:p>
        </w:tc>
      </w:tr>
      <w:tr w:rsidR="007422AB" w:rsidRPr="00903F89" w14:paraId="162312E1" w14:textId="77777777" w:rsidTr="007422AB">
        <w:tc>
          <w:tcPr>
            <w:tcW w:w="10773" w:type="dxa"/>
            <w:gridSpan w:val="7"/>
          </w:tcPr>
          <w:p w14:paraId="73B587AE" w14:textId="38EAD49E" w:rsidR="00D1102C" w:rsidRPr="00903F89" w:rsidRDefault="00301107" w:rsidP="00903F89">
            <w:pPr>
              <w:jc w:val="both"/>
              <w:rPr>
                <w:rFonts w:eastAsia="Arial" w:cs="Arial"/>
                <w:b/>
                <w:bCs/>
                <w:sz w:val="20"/>
                <w:szCs w:val="20"/>
                <w:u w:val="single"/>
              </w:rPr>
            </w:pPr>
            <w:r w:rsidRPr="00903F89">
              <w:rPr>
                <w:rFonts w:cs="Arial"/>
                <w:sz w:val="20"/>
                <w:szCs w:val="20"/>
              </w:rPr>
              <w:t xml:space="preserve">Η πρόνοια ενδέχεται να καλύψει δαπάνες που σχετίζονται με την απονομή του βραβείου Ερευνητικής Αριστείας όπως αυτή έχει υιοθετηθεί με σχετική </w:t>
            </w:r>
            <w:r w:rsidR="00C530A2" w:rsidRPr="00903F89">
              <w:rPr>
                <w:rFonts w:cs="Arial"/>
                <w:sz w:val="20"/>
                <w:szCs w:val="20"/>
              </w:rPr>
              <w:t xml:space="preserve">εσωτερική </w:t>
            </w:r>
            <w:r w:rsidRPr="00903F89">
              <w:rPr>
                <w:rFonts w:cs="Arial"/>
                <w:sz w:val="20"/>
                <w:szCs w:val="20"/>
              </w:rPr>
              <w:t>απόφαση (</w:t>
            </w:r>
            <w:r w:rsidR="00333915" w:rsidRPr="00903F89">
              <w:rPr>
                <w:rFonts w:cs="Arial"/>
                <w:sz w:val="20"/>
                <w:szCs w:val="20"/>
              </w:rPr>
              <w:t>Απόφαση Επιτροπής Προσωπικού και Κανονισμών</w:t>
            </w:r>
            <w:r w:rsidR="00333915">
              <w:rPr>
                <w:rFonts w:cs="Arial"/>
                <w:sz w:val="20"/>
                <w:szCs w:val="20"/>
              </w:rPr>
              <w:t xml:space="preserve"> του Συμβουλίου</w:t>
            </w:r>
            <w:r w:rsidR="00C530A2" w:rsidRPr="00903F89">
              <w:rPr>
                <w:rFonts w:cs="Arial"/>
                <w:sz w:val="20"/>
                <w:szCs w:val="20"/>
              </w:rPr>
              <w:t xml:space="preserve">, </w:t>
            </w:r>
            <w:r w:rsidRPr="00903F89">
              <w:rPr>
                <w:rFonts w:cs="Arial"/>
                <w:sz w:val="20"/>
                <w:szCs w:val="20"/>
              </w:rPr>
              <w:t>276</w:t>
            </w:r>
            <w:r w:rsidRPr="00903F89">
              <w:rPr>
                <w:rFonts w:cs="Arial"/>
                <w:sz w:val="20"/>
                <w:szCs w:val="20"/>
                <w:vertAlign w:val="superscript"/>
              </w:rPr>
              <w:t>η</w:t>
            </w:r>
            <w:r w:rsidR="00624FBD" w:rsidRPr="00903F89">
              <w:rPr>
                <w:rFonts w:cs="Arial"/>
                <w:sz w:val="20"/>
                <w:szCs w:val="20"/>
              </w:rPr>
              <w:t xml:space="preserve"> </w:t>
            </w:r>
            <w:r w:rsidRPr="00903F89">
              <w:rPr>
                <w:rFonts w:cs="Arial"/>
                <w:sz w:val="20"/>
                <w:szCs w:val="20"/>
              </w:rPr>
              <w:t>Συνεδρία</w:t>
            </w:r>
            <w:r w:rsidR="004C56E7" w:rsidRPr="00903F89">
              <w:rPr>
                <w:rFonts w:cs="Arial"/>
                <w:sz w:val="20"/>
                <w:szCs w:val="20"/>
              </w:rPr>
              <w:t>, ημερ. 13/05/2015</w:t>
            </w:r>
            <w:r w:rsidRPr="00903F89">
              <w:rPr>
                <w:rFonts w:cs="Arial"/>
                <w:sz w:val="20"/>
                <w:szCs w:val="20"/>
              </w:rPr>
              <w:t>).</w:t>
            </w:r>
          </w:p>
        </w:tc>
      </w:tr>
      <w:tr w:rsidR="007422AB" w:rsidRPr="00903F89" w14:paraId="5012EE27" w14:textId="77777777" w:rsidTr="007422AB">
        <w:tc>
          <w:tcPr>
            <w:tcW w:w="10773" w:type="dxa"/>
            <w:gridSpan w:val="7"/>
          </w:tcPr>
          <w:p w14:paraId="402B16B5" w14:textId="77777777" w:rsidR="00D1102C" w:rsidRPr="00903F89" w:rsidRDefault="00D1102C" w:rsidP="00903F89">
            <w:pPr>
              <w:jc w:val="both"/>
              <w:rPr>
                <w:rFonts w:cs="Arial"/>
                <w:sz w:val="20"/>
                <w:szCs w:val="20"/>
              </w:rPr>
            </w:pPr>
          </w:p>
        </w:tc>
      </w:tr>
      <w:tr w:rsidR="007422AB" w:rsidRPr="00903F89" w14:paraId="7CE9033A" w14:textId="77777777" w:rsidTr="007422AB">
        <w:trPr>
          <w:trHeight w:val="80"/>
        </w:trPr>
        <w:tc>
          <w:tcPr>
            <w:tcW w:w="10773" w:type="dxa"/>
            <w:gridSpan w:val="7"/>
            <w:shd w:val="clear" w:color="auto" w:fill="auto"/>
          </w:tcPr>
          <w:p w14:paraId="66F26A68" w14:textId="51AB4154" w:rsidR="00D1102C" w:rsidRPr="00903F89" w:rsidRDefault="00301107" w:rsidP="00903F89">
            <w:pPr>
              <w:jc w:val="both"/>
              <w:rPr>
                <w:rFonts w:eastAsia="Arial" w:cs="Arial"/>
                <w:sz w:val="20"/>
                <w:szCs w:val="20"/>
              </w:rPr>
            </w:pPr>
            <w:r w:rsidRPr="00903F89">
              <w:rPr>
                <w:rFonts w:cs="Arial"/>
                <w:sz w:val="20"/>
                <w:szCs w:val="20"/>
              </w:rPr>
              <w:t xml:space="preserve">Η πρόνοια ενδέχεται να καλύψει δαπάνες μισθοδοσίας που σχετίζονται με το πρόγραμμα «Μεταδιδακτορικοί Ερευνητές», το οποίο </w:t>
            </w:r>
            <w:r w:rsidR="004142D7">
              <w:rPr>
                <w:rFonts w:cs="Arial"/>
                <w:sz w:val="20"/>
                <w:szCs w:val="20"/>
              </w:rPr>
              <w:t xml:space="preserve">πρόγραμμα </w:t>
            </w:r>
            <w:r w:rsidRPr="00903F89">
              <w:rPr>
                <w:rFonts w:cs="Arial"/>
                <w:sz w:val="20"/>
                <w:szCs w:val="20"/>
              </w:rPr>
              <w:t xml:space="preserve">προνοεί επίσης για αγορά ηλεκτρονικού υπολογιστή </w:t>
            </w:r>
            <w:r w:rsidR="004142D7">
              <w:rPr>
                <w:rFonts w:cs="Arial"/>
                <w:sz w:val="20"/>
                <w:szCs w:val="20"/>
              </w:rPr>
              <w:t>από το Άρθρο 412 «Αγορά Μηχανογραφικού, Ηλεκτρονικού και Άλλου Εξοπλισμού»</w:t>
            </w:r>
            <w:r w:rsidR="004142D7" w:rsidRPr="00903F89">
              <w:rPr>
                <w:rFonts w:cs="Arial"/>
                <w:sz w:val="20"/>
                <w:szCs w:val="20"/>
              </w:rPr>
              <w:t xml:space="preserve"> </w:t>
            </w:r>
            <w:r w:rsidRPr="00903F89">
              <w:rPr>
                <w:rFonts w:cs="Arial"/>
                <w:sz w:val="20"/>
                <w:szCs w:val="20"/>
              </w:rPr>
              <w:t>(ποσού ύψους €1.000, μία φορά στα δύο πιθανά έτη χρηματοδότησης) και αγορά αναλωσίμων</w:t>
            </w:r>
            <w:r w:rsidR="004142D7">
              <w:rPr>
                <w:rFonts w:cs="Arial"/>
                <w:sz w:val="20"/>
                <w:szCs w:val="20"/>
              </w:rPr>
              <w:t xml:space="preserve"> από το Άρθρο 346 «Υλικά Εργαστηρίων»,</w:t>
            </w:r>
            <w:r w:rsidRPr="00903F89">
              <w:rPr>
                <w:rFonts w:cs="Arial"/>
                <w:sz w:val="20"/>
                <w:szCs w:val="20"/>
              </w:rPr>
              <w:t xml:space="preserve"> (εάν το επιστημονικό πεδίο απαιτεί αναλώσιμα). Το Πρόγραμμα «Μεταδιδακτορικοί Ερευνητές» λειτουργεί ανταγωνιστικά, χρηματοδοτείται εξ’ ολοκλήρου από ίδιους πόρους του Πανεπιστημίου Κύπρου και στηρίζεται σε αυστηρά επιστημονική αξιολόγηση με στόχο την προώθηση της αναδυόμενης επιστημονικής αριστείας.  Οι απολαβές των δέκα </w:t>
            </w:r>
            <w:r w:rsidR="004142D7">
              <w:rPr>
                <w:rFonts w:cs="Arial"/>
                <w:sz w:val="20"/>
                <w:szCs w:val="20"/>
              </w:rPr>
              <w:t xml:space="preserve">(10) </w:t>
            </w:r>
            <w:r w:rsidRPr="00903F89">
              <w:rPr>
                <w:rFonts w:cs="Arial"/>
                <w:sz w:val="20"/>
                <w:szCs w:val="20"/>
              </w:rPr>
              <w:t>μεταδιδακτορικών ερευνητών θα καλύπτονται στο πλαίσιο του παρόντος άρθρου με συμβόλαιο για ένα (1) έτος, με δυνατότητα ανανέωσης για ακόμα ένα (1) έτος.</w:t>
            </w:r>
          </w:p>
        </w:tc>
      </w:tr>
      <w:tr w:rsidR="007422AB" w:rsidRPr="00903F89" w14:paraId="3C9321E6" w14:textId="77777777" w:rsidTr="007422AB">
        <w:trPr>
          <w:trHeight w:val="80"/>
        </w:trPr>
        <w:tc>
          <w:tcPr>
            <w:tcW w:w="10773" w:type="dxa"/>
            <w:gridSpan w:val="7"/>
            <w:shd w:val="clear" w:color="auto" w:fill="auto"/>
          </w:tcPr>
          <w:p w14:paraId="625D9E6A" w14:textId="77777777" w:rsidR="00D1102C" w:rsidRPr="00903F89" w:rsidRDefault="00D1102C" w:rsidP="00903F89">
            <w:pPr>
              <w:jc w:val="both"/>
              <w:rPr>
                <w:rFonts w:cs="Arial"/>
                <w:sz w:val="20"/>
                <w:szCs w:val="20"/>
              </w:rPr>
            </w:pPr>
          </w:p>
        </w:tc>
      </w:tr>
      <w:tr w:rsidR="007422AB" w:rsidRPr="00903F89" w14:paraId="65E3E6D4" w14:textId="77777777" w:rsidTr="007422AB">
        <w:trPr>
          <w:trHeight w:val="80"/>
        </w:trPr>
        <w:tc>
          <w:tcPr>
            <w:tcW w:w="10773" w:type="dxa"/>
            <w:gridSpan w:val="7"/>
            <w:shd w:val="clear" w:color="auto" w:fill="auto"/>
          </w:tcPr>
          <w:p w14:paraId="4ABA3DDB" w14:textId="56B9371D" w:rsidR="00BD3BD1" w:rsidRPr="00903F89" w:rsidRDefault="00301107" w:rsidP="00903F89">
            <w:pPr>
              <w:jc w:val="both"/>
              <w:rPr>
                <w:rFonts w:cs="Arial"/>
                <w:sz w:val="20"/>
                <w:szCs w:val="20"/>
              </w:rPr>
            </w:pPr>
            <w:r w:rsidRPr="00903F89">
              <w:rPr>
                <w:rFonts w:cs="Arial"/>
                <w:bCs/>
                <w:sz w:val="20"/>
                <w:szCs w:val="20"/>
              </w:rPr>
              <w:t>Η πρόνοια του παρόντος άρθρου θα δύναται να καλύψει και δαπάνες του Προγράμματος «Ο</w:t>
            </w:r>
            <w:r w:rsidR="00302C94" w:rsidRPr="00903F89">
              <w:rPr>
                <w:rFonts w:cs="Arial"/>
                <w:bCs/>
                <w:sz w:val="20"/>
                <w:szCs w:val="20"/>
              </w:rPr>
              <w:t>ΝΗΣΙΛΟΣ</w:t>
            </w:r>
            <w:r w:rsidRPr="00903F89">
              <w:rPr>
                <w:rFonts w:cs="Arial"/>
                <w:bCs/>
                <w:sz w:val="20"/>
                <w:szCs w:val="20"/>
              </w:rPr>
              <w:t xml:space="preserve">», το οποίο χρηματοδοτείται από άλλες εισπράξεις εκτός κρατικής χορηγίας, εφόσον αυτό εξασφαλίσει τις απαιτούμενες εγκρίσεις από τα εσωτερικά αρμόδια σώματα.  Το πρόγραμμα προνοεί για την κάλυψη των απολαβών και των δαπανών έρευνας για </w:t>
            </w:r>
            <w:r w:rsidR="005216AB">
              <w:rPr>
                <w:rFonts w:cs="Arial"/>
                <w:bCs/>
                <w:sz w:val="20"/>
                <w:szCs w:val="20"/>
              </w:rPr>
              <w:t xml:space="preserve">τριάντα (30) </w:t>
            </w:r>
            <w:r w:rsidRPr="00903F89">
              <w:rPr>
                <w:rFonts w:cs="Arial"/>
                <w:bCs/>
                <w:sz w:val="20"/>
                <w:szCs w:val="20"/>
              </w:rPr>
              <w:t>μεταδιδακτορικούς ερευνητές ανά έτος, με μέγιστη διάρκεια 2 έτη. Το Πρόγραμμα «Ο</w:t>
            </w:r>
            <w:r w:rsidR="00302C94" w:rsidRPr="00903F89">
              <w:rPr>
                <w:rFonts w:cs="Arial"/>
                <w:bCs/>
                <w:sz w:val="20"/>
                <w:szCs w:val="20"/>
              </w:rPr>
              <w:t>ΝΗΣΙΛΟΣ</w:t>
            </w:r>
            <w:r w:rsidRPr="00903F89">
              <w:rPr>
                <w:rFonts w:cs="Arial"/>
                <w:bCs/>
                <w:sz w:val="20"/>
                <w:szCs w:val="20"/>
              </w:rPr>
              <w:t xml:space="preserve">» </w:t>
            </w:r>
            <w:r w:rsidR="00302C94" w:rsidRPr="00903F89">
              <w:rPr>
                <w:rFonts w:cs="Arial"/>
                <w:bCs/>
                <w:sz w:val="20"/>
                <w:szCs w:val="20"/>
              </w:rPr>
              <w:t>έχει</w:t>
            </w:r>
            <w:r w:rsidRPr="00903F89">
              <w:rPr>
                <w:rFonts w:cs="Arial"/>
                <w:bCs/>
                <w:sz w:val="20"/>
                <w:szCs w:val="20"/>
              </w:rPr>
              <w:t xml:space="preserve"> αντικαταστήσει τις δύο προσκλήσεις (του 2017 και 2018) για μεταδιδακτορικούς ερευνητές αρχικού και προχωρημένου επιπέδου (</w:t>
            </w:r>
            <w:r w:rsidR="00C530A2" w:rsidRPr="00903F89">
              <w:rPr>
                <w:rFonts w:cs="Arial"/>
                <w:bCs/>
                <w:sz w:val="20"/>
                <w:szCs w:val="20"/>
              </w:rPr>
              <w:t xml:space="preserve">Απόφαση </w:t>
            </w:r>
            <w:r w:rsidRPr="00903F89">
              <w:rPr>
                <w:rFonts w:cs="Arial"/>
                <w:bCs/>
                <w:sz w:val="20"/>
                <w:szCs w:val="20"/>
              </w:rPr>
              <w:t>Συγκλήτου</w:t>
            </w:r>
            <w:r w:rsidR="00C530A2" w:rsidRPr="00903F89">
              <w:rPr>
                <w:rFonts w:cs="Arial"/>
                <w:bCs/>
                <w:sz w:val="20"/>
                <w:szCs w:val="20"/>
              </w:rPr>
              <w:t>, Συνεδρία</w:t>
            </w:r>
            <w:r w:rsidRPr="00903F89">
              <w:rPr>
                <w:rFonts w:cs="Arial"/>
                <w:bCs/>
                <w:sz w:val="20"/>
                <w:szCs w:val="20"/>
              </w:rPr>
              <w:t xml:space="preserve"> Αρ. 19/2018, ημερ. 23/07/2018).</w:t>
            </w:r>
          </w:p>
        </w:tc>
      </w:tr>
      <w:tr w:rsidR="007422AB" w:rsidRPr="00903F89" w14:paraId="42BB71C3" w14:textId="77777777" w:rsidTr="007422AB">
        <w:trPr>
          <w:trHeight w:val="80"/>
        </w:trPr>
        <w:tc>
          <w:tcPr>
            <w:tcW w:w="10773" w:type="dxa"/>
            <w:gridSpan w:val="7"/>
            <w:shd w:val="clear" w:color="auto" w:fill="auto"/>
          </w:tcPr>
          <w:p w14:paraId="1EA889CE" w14:textId="77777777" w:rsidR="00CA29FB" w:rsidRPr="00903F89" w:rsidRDefault="00CA29FB" w:rsidP="00903F89">
            <w:pPr>
              <w:jc w:val="both"/>
              <w:rPr>
                <w:rFonts w:cs="Arial"/>
                <w:bCs/>
                <w:sz w:val="20"/>
                <w:szCs w:val="20"/>
              </w:rPr>
            </w:pPr>
          </w:p>
        </w:tc>
      </w:tr>
      <w:tr w:rsidR="00903F89" w:rsidRPr="00903F89" w14:paraId="5F2F5C8D" w14:textId="77777777" w:rsidTr="007422AB">
        <w:trPr>
          <w:trHeight w:val="80"/>
        </w:trPr>
        <w:tc>
          <w:tcPr>
            <w:tcW w:w="10773" w:type="dxa"/>
            <w:gridSpan w:val="7"/>
            <w:shd w:val="clear" w:color="auto" w:fill="auto"/>
          </w:tcPr>
          <w:p w14:paraId="01060661" w14:textId="7D6E2FBB" w:rsidR="00BD3BD1" w:rsidRPr="00903F89" w:rsidRDefault="00FB5A45" w:rsidP="00903F89">
            <w:pPr>
              <w:jc w:val="both"/>
              <w:rPr>
                <w:rFonts w:cs="Arial"/>
                <w:sz w:val="20"/>
                <w:szCs w:val="20"/>
              </w:rPr>
            </w:pPr>
            <w:r w:rsidRPr="00903F89">
              <w:rPr>
                <w:rFonts w:cs="Arial"/>
                <w:sz w:val="20"/>
                <w:szCs w:val="20"/>
              </w:rPr>
              <w:t xml:space="preserve">Από το 2022 μέχρι και το 2026, το Πρόγραμμα </w:t>
            </w:r>
            <w:r w:rsidR="00AD5715">
              <w:rPr>
                <w:rFonts w:cs="Arial"/>
                <w:sz w:val="20"/>
                <w:szCs w:val="20"/>
              </w:rPr>
              <w:t>«</w:t>
            </w:r>
            <w:r w:rsidRPr="00903F89">
              <w:rPr>
                <w:rFonts w:cs="Arial"/>
                <w:sz w:val="20"/>
                <w:szCs w:val="20"/>
              </w:rPr>
              <w:t>ΟΝΗΣΙΛΟΣ</w:t>
            </w:r>
            <w:r w:rsidR="00AD5715">
              <w:rPr>
                <w:rFonts w:cs="Arial"/>
                <w:sz w:val="20"/>
                <w:szCs w:val="20"/>
              </w:rPr>
              <w:t>»</w:t>
            </w:r>
            <w:r w:rsidRPr="00903F89">
              <w:rPr>
                <w:rFonts w:cs="Arial"/>
                <w:sz w:val="20"/>
                <w:szCs w:val="20"/>
              </w:rPr>
              <w:t xml:space="preserve"> θα συγχρηματοδοτείται από την Ευρωπαϊκή Ένωση μέσω ανταγωνιστικής χρηματοδότησης που έχει εξασφαλίσει η Υπηρεσία Υποστήριξης Έρευνας και Καινοτομίας ύψους €3.678.000 και από το εν λόγω άρθρο θα καλύπτεται η διαφορά του επιδόματος διαβίωσης που δεν καλύπτεται από την ΕΕ.</w:t>
            </w:r>
          </w:p>
        </w:tc>
      </w:tr>
      <w:tr w:rsidR="007422AB" w:rsidRPr="00903F89" w14:paraId="433707BD" w14:textId="77777777" w:rsidTr="007422AB">
        <w:tc>
          <w:tcPr>
            <w:tcW w:w="10773" w:type="dxa"/>
            <w:gridSpan w:val="7"/>
            <w:shd w:val="clear" w:color="auto" w:fill="auto"/>
          </w:tcPr>
          <w:p w14:paraId="4E2A2E17" w14:textId="77777777" w:rsidR="00CA29FB" w:rsidRPr="00903F89" w:rsidRDefault="00CA29FB" w:rsidP="00903F89">
            <w:pPr>
              <w:jc w:val="both"/>
              <w:rPr>
                <w:rFonts w:cs="Arial"/>
                <w:sz w:val="20"/>
                <w:szCs w:val="20"/>
              </w:rPr>
            </w:pPr>
          </w:p>
        </w:tc>
      </w:tr>
      <w:tr w:rsidR="007422AB" w:rsidRPr="00903F89" w14:paraId="4434494A" w14:textId="77777777" w:rsidTr="007422AB">
        <w:tc>
          <w:tcPr>
            <w:tcW w:w="10773" w:type="dxa"/>
            <w:gridSpan w:val="7"/>
            <w:shd w:val="clear" w:color="auto" w:fill="auto"/>
          </w:tcPr>
          <w:p w14:paraId="11B76898" w14:textId="7C81B129" w:rsidR="00D1102C" w:rsidRPr="00903F89" w:rsidRDefault="00301107" w:rsidP="00903F89">
            <w:pPr>
              <w:jc w:val="both"/>
              <w:rPr>
                <w:rFonts w:eastAsia="Arial" w:cs="Arial"/>
                <w:sz w:val="20"/>
                <w:szCs w:val="20"/>
              </w:rPr>
            </w:pPr>
            <w:r w:rsidRPr="00903F89">
              <w:rPr>
                <w:rFonts w:cs="Arial"/>
                <w:sz w:val="20"/>
                <w:szCs w:val="20"/>
              </w:rPr>
              <w:lastRenderedPageBreak/>
              <w:t>Επίσης, στο πλαίσιο του παρόντος άρθρου δύναται να καλύπτονται οι απολαβές των μεταδιδακτορικών ερευνητών του Προγράμματος «Υποστήριξη Μεταδιδακτορικών Ερευνητών» κατά 40% από κεντρικά έσοδα εκτός κρατικής χορηγίας και το υπόλοιπο 60% θα καταβάλλεται από ερευνητικούς λογαριασμούς.</w:t>
            </w:r>
          </w:p>
        </w:tc>
      </w:tr>
      <w:tr w:rsidR="007422AB" w:rsidRPr="00903F89" w14:paraId="11A18A4D" w14:textId="77777777" w:rsidTr="007422AB">
        <w:tc>
          <w:tcPr>
            <w:tcW w:w="1932" w:type="dxa"/>
            <w:gridSpan w:val="2"/>
          </w:tcPr>
          <w:p w14:paraId="260D86E0" w14:textId="77777777" w:rsidR="00D1102C" w:rsidRPr="00903F89" w:rsidRDefault="00D1102C" w:rsidP="00903F89">
            <w:pPr>
              <w:jc w:val="both"/>
              <w:rPr>
                <w:rFonts w:cs="Arial"/>
                <w:b/>
                <w:sz w:val="20"/>
                <w:szCs w:val="20"/>
                <w:u w:val="single"/>
              </w:rPr>
            </w:pPr>
          </w:p>
        </w:tc>
        <w:tc>
          <w:tcPr>
            <w:tcW w:w="3030" w:type="dxa"/>
            <w:gridSpan w:val="2"/>
          </w:tcPr>
          <w:p w14:paraId="6FFC08A7" w14:textId="77777777" w:rsidR="00D1102C" w:rsidRPr="00903F89" w:rsidRDefault="00D1102C" w:rsidP="00903F89">
            <w:pPr>
              <w:jc w:val="both"/>
              <w:rPr>
                <w:rFonts w:cs="Arial"/>
                <w:sz w:val="20"/>
                <w:szCs w:val="20"/>
              </w:rPr>
            </w:pPr>
          </w:p>
        </w:tc>
        <w:tc>
          <w:tcPr>
            <w:tcW w:w="5811" w:type="dxa"/>
            <w:gridSpan w:val="3"/>
          </w:tcPr>
          <w:p w14:paraId="32E4E13C" w14:textId="77777777" w:rsidR="00D1102C" w:rsidRPr="00903F89" w:rsidRDefault="00D1102C" w:rsidP="00903F89">
            <w:pPr>
              <w:jc w:val="both"/>
              <w:rPr>
                <w:rFonts w:cs="Arial"/>
                <w:b/>
                <w:sz w:val="20"/>
                <w:szCs w:val="20"/>
                <w:u w:val="single"/>
              </w:rPr>
            </w:pPr>
          </w:p>
        </w:tc>
      </w:tr>
    </w:tbl>
    <w:tbl>
      <w:tblPr>
        <w:tblW w:w="10796" w:type="dxa"/>
        <w:tblCellMar>
          <w:left w:w="0" w:type="dxa"/>
          <w:right w:w="0" w:type="dxa"/>
        </w:tblCellMar>
        <w:tblLook w:val="04A0" w:firstRow="1" w:lastRow="0" w:firstColumn="1" w:lastColumn="0" w:noHBand="0" w:noVBand="1"/>
      </w:tblPr>
      <w:tblGrid>
        <w:gridCol w:w="10796"/>
      </w:tblGrid>
      <w:tr w:rsidR="007422AB" w:rsidRPr="00903F89" w14:paraId="6C69DF73" w14:textId="77777777" w:rsidTr="007422AB">
        <w:trPr>
          <w:trHeight w:val="1007"/>
        </w:trPr>
        <w:tc>
          <w:tcPr>
            <w:tcW w:w="10796" w:type="dxa"/>
            <w:shd w:val="clear" w:color="auto" w:fill="auto"/>
            <w:tcMar>
              <w:top w:w="0" w:type="dxa"/>
              <w:left w:w="108" w:type="dxa"/>
              <w:bottom w:w="0" w:type="dxa"/>
              <w:right w:w="108" w:type="dxa"/>
            </w:tcMar>
            <w:hideMark/>
          </w:tcPr>
          <w:p w14:paraId="43D8BA24" w14:textId="541A8097" w:rsidR="00FC6309" w:rsidRPr="00903F89" w:rsidRDefault="00541234" w:rsidP="00903F89">
            <w:pPr>
              <w:jc w:val="both"/>
              <w:rPr>
                <w:rFonts w:eastAsia="Arial" w:cs="Arial"/>
                <w:sz w:val="20"/>
                <w:szCs w:val="20"/>
                <w:lang w:eastAsia="el-GR"/>
              </w:rPr>
            </w:pPr>
            <w:r w:rsidRPr="00903F89">
              <w:rPr>
                <w:rFonts w:cs="Arial"/>
                <w:sz w:val="20"/>
                <w:szCs w:val="20"/>
                <w:lang w:eastAsia="el-GR"/>
              </w:rPr>
              <w:t xml:space="preserve">Επίσης, σε συνέχεια εσωτερικής απόφασης (Απόφαση Συμβουλίου, 206η Συνεδρία, ημερ. 10/09/2012), ο Προϋπολογισμός του Πανεπιστημίου Κύπρου </w:t>
            </w:r>
            <w:r w:rsidR="00301107" w:rsidRPr="00903F89">
              <w:rPr>
                <w:rFonts w:cs="Arial"/>
                <w:sz w:val="20"/>
                <w:szCs w:val="20"/>
                <w:lang w:eastAsia="el-GR"/>
              </w:rPr>
              <w:t xml:space="preserve">περιέλαβε πρόνοια για τη χρηματοδότηση του Προγράμματος «Νέοι Ερευνητές», σύμφωνα με την αναθεωρημένη Πολιτική του Προγράμματος </w:t>
            </w:r>
            <w:bookmarkStart w:id="4" w:name="_Hlk87948854"/>
            <w:r w:rsidR="00301107" w:rsidRPr="00903F89">
              <w:rPr>
                <w:rFonts w:cs="Arial"/>
                <w:sz w:val="20"/>
                <w:szCs w:val="20"/>
                <w:lang w:eastAsia="el-GR"/>
              </w:rPr>
              <w:t>(</w:t>
            </w:r>
            <w:r w:rsidR="00333915" w:rsidRPr="00903F89">
              <w:rPr>
                <w:rFonts w:cs="Arial"/>
                <w:sz w:val="20"/>
                <w:szCs w:val="20"/>
              </w:rPr>
              <w:t>Απόφαση Επιτροπής Προσωπικού και Κανονισμών</w:t>
            </w:r>
            <w:r w:rsidR="00333915">
              <w:rPr>
                <w:rFonts w:cs="Arial"/>
                <w:sz w:val="20"/>
                <w:szCs w:val="20"/>
              </w:rPr>
              <w:t xml:space="preserve"> του Συμβουλίου, </w:t>
            </w:r>
            <w:r w:rsidR="00301107" w:rsidRPr="00903F89">
              <w:rPr>
                <w:rFonts w:cs="Arial"/>
                <w:sz w:val="20"/>
                <w:szCs w:val="20"/>
                <w:lang w:eastAsia="el-GR"/>
              </w:rPr>
              <w:t>276</w:t>
            </w:r>
            <w:r w:rsidR="00301107" w:rsidRPr="00903F89">
              <w:rPr>
                <w:rFonts w:cs="Arial"/>
                <w:sz w:val="20"/>
                <w:szCs w:val="20"/>
                <w:vertAlign w:val="superscript"/>
                <w:lang w:eastAsia="el-GR"/>
              </w:rPr>
              <w:t>η</w:t>
            </w:r>
            <w:r w:rsidR="00624FBD" w:rsidRPr="00903F89">
              <w:rPr>
                <w:rFonts w:cs="Arial"/>
                <w:sz w:val="20"/>
                <w:szCs w:val="20"/>
                <w:lang w:eastAsia="el-GR"/>
              </w:rPr>
              <w:t xml:space="preserve"> </w:t>
            </w:r>
            <w:r w:rsidR="00301107" w:rsidRPr="00903F89">
              <w:rPr>
                <w:rFonts w:cs="Arial"/>
                <w:sz w:val="20"/>
                <w:szCs w:val="20"/>
                <w:lang w:eastAsia="el-GR"/>
              </w:rPr>
              <w:t>Συνεδρία</w:t>
            </w:r>
            <w:r w:rsidR="009232CA" w:rsidRPr="00903F89">
              <w:rPr>
                <w:rFonts w:cs="Arial"/>
                <w:sz w:val="20"/>
                <w:szCs w:val="20"/>
                <w:lang w:eastAsia="el-GR"/>
              </w:rPr>
              <w:t>,</w:t>
            </w:r>
            <w:r w:rsidR="009232CA" w:rsidRPr="00903F89">
              <w:rPr>
                <w:rFonts w:cs="Arial"/>
                <w:sz w:val="20"/>
                <w:szCs w:val="20"/>
              </w:rPr>
              <w:t xml:space="preserve"> ημερ. 13/05/2015</w:t>
            </w:r>
            <w:r w:rsidR="00301107" w:rsidRPr="00903F89">
              <w:rPr>
                <w:rFonts w:cs="Arial"/>
                <w:sz w:val="20"/>
                <w:szCs w:val="20"/>
                <w:lang w:eastAsia="el-GR"/>
              </w:rPr>
              <w:t xml:space="preserve">) </w:t>
            </w:r>
            <w:bookmarkEnd w:id="4"/>
            <w:r w:rsidR="00301107" w:rsidRPr="00903F89">
              <w:rPr>
                <w:rFonts w:cs="Arial"/>
                <w:sz w:val="20"/>
                <w:szCs w:val="20"/>
                <w:lang w:eastAsia="el-GR"/>
              </w:rPr>
              <w:t>ως εξής:</w:t>
            </w:r>
          </w:p>
        </w:tc>
      </w:tr>
      <w:tr w:rsidR="007422AB" w:rsidRPr="00903F89" w14:paraId="1BD8532D" w14:textId="77777777" w:rsidTr="007422AB">
        <w:trPr>
          <w:trHeight w:val="180"/>
        </w:trPr>
        <w:tc>
          <w:tcPr>
            <w:tcW w:w="10796" w:type="dxa"/>
            <w:shd w:val="clear" w:color="auto" w:fill="auto"/>
            <w:tcMar>
              <w:top w:w="0" w:type="dxa"/>
              <w:left w:w="108" w:type="dxa"/>
              <w:bottom w:w="0" w:type="dxa"/>
              <w:right w:w="108" w:type="dxa"/>
            </w:tcMar>
          </w:tcPr>
          <w:p w14:paraId="34AE3FF4" w14:textId="77777777" w:rsidR="00FC6309" w:rsidRPr="00903F89" w:rsidRDefault="00FC6309" w:rsidP="00903F89">
            <w:pPr>
              <w:jc w:val="both"/>
              <w:rPr>
                <w:rFonts w:cs="Arial"/>
                <w:sz w:val="20"/>
                <w:szCs w:val="20"/>
                <w:lang w:eastAsia="el-GR"/>
              </w:rPr>
            </w:pPr>
          </w:p>
        </w:tc>
      </w:tr>
      <w:tr w:rsidR="007422AB" w:rsidRPr="00903F89" w14:paraId="5689A123" w14:textId="77777777" w:rsidTr="007422AB">
        <w:trPr>
          <w:trHeight w:val="754"/>
        </w:trPr>
        <w:tc>
          <w:tcPr>
            <w:tcW w:w="10796" w:type="dxa"/>
            <w:shd w:val="clear" w:color="auto" w:fill="auto"/>
            <w:tcMar>
              <w:top w:w="0" w:type="dxa"/>
              <w:left w:w="108" w:type="dxa"/>
              <w:bottom w:w="0" w:type="dxa"/>
              <w:right w:w="108" w:type="dxa"/>
            </w:tcMar>
            <w:hideMark/>
          </w:tcPr>
          <w:p w14:paraId="54FBAF87" w14:textId="14B563BB" w:rsidR="00CA147C" w:rsidRPr="00903F89" w:rsidRDefault="00FC6309" w:rsidP="00903F89">
            <w:pPr>
              <w:ind w:left="601" w:hanging="567"/>
              <w:jc w:val="both"/>
              <w:rPr>
                <w:rFonts w:cs="Arial"/>
                <w:sz w:val="20"/>
                <w:szCs w:val="20"/>
                <w:lang w:eastAsia="el-GR"/>
              </w:rPr>
            </w:pPr>
            <w:r w:rsidRPr="00903F89">
              <w:rPr>
                <w:rFonts w:cs="Arial"/>
                <w:sz w:val="20"/>
                <w:szCs w:val="20"/>
                <w:lang w:eastAsia="el-GR"/>
              </w:rPr>
              <w:t>(α)</w:t>
            </w:r>
            <w:r w:rsidRPr="00903F89">
              <w:rPr>
                <w:rFonts w:cs="Arial"/>
                <w:sz w:val="20"/>
                <w:szCs w:val="20"/>
                <w:lang w:eastAsia="el-GR"/>
              </w:rPr>
              <w:tab/>
            </w:r>
            <w:r w:rsidR="00036ED5" w:rsidRPr="00903F89">
              <w:rPr>
                <w:rFonts w:cs="Arial"/>
                <w:sz w:val="20"/>
                <w:szCs w:val="20"/>
                <w:lang w:eastAsia="el-GR"/>
              </w:rPr>
              <w:t xml:space="preserve">στο Άρθρο </w:t>
            </w:r>
            <w:r w:rsidR="00ED518A" w:rsidRPr="00903F89">
              <w:rPr>
                <w:rFonts w:cs="Arial"/>
                <w:sz w:val="20"/>
                <w:szCs w:val="20"/>
                <w:lang w:eastAsia="el-GR"/>
              </w:rPr>
              <w:t>11-</w:t>
            </w:r>
            <w:r w:rsidR="00036ED5" w:rsidRPr="00903F89">
              <w:rPr>
                <w:rFonts w:cs="Arial"/>
                <w:sz w:val="20"/>
                <w:szCs w:val="20"/>
                <w:lang w:eastAsia="el-GR"/>
              </w:rPr>
              <w:t xml:space="preserve">102 «Συνεργάτες Καθηγητές/Επιστημονικοί Συνεργάτες, Μεταπτυχιακοί Συνεργάτες, Μεταδιδακτορικοί και Άλλοι Ερευνητές», πρόνοια για την εργοδότηση με σύμβαση για την εκτέλεση εξειδικευμένου ερευνητικού και διδακτικού έργου υπό την ευθύνη μέλους Ακαδημαϊκού Προσωπικού, και  </w:t>
            </w:r>
          </w:p>
        </w:tc>
      </w:tr>
      <w:tr w:rsidR="007422AB" w:rsidRPr="00903F89" w14:paraId="71F974DD" w14:textId="77777777" w:rsidTr="007422AB">
        <w:trPr>
          <w:trHeight w:val="251"/>
        </w:trPr>
        <w:tc>
          <w:tcPr>
            <w:tcW w:w="10796" w:type="dxa"/>
            <w:shd w:val="clear" w:color="auto" w:fill="auto"/>
            <w:tcMar>
              <w:top w:w="0" w:type="dxa"/>
              <w:left w:w="108" w:type="dxa"/>
              <w:bottom w:w="0" w:type="dxa"/>
              <w:right w:w="108" w:type="dxa"/>
            </w:tcMar>
          </w:tcPr>
          <w:p w14:paraId="78F7A669" w14:textId="77777777" w:rsidR="00FC6309" w:rsidRPr="00903F89" w:rsidRDefault="00FC6309" w:rsidP="00903F89">
            <w:pPr>
              <w:ind w:left="601" w:hanging="567"/>
              <w:jc w:val="both"/>
              <w:rPr>
                <w:rFonts w:cs="Arial"/>
                <w:sz w:val="20"/>
                <w:szCs w:val="20"/>
                <w:lang w:eastAsia="el-GR"/>
              </w:rPr>
            </w:pPr>
          </w:p>
        </w:tc>
      </w:tr>
      <w:tr w:rsidR="007422AB" w:rsidRPr="00903F89" w14:paraId="0616CFB2" w14:textId="77777777" w:rsidTr="007422AB">
        <w:trPr>
          <w:trHeight w:val="754"/>
        </w:trPr>
        <w:tc>
          <w:tcPr>
            <w:tcW w:w="10796" w:type="dxa"/>
            <w:shd w:val="clear" w:color="auto" w:fill="auto"/>
            <w:tcMar>
              <w:top w:w="0" w:type="dxa"/>
              <w:left w:w="108" w:type="dxa"/>
              <w:bottom w:w="0" w:type="dxa"/>
              <w:right w:w="108" w:type="dxa"/>
            </w:tcMar>
            <w:hideMark/>
          </w:tcPr>
          <w:p w14:paraId="0A053D8C" w14:textId="5A69B8E9" w:rsidR="00FC6309" w:rsidRPr="00903F89" w:rsidRDefault="00FC6309" w:rsidP="00903F89">
            <w:pPr>
              <w:ind w:left="601" w:hanging="567"/>
              <w:jc w:val="both"/>
              <w:rPr>
                <w:rFonts w:eastAsia="Arial" w:cs="Arial"/>
                <w:sz w:val="20"/>
                <w:szCs w:val="20"/>
                <w:lang w:eastAsia="el-GR"/>
              </w:rPr>
            </w:pPr>
            <w:r w:rsidRPr="00903F89">
              <w:rPr>
                <w:rFonts w:cs="Arial"/>
                <w:sz w:val="20"/>
                <w:szCs w:val="20"/>
                <w:lang w:eastAsia="el-GR"/>
              </w:rPr>
              <w:t>(β)</w:t>
            </w:r>
            <w:r w:rsidRPr="00903F89">
              <w:rPr>
                <w:rFonts w:cs="Arial"/>
                <w:sz w:val="20"/>
                <w:szCs w:val="20"/>
                <w:lang w:eastAsia="el-GR"/>
              </w:rPr>
              <w:tab/>
            </w:r>
            <w:r w:rsidR="00036ED5" w:rsidRPr="00903F89">
              <w:rPr>
                <w:rFonts w:cs="Arial"/>
                <w:sz w:val="20"/>
                <w:szCs w:val="20"/>
                <w:lang w:eastAsia="el-GR"/>
              </w:rPr>
              <w:t>στο Άρθρο 351 «Παροχή Υποτροφιών» πρόνοια για την παροχή υποτροφιών σε διδακτορικούς φοιτητές του Πανεπιστημίου Κύπρου, για την εκτέλεση εξειδικευμένου ερευνητικού και διδακτικού έργου υπό την ευθύνη μέλους Ακαδημαϊκού Προσωπικού.</w:t>
            </w:r>
          </w:p>
        </w:tc>
      </w:tr>
      <w:tr w:rsidR="007422AB" w:rsidRPr="00903F89" w14:paraId="1B28448B" w14:textId="77777777" w:rsidTr="007422AB">
        <w:trPr>
          <w:trHeight w:val="251"/>
        </w:trPr>
        <w:tc>
          <w:tcPr>
            <w:tcW w:w="10796" w:type="dxa"/>
            <w:shd w:val="clear" w:color="auto" w:fill="auto"/>
            <w:tcMar>
              <w:top w:w="0" w:type="dxa"/>
              <w:left w:w="108" w:type="dxa"/>
              <w:bottom w:w="0" w:type="dxa"/>
              <w:right w:w="108" w:type="dxa"/>
            </w:tcMar>
          </w:tcPr>
          <w:p w14:paraId="05F17528" w14:textId="77777777" w:rsidR="00641602" w:rsidRPr="00903F89" w:rsidRDefault="00641602" w:rsidP="00903F89">
            <w:pPr>
              <w:ind w:left="601" w:hanging="567"/>
              <w:jc w:val="both"/>
              <w:rPr>
                <w:rFonts w:cs="Arial"/>
                <w:sz w:val="20"/>
                <w:szCs w:val="20"/>
                <w:lang w:eastAsia="el-GR"/>
              </w:rPr>
            </w:pPr>
          </w:p>
        </w:tc>
      </w:tr>
      <w:tr w:rsidR="007422AB" w:rsidRPr="00903F89" w14:paraId="3E3EC1E1" w14:textId="77777777" w:rsidTr="007422AB">
        <w:trPr>
          <w:trHeight w:val="994"/>
        </w:trPr>
        <w:tc>
          <w:tcPr>
            <w:tcW w:w="10796" w:type="dxa"/>
            <w:shd w:val="clear" w:color="auto" w:fill="auto"/>
            <w:tcMar>
              <w:top w:w="0" w:type="dxa"/>
              <w:left w:w="108" w:type="dxa"/>
              <w:bottom w:w="0" w:type="dxa"/>
              <w:right w:w="108" w:type="dxa"/>
            </w:tcMar>
          </w:tcPr>
          <w:p w14:paraId="3D353BAA" w14:textId="162AB157" w:rsidR="00F4631B" w:rsidRPr="00903F89" w:rsidRDefault="00541234" w:rsidP="00903F89">
            <w:pPr>
              <w:ind w:left="29" w:firstLine="5"/>
              <w:jc w:val="both"/>
              <w:rPr>
                <w:rFonts w:cs="Arial"/>
                <w:sz w:val="20"/>
                <w:szCs w:val="20"/>
                <w:lang w:eastAsia="el-GR"/>
              </w:rPr>
            </w:pPr>
            <w:r w:rsidRPr="00903F89">
              <w:rPr>
                <w:rFonts w:cs="Arial"/>
                <w:sz w:val="20"/>
                <w:szCs w:val="20"/>
                <w:lang w:eastAsia="el-GR"/>
              </w:rPr>
              <w:t>Η</w:t>
            </w:r>
            <w:r w:rsidR="00036ED5" w:rsidRPr="00903F89">
              <w:rPr>
                <w:rFonts w:cs="Arial"/>
                <w:sz w:val="20"/>
                <w:szCs w:val="20"/>
                <w:lang w:eastAsia="el-GR"/>
              </w:rPr>
              <w:t xml:space="preserve"> πρόνοια του παρόντος άρθρου προορίζεται να καλύψει δαπάνες συγχρηματοδότησης των προτάσεων που θα επιτύχουν (νέες προσκλήσεις προτάσεων Ιδρύματος Έρευνας και Καινοτομίας για την καινοτόμο επιχειρηματικότητα (PRE-SEED, SEED, INNOVATE) από άλλες εισπράξεις του ΠΚ (εκτός κρατικής χορηγίας)</w:t>
            </w:r>
            <w:r w:rsidRPr="00903F89">
              <w:rPr>
                <w:rFonts w:cs="Arial"/>
                <w:sz w:val="20"/>
                <w:szCs w:val="20"/>
                <w:lang w:eastAsia="el-GR"/>
              </w:rPr>
              <w:t xml:space="preserve"> (Απόφαση </w:t>
            </w:r>
            <w:bookmarkStart w:id="5" w:name="_Hlk87948877"/>
            <w:r w:rsidRPr="00903F89">
              <w:rPr>
                <w:rFonts w:cs="Arial"/>
                <w:sz w:val="20"/>
                <w:szCs w:val="20"/>
                <w:lang w:eastAsia="el-GR"/>
              </w:rPr>
              <w:t>Συμβουλίου, Συνεδρία Αρ. 09/2019, ημερ. 0</w:t>
            </w:r>
            <w:r w:rsidRPr="00903F89">
              <w:rPr>
                <w:rFonts w:cs="Arial"/>
                <w:sz w:val="20"/>
                <w:szCs w:val="20"/>
              </w:rPr>
              <w:t>7/10/2019</w:t>
            </w:r>
            <w:r w:rsidRPr="00903F89">
              <w:rPr>
                <w:rFonts w:cs="Arial"/>
                <w:sz w:val="20"/>
                <w:szCs w:val="20"/>
                <w:lang w:eastAsia="el-GR"/>
              </w:rPr>
              <w:t>)</w:t>
            </w:r>
            <w:bookmarkEnd w:id="5"/>
            <w:r w:rsidR="00036ED5" w:rsidRPr="00903F89">
              <w:rPr>
                <w:rFonts w:cs="Arial"/>
                <w:sz w:val="20"/>
                <w:szCs w:val="20"/>
                <w:lang w:eastAsia="el-GR"/>
              </w:rPr>
              <w:t>.</w:t>
            </w:r>
          </w:p>
        </w:tc>
      </w:tr>
      <w:tr w:rsidR="007422AB" w:rsidRPr="00903F89" w14:paraId="6B5C0CEA" w14:textId="77777777" w:rsidTr="007422AB">
        <w:trPr>
          <w:trHeight w:val="251"/>
        </w:trPr>
        <w:tc>
          <w:tcPr>
            <w:tcW w:w="10796" w:type="dxa"/>
            <w:shd w:val="clear" w:color="auto" w:fill="auto"/>
            <w:tcMar>
              <w:top w:w="0" w:type="dxa"/>
              <w:left w:w="108" w:type="dxa"/>
              <w:bottom w:w="0" w:type="dxa"/>
              <w:right w:w="108" w:type="dxa"/>
            </w:tcMar>
          </w:tcPr>
          <w:p w14:paraId="0A90AD7B" w14:textId="77777777" w:rsidR="007422AB" w:rsidRPr="00903F89" w:rsidRDefault="007422AB" w:rsidP="00903F89">
            <w:pPr>
              <w:ind w:left="29" w:firstLine="5"/>
              <w:jc w:val="both"/>
              <w:rPr>
                <w:rFonts w:cs="Arial"/>
                <w:sz w:val="20"/>
                <w:szCs w:val="20"/>
                <w:lang w:eastAsia="el-GR"/>
              </w:rPr>
            </w:pPr>
          </w:p>
        </w:tc>
      </w:tr>
    </w:tbl>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36"/>
        <w:gridCol w:w="234"/>
        <w:gridCol w:w="232"/>
        <w:gridCol w:w="217"/>
        <w:gridCol w:w="227"/>
        <w:gridCol w:w="2290"/>
        <w:gridCol w:w="529"/>
        <w:gridCol w:w="243"/>
        <w:gridCol w:w="215"/>
        <w:gridCol w:w="2114"/>
        <w:gridCol w:w="424"/>
        <w:gridCol w:w="380"/>
        <w:gridCol w:w="1246"/>
        <w:gridCol w:w="235"/>
      </w:tblGrid>
      <w:tr w:rsidR="007422AB" w:rsidRPr="00903F89" w14:paraId="74972F3A" w14:textId="77777777" w:rsidTr="007422AB">
        <w:tc>
          <w:tcPr>
            <w:tcW w:w="10773" w:type="dxa"/>
            <w:gridSpan w:val="15"/>
          </w:tcPr>
          <w:p w14:paraId="5985944D" w14:textId="24535FBC" w:rsidR="00FC6B80" w:rsidRPr="00903F89" w:rsidRDefault="045AFEAA" w:rsidP="00903F89">
            <w:pPr>
              <w:jc w:val="both"/>
              <w:rPr>
                <w:rFonts w:eastAsia="Arial" w:cs="Arial"/>
                <w:b/>
                <w:bCs/>
                <w:sz w:val="20"/>
                <w:szCs w:val="20"/>
                <w:u w:val="single"/>
              </w:rPr>
            </w:pPr>
            <w:bookmarkStart w:id="6" w:name="_Hlk46908636"/>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103 – Επισκέπτες Ακαδημαϊκοί/Επισκέπτες Καθηγητές Σύντομης Διάρκειας – €</w:t>
            </w:r>
            <w:r w:rsidR="00487D2A" w:rsidRPr="00903F89">
              <w:rPr>
                <w:rFonts w:cs="Arial"/>
                <w:b/>
                <w:bCs/>
                <w:sz w:val="20"/>
                <w:szCs w:val="20"/>
                <w:u w:val="single"/>
              </w:rPr>
              <w:t>1.</w:t>
            </w:r>
            <w:r w:rsidR="00F70A28" w:rsidRPr="00903F89">
              <w:rPr>
                <w:rFonts w:cs="Arial"/>
                <w:b/>
                <w:bCs/>
                <w:sz w:val="20"/>
                <w:szCs w:val="20"/>
                <w:u w:val="single"/>
              </w:rPr>
              <w:t>208.000</w:t>
            </w:r>
          </w:p>
        </w:tc>
      </w:tr>
      <w:tr w:rsidR="007422AB" w:rsidRPr="00903F89" w14:paraId="6C151A46" w14:textId="77777777" w:rsidTr="007422AB">
        <w:tc>
          <w:tcPr>
            <w:tcW w:w="2870" w:type="dxa"/>
            <w:gridSpan w:val="5"/>
          </w:tcPr>
          <w:p w14:paraId="6F184619" w14:textId="77777777" w:rsidR="002953F0" w:rsidRPr="00903F89" w:rsidRDefault="002953F0" w:rsidP="00903F89">
            <w:pPr>
              <w:jc w:val="both"/>
              <w:rPr>
                <w:rFonts w:cs="Arial"/>
                <w:b/>
                <w:sz w:val="20"/>
                <w:szCs w:val="20"/>
                <w:u w:val="single"/>
              </w:rPr>
            </w:pPr>
          </w:p>
        </w:tc>
        <w:tc>
          <w:tcPr>
            <w:tcW w:w="3046" w:type="dxa"/>
            <w:gridSpan w:val="3"/>
          </w:tcPr>
          <w:p w14:paraId="1146238C" w14:textId="77777777" w:rsidR="002953F0" w:rsidRPr="00903F89" w:rsidRDefault="002953F0" w:rsidP="00903F89">
            <w:pPr>
              <w:jc w:val="both"/>
              <w:rPr>
                <w:rFonts w:cs="Arial"/>
                <w:sz w:val="20"/>
                <w:szCs w:val="20"/>
              </w:rPr>
            </w:pPr>
          </w:p>
        </w:tc>
        <w:tc>
          <w:tcPr>
            <w:tcW w:w="4857" w:type="dxa"/>
            <w:gridSpan w:val="7"/>
          </w:tcPr>
          <w:p w14:paraId="4ACE6C14" w14:textId="77777777" w:rsidR="002953F0" w:rsidRPr="00903F89" w:rsidRDefault="002953F0" w:rsidP="00903F89">
            <w:pPr>
              <w:jc w:val="both"/>
              <w:rPr>
                <w:rFonts w:cs="Arial"/>
                <w:b/>
                <w:sz w:val="20"/>
                <w:szCs w:val="20"/>
                <w:u w:val="single"/>
              </w:rPr>
            </w:pPr>
          </w:p>
        </w:tc>
      </w:tr>
      <w:tr w:rsidR="007422AB" w:rsidRPr="00903F89" w14:paraId="4B0390F2" w14:textId="77777777" w:rsidTr="007422AB">
        <w:tc>
          <w:tcPr>
            <w:tcW w:w="10773" w:type="dxa"/>
            <w:gridSpan w:val="15"/>
          </w:tcPr>
          <w:p w14:paraId="4F64043E" w14:textId="0E0F7B1A" w:rsidR="00EB62B6" w:rsidRPr="00903F89" w:rsidRDefault="00036ED5" w:rsidP="00903F89">
            <w:pPr>
              <w:jc w:val="both"/>
              <w:rPr>
                <w:rFonts w:eastAsia="Arial" w:cs="Arial"/>
                <w:b/>
                <w:bCs/>
                <w:sz w:val="20"/>
                <w:szCs w:val="20"/>
                <w:u w:val="single"/>
              </w:rPr>
            </w:pPr>
            <w:r w:rsidRPr="00903F89">
              <w:rPr>
                <w:rFonts w:cs="Arial"/>
                <w:sz w:val="20"/>
                <w:szCs w:val="20"/>
              </w:rPr>
              <w:t>Η πρόνοια του παρόντος άρθρου για το 202</w:t>
            </w:r>
            <w:r w:rsidR="00E41495" w:rsidRPr="00903F89">
              <w:rPr>
                <w:rFonts w:cs="Arial"/>
                <w:sz w:val="20"/>
                <w:szCs w:val="20"/>
              </w:rPr>
              <w:t>2</w:t>
            </w:r>
            <w:r w:rsidRPr="00903F89">
              <w:rPr>
                <w:rFonts w:cs="Arial"/>
                <w:sz w:val="20"/>
                <w:szCs w:val="20"/>
              </w:rPr>
              <w:t xml:space="preserve"> καθορίζεται στο ποσό των €</w:t>
            </w:r>
            <w:r w:rsidR="004142D7" w:rsidRPr="004142D7">
              <w:rPr>
                <w:rFonts w:cs="Arial"/>
                <w:sz w:val="20"/>
                <w:szCs w:val="20"/>
              </w:rPr>
              <w:t>1.208.000</w:t>
            </w:r>
            <w:r w:rsidR="004142D7">
              <w:rPr>
                <w:rFonts w:cs="Arial"/>
                <w:sz w:val="20"/>
                <w:szCs w:val="20"/>
              </w:rPr>
              <w:t xml:space="preserve"> </w:t>
            </w:r>
            <w:r w:rsidRPr="00903F89">
              <w:rPr>
                <w:rFonts w:cs="Arial"/>
                <w:sz w:val="20"/>
                <w:szCs w:val="20"/>
              </w:rPr>
              <w:t>και προορίζεται να καλύψει δαπάνες που αφορούν στις ακόλουθες δύο κατηγορίες επισκεπτών:</w:t>
            </w:r>
          </w:p>
        </w:tc>
      </w:tr>
      <w:tr w:rsidR="007422AB" w:rsidRPr="00903F89" w14:paraId="29B080A6" w14:textId="77777777" w:rsidTr="007422AB">
        <w:tc>
          <w:tcPr>
            <w:tcW w:w="2870" w:type="dxa"/>
            <w:gridSpan w:val="5"/>
          </w:tcPr>
          <w:p w14:paraId="327DD418" w14:textId="77777777" w:rsidR="002953F0" w:rsidRPr="00903F89" w:rsidRDefault="002953F0" w:rsidP="00903F89">
            <w:pPr>
              <w:jc w:val="both"/>
              <w:rPr>
                <w:rFonts w:cs="Arial"/>
                <w:b/>
                <w:sz w:val="20"/>
                <w:szCs w:val="20"/>
                <w:u w:val="single"/>
              </w:rPr>
            </w:pPr>
          </w:p>
        </w:tc>
        <w:tc>
          <w:tcPr>
            <w:tcW w:w="3046" w:type="dxa"/>
            <w:gridSpan w:val="3"/>
          </w:tcPr>
          <w:p w14:paraId="203E6F5E" w14:textId="77777777" w:rsidR="002953F0" w:rsidRPr="00903F89" w:rsidRDefault="002953F0" w:rsidP="00903F89">
            <w:pPr>
              <w:jc w:val="both"/>
              <w:rPr>
                <w:rFonts w:cs="Arial"/>
                <w:sz w:val="20"/>
                <w:szCs w:val="20"/>
              </w:rPr>
            </w:pPr>
          </w:p>
        </w:tc>
        <w:tc>
          <w:tcPr>
            <w:tcW w:w="4857" w:type="dxa"/>
            <w:gridSpan w:val="7"/>
          </w:tcPr>
          <w:p w14:paraId="16432A0A" w14:textId="77777777" w:rsidR="002953F0" w:rsidRPr="00903F89" w:rsidRDefault="002953F0" w:rsidP="00903F89">
            <w:pPr>
              <w:jc w:val="both"/>
              <w:rPr>
                <w:rFonts w:cs="Arial"/>
                <w:b/>
                <w:sz w:val="20"/>
                <w:szCs w:val="20"/>
                <w:u w:val="single"/>
              </w:rPr>
            </w:pPr>
          </w:p>
        </w:tc>
      </w:tr>
      <w:tr w:rsidR="007422AB" w:rsidRPr="00903F89" w14:paraId="719F2A19" w14:textId="77777777" w:rsidTr="007422AB">
        <w:tc>
          <w:tcPr>
            <w:tcW w:w="10773" w:type="dxa"/>
            <w:gridSpan w:val="15"/>
          </w:tcPr>
          <w:p w14:paraId="324429D5" w14:textId="77777777" w:rsidR="00036ED5" w:rsidRPr="00903F89" w:rsidRDefault="00036ED5" w:rsidP="007422AB">
            <w:pPr>
              <w:numPr>
                <w:ilvl w:val="0"/>
                <w:numId w:val="14"/>
              </w:numPr>
              <w:ind w:left="605" w:hanging="605"/>
              <w:jc w:val="both"/>
              <w:rPr>
                <w:rFonts w:cs="Arial"/>
                <w:sz w:val="20"/>
                <w:szCs w:val="20"/>
              </w:rPr>
            </w:pPr>
            <w:r w:rsidRPr="00903F89">
              <w:rPr>
                <w:rFonts w:cs="Arial"/>
                <w:sz w:val="20"/>
                <w:szCs w:val="20"/>
              </w:rPr>
              <w:t xml:space="preserve">Επισκέπτες Ακαδημαϊκοί κανονικής διάρκειας (η παραμονή των οποίων στο Πανεπιστήμιο Κύπρου είναι διάρκειας οκτώ διδακτικών εβδομάδων με ανώτατο όριο το ένα έτος και δυνατότητα ανανέωσης για ακόμα ένα έτος το πολύ), και </w:t>
            </w:r>
          </w:p>
          <w:p w14:paraId="5289200B" w14:textId="476EAB8F" w:rsidR="00EB62B6" w:rsidRPr="00903F89" w:rsidRDefault="00036ED5" w:rsidP="007422AB">
            <w:pPr>
              <w:numPr>
                <w:ilvl w:val="0"/>
                <w:numId w:val="14"/>
              </w:numPr>
              <w:ind w:left="605" w:hanging="605"/>
              <w:jc w:val="both"/>
              <w:rPr>
                <w:rFonts w:eastAsia="Arial" w:cs="Arial"/>
                <w:sz w:val="20"/>
                <w:szCs w:val="20"/>
              </w:rPr>
            </w:pPr>
            <w:r w:rsidRPr="00903F89">
              <w:rPr>
                <w:rFonts w:cs="Arial"/>
                <w:sz w:val="20"/>
                <w:szCs w:val="20"/>
              </w:rPr>
              <w:t xml:space="preserve">Επισκέπτες Ακαδημαϊκοί σύντομης διάρκειας (η παραμονή των οποίων στο Πανεπιστήμιο Κύπρου είναι 1-4 εβδομάδες στο πλαίσιο συγκεκριμένου εξαμήνου).  </w:t>
            </w:r>
          </w:p>
        </w:tc>
      </w:tr>
      <w:tr w:rsidR="007422AB" w:rsidRPr="00903F89" w14:paraId="636B1FC8" w14:textId="77777777" w:rsidTr="007422AB">
        <w:tc>
          <w:tcPr>
            <w:tcW w:w="2870" w:type="dxa"/>
            <w:gridSpan w:val="5"/>
          </w:tcPr>
          <w:p w14:paraId="592628EE" w14:textId="77777777" w:rsidR="002953F0" w:rsidRPr="00903F89" w:rsidRDefault="002953F0" w:rsidP="00903F89">
            <w:pPr>
              <w:jc w:val="both"/>
              <w:rPr>
                <w:rFonts w:cs="Arial"/>
                <w:b/>
                <w:sz w:val="20"/>
                <w:szCs w:val="20"/>
                <w:u w:val="single"/>
              </w:rPr>
            </w:pPr>
          </w:p>
        </w:tc>
        <w:tc>
          <w:tcPr>
            <w:tcW w:w="3046" w:type="dxa"/>
            <w:gridSpan w:val="3"/>
          </w:tcPr>
          <w:p w14:paraId="27FD0CAD" w14:textId="77777777" w:rsidR="002953F0" w:rsidRPr="00903F89" w:rsidRDefault="002953F0" w:rsidP="00903F89">
            <w:pPr>
              <w:jc w:val="both"/>
              <w:rPr>
                <w:rFonts w:cs="Arial"/>
                <w:sz w:val="20"/>
                <w:szCs w:val="20"/>
              </w:rPr>
            </w:pPr>
          </w:p>
        </w:tc>
        <w:tc>
          <w:tcPr>
            <w:tcW w:w="4857" w:type="dxa"/>
            <w:gridSpan w:val="7"/>
          </w:tcPr>
          <w:p w14:paraId="31DC1700" w14:textId="77777777" w:rsidR="002953F0" w:rsidRPr="00903F89" w:rsidRDefault="002953F0" w:rsidP="00903F89">
            <w:pPr>
              <w:jc w:val="both"/>
              <w:rPr>
                <w:rFonts w:cs="Arial"/>
                <w:b/>
                <w:sz w:val="20"/>
                <w:szCs w:val="20"/>
                <w:u w:val="single"/>
              </w:rPr>
            </w:pPr>
          </w:p>
        </w:tc>
      </w:tr>
      <w:tr w:rsidR="007422AB" w:rsidRPr="00903F89" w14:paraId="0D550CA7" w14:textId="77777777" w:rsidTr="007422AB">
        <w:tc>
          <w:tcPr>
            <w:tcW w:w="10773" w:type="dxa"/>
            <w:gridSpan w:val="15"/>
            <w:shd w:val="clear" w:color="auto" w:fill="auto"/>
          </w:tcPr>
          <w:p w14:paraId="2A25F5D7" w14:textId="02F24946" w:rsidR="00EB62B6" w:rsidRPr="00903F89" w:rsidRDefault="002518A5" w:rsidP="00903F89">
            <w:pPr>
              <w:jc w:val="both"/>
              <w:rPr>
                <w:rFonts w:cs="Arial"/>
                <w:sz w:val="20"/>
                <w:szCs w:val="20"/>
              </w:rPr>
            </w:pPr>
            <w:r w:rsidRPr="00903F89">
              <w:rPr>
                <w:rFonts w:cs="Arial"/>
                <w:sz w:val="20"/>
                <w:szCs w:val="20"/>
              </w:rPr>
              <w:t>Η εργοδότηση Επισκέπτη Ακαδημαϊκού στη μεν πρώτη κατηγορία γίνεται για τη διδασκαλία μαθημάτων, η οποία συνεπάγεται την κατά μέσο όρο κάλυψη 9 διδακτικών ωρών την εβδομάδα, στη δε δεύτερη κατηγορία για τον εμπλουτισμό μεταπτυχιακών μαθημάτων με αριθμό σεμιναρίων από κορυφαίους επιστήμονες σε εξειδικευμένα αντικείμενα.</w:t>
            </w:r>
          </w:p>
        </w:tc>
      </w:tr>
      <w:tr w:rsidR="007422AB" w:rsidRPr="00903F89" w14:paraId="3AE5159C" w14:textId="77777777" w:rsidTr="007422AB">
        <w:tc>
          <w:tcPr>
            <w:tcW w:w="2870" w:type="dxa"/>
            <w:gridSpan w:val="5"/>
          </w:tcPr>
          <w:p w14:paraId="17E17946" w14:textId="77777777" w:rsidR="002953F0" w:rsidRPr="00903F89" w:rsidRDefault="002953F0" w:rsidP="00903F89">
            <w:pPr>
              <w:jc w:val="both"/>
              <w:rPr>
                <w:rFonts w:cs="Arial"/>
                <w:b/>
                <w:sz w:val="20"/>
                <w:szCs w:val="20"/>
                <w:u w:val="single"/>
              </w:rPr>
            </w:pPr>
          </w:p>
        </w:tc>
        <w:tc>
          <w:tcPr>
            <w:tcW w:w="3046" w:type="dxa"/>
            <w:gridSpan w:val="3"/>
            <w:shd w:val="clear" w:color="auto" w:fill="auto"/>
          </w:tcPr>
          <w:p w14:paraId="3FF642FA" w14:textId="77777777" w:rsidR="002953F0" w:rsidRPr="00903F89" w:rsidRDefault="002953F0" w:rsidP="00903F89">
            <w:pPr>
              <w:jc w:val="both"/>
              <w:rPr>
                <w:rFonts w:cs="Arial"/>
                <w:sz w:val="20"/>
                <w:szCs w:val="20"/>
              </w:rPr>
            </w:pPr>
          </w:p>
        </w:tc>
        <w:tc>
          <w:tcPr>
            <w:tcW w:w="4857" w:type="dxa"/>
            <w:gridSpan w:val="7"/>
            <w:shd w:val="clear" w:color="auto" w:fill="auto"/>
          </w:tcPr>
          <w:p w14:paraId="657454C6" w14:textId="77777777" w:rsidR="002953F0" w:rsidRPr="00903F89" w:rsidRDefault="002953F0" w:rsidP="00903F89">
            <w:pPr>
              <w:jc w:val="both"/>
              <w:rPr>
                <w:rFonts w:cs="Arial"/>
                <w:b/>
                <w:sz w:val="20"/>
                <w:szCs w:val="20"/>
                <w:u w:val="single"/>
              </w:rPr>
            </w:pPr>
          </w:p>
        </w:tc>
      </w:tr>
      <w:tr w:rsidR="007422AB" w:rsidRPr="00903F89" w14:paraId="18866E71" w14:textId="77777777" w:rsidTr="007422AB">
        <w:tc>
          <w:tcPr>
            <w:tcW w:w="10773" w:type="dxa"/>
            <w:gridSpan w:val="15"/>
            <w:shd w:val="clear" w:color="auto" w:fill="auto"/>
          </w:tcPr>
          <w:p w14:paraId="725DEE28" w14:textId="73E3B22D" w:rsidR="00EB62B6" w:rsidRPr="00903F89" w:rsidRDefault="045AFEAA" w:rsidP="00903F89">
            <w:pPr>
              <w:jc w:val="both"/>
              <w:rPr>
                <w:rFonts w:eastAsia="Arial" w:cs="Arial"/>
                <w:b/>
                <w:bCs/>
                <w:sz w:val="20"/>
                <w:szCs w:val="20"/>
                <w:u w:val="single"/>
              </w:rPr>
            </w:pPr>
            <w:r w:rsidRPr="00903F89">
              <w:rPr>
                <w:rFonts w:cs="Arial"/>
                <w:sz w:val="20"/>
                <w:szCs w:val="20"/>
              </w:rPr>
              <w:t xml:space="preserve">Διευκρινίζεται ότι: </w:t>
            </w:r>
          </w:p>
        </w:tc>
      </w:tr>
      <w:tr w:rsidR="007422AB" w:rsidRPr="00903F89" w14:paraId="3F7BC662" w14:textId="77777777" w:rsidTr="007422AB">
        <w:tc>
          <w:tcPr>
            <w:tcW w:w="2870" w:type="dxa"/>
            <w:gridSpan w:val="5"/>
          </w:tcPr>
          <w:p w14:paraId="2B1CA535" w14:textId="77777777" w:rsidR="002953F0" w:rsidRPr="00903F89" w:rsidRDefault="002953F0" w:rsidP="00903F89">
            <w:pPr>
              <w:jc w:val="both"/>
              <w:rPr>
                <w:rFonts w:cs="Arial"/>
                <w:b/>
                <w:sz w:val="20"/>
                <w:szCs w:val="20"/>
                <w:u w:val="single"/>
              </w:rPr>
            </w:pPr>
          </w:p>
        </w:tc>
        <w:tc>
          <w:tcPr>
            <w:tcW w:w="3046" w:type="dxa"/>
            <w:gridSpan w:val="3"/>
            <w:shd w:val="clear" w:color="auto" w:fill="auto"/>
          </w:tcPr>
          <w:p w14:paraId="04FAADEF" w14:textId="77777777" w:rsidR="002953F0" w:rsidRPr="00903F89" w:rsidRDefault="002953F0" w:rsidP="00903F89">
            <w:pPr>
              <w:jc w:val="both"/>
              <w:rPr>
                <w:rFonts w:cs="Arial"/>
                <w:sz w:val="20"/>
                <w:szCs w:val="20"/>
              </w:rPr>
            </w:pPr>
          </w:p>
        </w:tc>
        <w:tc>
          <w:tcPr>
            <w:tcW w:w="4857" w:type="dxa"/>
            <w:gridSpan w:val="7"/>
            <w:shd w:val="clear" w:color="auto" w:fill="auto"/>
          </w:tcPr>
          <w:p w14:paraId="1FEF6ED6" w14:textId="77777777" w:rsidR="002953F0" w:rsidRPr="00903F89" w:rsidRDefault="002953F0" w:rsidP="00903F89">
            <w:pPr>
              <w:jc w:val="both"/>
              <w:rPr>
                <w:rFonts w:cs="Arial"/>
                <w:b/>
                <w:sz w:val="20"/>
                <w:szCs w:val="20"/>
                <w:u w:val="single"/>
              </w:rPr>
            </w:pPr>
          </w:p>
        </w:tc>
      </w:tr>
      <w:tr w:rsidR="007422AB" w:rsidRPr="00903F89" w14:paraId="3209F2FF" w14:textId="77777777" w:rsidTr="007422AB">
        <w:tc>
          <w:tcPr>
            <w:tcW w:w="10773" w:type="dxa"/>
            <w:gridSpan w:val="15"/>
            <w:shd w:val="clear" w:color="auto" w:fill="auto"/>
          </w:tcPr>
          <w:p w14:paraId="321A3257" w14:textId="23F1B815" w:rsidR="00EB62B6" w:rsidRPr="00903F89" w:rsidRDefault="002518A5" w:rsidP="00903F89">
            <w:pPr>
              <w:pStyle w:val="ListParagraph"/>
              <w:numPr>
                <w:ilvl w:val="0"/>
                <w:numId w:val="20"/>
              </w:numPr>
              <w:jc w:val="both"/>
              <w:rPr>
                <w:rFonts w:eastAsia="Arial" w:cs="Arial"/>
                <w:b/>
                <w:bCs/>
                <w:sz w:val="20"/>
                <w:szCs w:val="20"/>
                <w:u w:val="single"/>
              </w:rPr>
            </w:pPr>
            <w:bookmarkStart w:id="7" w:name="_Hlk46905878"/>
            <w:r w:rsidRPr="00903F89">
              <w:rPr>
                <w:rFonts w:cs="Arial"/>
                <w:sz w:val="20"/>
                <w:szCs w:val="20"/>
              </w:rPr>
              <w:t xml:space="preserve">οι μηνιαίες ακαθάριστες απολαβές Επισκεπτών Ακαδημαϊκών κανονικής διάρκειας αφορούν κατ’ αποκοπή ποσά και τα οποία καθορίστηκαν ως ακολούθως (σύμφωνα με την Αυτόματη Τιμαριθμική Αναπροσαρμογή επί των βασικών μισθών, όπως ισχύει από </w:t>
            </w:r>
            <w:r w:rsidR="00A85AF3">
              <w:rPr>
                <w:rFonts w:cs="Arial"/>
                <w:sz w:val="20"/>
                <w:szCs w:val="20"/>
              </w:rPr>
              <w:t>01/01/2020</w:t>
            </w:r>
            <w:r w:rsidRPr="00903F89">
              <w:rPr>
                <w:rFonts w:cs="Arial"/>
                <w:sz w:val="20"/>
                <w:szCs w:val="20"/>
              </w:rPr>
              <w:t>: 1.27%):</w:t>
            </w:r>
          </w:p>
        </w:tc>
      </w:tr>
      <w:tr w:rsidR="00903F89" w:rsidRPr="00903F89" w14:paraId="0C457947" w14:textId="77777777" w:rsidTr="007422AB">
        <w:tc>
          <w:tcPr>
            <w:tcW w:w="10773" w:type="dxa"/>
            <w:gridSpan w:val="15"/>
            <w:shd w:val="clear" w:color="auto" w:fill="auto"/>
          </w:tcPr>
          <w:p w14:paraId="1580E107" w14:textId="77777777" w:rsidR="00380448" w:rsidRPr="00903F89" w:rsidRDefault="00380448" w:rsidP="00903F89">
            <w:pPr>
              <w:pStyle w:val="ListParagraph"/>
              <w:ind w:left="360"/>
              <w:jc w:val="both"/>
              <w:rPr>
                <w:rFonts w:cs="Arial"/>
                <w:sz w:val="20"/>
                <w:szCs w:val="20"/>
              </w:rPr>
            </w:pPr>
          </w:p>
        </w:tc>
      </w:tr>
      <w:tr w:rsidR="00903F89" w:rsidRPr="00903F89" w14:paraId="7088A842" w14:textId="77777777" w:rsidTr="007422AB">
        <w:tc>
          <w:tcPr>
            <w:tcW w:w="5387" w:type="dxa"/>
            <w:gridSpan w:val="7"/>
            <w:shd w:val="clear" w:color="auto" w:fill="auto"/>
          </w:tcPr>
          <w:p w14:paraId="0DF938BE" w14:textId="30D72A62" w:rsidR="00380448" w:rsidRPr="00903F89" w:rsidRDefault="00380448" w:rsidP="00903F89">
            <w:pPr>
              <w:pStyle w:val="ListParagraph"/>
              <w:ind w:left="360"/>
              <w:jc w:val="both"/>
              <w:rPr>
                <w:rFonts w:cs="Arial"/>
                <w:sz w:val="20"/>
                <w:szCs w:val="20"/>
              </w:rPr>
            </w:pPr>
            <w:r w:rsidRPr="00903F89">
              <w:rPr>
                <w:rFonts w:cs="Arial"/>
                <w:sz w:val="20"/>
                <w:szCs w:val="20"/>
              </w:rPr>
              <w:t>Επισκέπτης Ακαδημαϊκός (Καθηγητής):</w:t>
            </w:r>
          </w:p>
        </w:tc>
        <w:tc>
          <w:tcPr>
            <w:tcW w:w="5386" w:type="dxa"/>
            <w:gridSpan w:val="8"/>
            <w:shd w:val="clear" w:color="auto" w:fill="auto"/>
          </w:tcPr>
          <w:p w14:paraId="57083290" w14:textId="3791433E" w:rsidR="00380448" w:rsidRPr="00903F89" w:rsidRDefault="00380448" w:rsidP="00903F89">
            <w:pPr>
              <w:pStyle w:val="ListParagraph"/>
              <w:ind w:left="360"/>
              <w:jc w:val="both"/>
              <w:rPr>
                <w:rFonts w:cs="Arial"/>
                <w:sz w:val="20"/>
                <w:szCs w:val="20"/>
              </w:rPr>
            </w:pPr>
            <w:r w:rsidRPr="00903F89">
              <w:rPr>
                <w:rFonts w:cs="Arial"/>
                <w:sz w:val="20"/>
                <w:szCs w:val="20"/>
              </w:rPr>
              <w:t>€3.661,32</w:t>
            </w:r>
          </w:p>
        </w:tc>
      </w:tr>
      <w:tr w:rsidR="00903F89" w:rsidRPr="00903F89" w14:paraId="1C07AE96" w14:textId="77777777" w:rsidTr="007422AB">
        <w:tc>
          <w:tcPr>
            <w:tcW w:w="5387" w:type="dxa"/>
            <w:gridSpan w:val="7"/>
            <w:shd w:val="clear" w:color="auto" w:fill="auto"/>
          </w:tcPr>
          <w:p w14:paraId="53D80B63" w14:textId="10709517" w:rsidR="00380448" w:rsidRPr="00903F89" w:rsidRDefault="00380448" w:rsidP="00903F89">
            <w:pPr>
              <w:pStyle w:val="ListParagraph"/>
              <w:ind w:left="360"/>
              <w:jc w:val="both"/>
              <w:rPr>
                <w:rFonts w:cs="Arial"/>
                <w:sz w:val="20"/>
                <w:szCs w:val="20"/>
              </w:rPr>
            </w:pPr>
            <w:r w:rsidRPr="00903F89">
              <w:rPr>
                <w:rFonts w:cs="Arial"/>
                <w:sz w:val="20"/>
                <w:szCs w:val="20"/>
              </w:rPr>
              <w:t>Επισκέπτης Ακαδημαϊκός (Αναπληρωτής Καθηγητής):</w:t>
            </w:r>
          </w:p>
        </w:tc>
        <w:tc>
          <w:tcPr>
            <w:tcW w:w="5386" w:type="dxa"/>
            <w:gridSpan w:val="8"/>
            <w:shd w:val="clear" w:color="auto" w:fill="auto"/>
          </w:tcPr>
          <w:p w14:paraId="2239BCAB" w14:textId="7DF68F63" w:rsidR="00380448" w:rsidRPr="00903F89" w:rsidRDefault="00380448" w:rsidP="00903F89">
            <w:pPr>
              <w:pStyle w:val="ListParagraph"/>
              <w:ind w:left="360"/>
              <w:jc w:val="both"/>
              <w:rPr>
                <w:rFonts w:cs="Arial"/>
                <w:sz w:val="20"/>
                <w:szCs w:val="20"/>
              </w:rPr>
            </w:pPr>
            <w:r w:rsidRPr="00903F89">
              <w:rPr>
                <w:rFonts w:cs="Arial"/>
                <w:sz w:val="20"/>
                <w:szCs w:val="20"/>
              </w:rPr>
              <w:t>€3.291,11</w:t>
            </w:r>
          </w:p>
        </w:tc>
      </w:tr>
      <w:tr w:rsidR="00903F89" w:rsidRPr="00903F89" w14:paraId="5BCCE96A" w14:textId="77777777" w:rsidTr="007422AB">
        <w:tc>
          <w:tcPr>
            <w:tcW w:w="5387" w:type="dxa"/>
            <w:gridSpan w:val="7"/>
            <w:shd w:val="clear" w:color="auto" w:fill="auto"/>
          </w:tcPr>
          <w:p w14:paraId="51B5FEDE" w14:textId="57EEAAB3" w:rsidR="00380448" w:rsidRPr="00903F89" w:rsidRDefault="00380448" w:rsidP="00903F89">
            <w:pPr>
              <w:pStyle w:val="ListParagraph"/>
              <w:ind w:left="360"/>
              <w:jc w:val="both"/>
              <w:rPr>
                <w:rFonts w:cs="Arial"/>
                <w:sz w:val="20"/>
                <w:szCs w:val="20"/>
              </w:rPr>
            </w:pPr>
            <w:r w:rsidRPr="00903F89">
              <w:rPr>
                <w:rFonts w:cs="Arial"/>
                <w:sz w:val="20"/>
                <w:szCs w:val="20"/>
              </w:rPr>
              <w:t>Επισκέπτης Ακαδημαϊκός (Επίκουρος Καθηγητής):</w:t>
            </w:r>
          </w:p>
        </w:tc>
        <w:tc>
          <w:tcPr>
            <w:tcW w:w="5386" w:type="dxa"/>
            <w:gridSpan w:val="8"/>
            <w:shd w:val="clear" w:color="auto" w:fill="auto"/>
          </w:tcPr>
          <w:p w14:paraId="4DFF7233" w14:textId="1E4B243B" w:rsidR="00380448" w:rsidRPr="00903F89" w:rsidRDefault="00380448" w:rsidP="00903F89">
            <w:pPr>
              <w:pStyle w:val="ListParagraph"/>
              <w:ind w:left="360"/>
              <w:jc w:val="both"/>
              <w:rPr>
                <w:rFonts w:cs="Arial"/>
                <w:sz w:val="20"/>
                <w:szCs w:val="20"/>
              </w:rPr>
            </w:pPr>
            <w:r w:rsidRPr="00903F89">
              <w:rPr>
                <w:rFonts w:cs="Arial"/>
                <w:sz w:val="20"/>
                <w:szCs w:val="20"/>
              </w:rPr>
              <w:t>€3.122,10</w:t>
            </w:r>
          </w:p>
        </w:tc>
      </w:tr>
      <w:tr w:rsidR="00903F89" w:rsidRPr="00903F89" w14:paraId="3231083A" w14:textId="77777777" w:rsidTr="007422AB">
        <w:tc>
          <w:tcPr>
            <w:tcW w:w="5387" w:type="dxa"/>
            <w:gridSpan w:val="7"/>
            <w:shd w:val="clear" w:color="auto" w:fill="auto"/>
          </w:tcPr>
          <w:p w14:paraId="46A00B18" w14:textId="6B51A467" w:rsidR="00380448" w:rsidRPr="00903F89" w:rsidRDefault="00380448" w:rsidP="00903F89">
            <w:pPr>
              <w:pStyle w:val="ListParagraph"/>
              <w:ind w:left="360"/>
              <w:jc w:val="both"/>
              <w:rPr>
                <w:rFonts w:cs="Arial"/>
                <w:sz w:val="20"/>
                <w:szCs w:val="20"/>
              </w:rPr>
            </w:pPr>
            <w:r w:rsidRPr="00903F89">
              <w:rPr>
                <w:rFonts w:cs="Arial"/>
                <w:sz w:val="20"/>
                <w:szCs w:val="20"/>
              </w:rPr>
              <w:t>Επισκέπτης Ακαδημαϊκός (Λέκτορα):</w:t>
            </w:r>
          </w:p>
        </w:tc>
        <w:tc>
          <w:tcPr>
            <w:tcW w:w="5386" w:type="dxa"/>
            <w:gridSpan w:val="8"/>
            <w:shd w:val="clear" w:color="auto" w:fill="auto"/>
          </w:tcPr>
          <w:p w14:paraId="04D6741C" w14:textId="5F925E63" w:rsidR="00380448" w:rsidRPr="00903F89" w:rsidRDefault="00380448" w:rsidP="00903F89">
            <w:pPr>
              <w:pStyle w:val="ListParagraph"/>
              <w:ind w:left="360"/>
              <w:jc w:val="both"/>
              <w:rPr>
                <w:rFonts w:cs="Arial"/>
                <w:sz w:val="20"/>
                <w:szCs w:val="20"/>
              </w:rPr>
            </w:pPr>
            <w:r w:rsidRPr="00903F89">
              <w:rPr>
                <w:rFonts w:cs="Arial"/>
                <w:sz w:val="20"/>
                <w:szCs w:val="20"/>
              </w:rPr>
              <w:t>€2.723,17</w:t>
            </w:r>
          </w:p>
        </w:tc>
      </w:tr>
      <w:bookmarkEnd w:id="7"/>
      <w:tr w:rsidR="007422AB" w:rsidRPr="00903F89" w14:paraId="41A4F7D0" w14:textId="77777777" w:rsidTr="007422AB">
        <w:tc>
          <w:tcPr>
            <w:tcW w:w="2870" w:type="dxa"/>
            <w:gridSpan w:val="5"/>
          </w:tcPr>
          <w:p w14:paraId="59BC2E08" w14:textId="77777777" w:rsidR="006E5B48" w:rsidRPr="00903F89" w:rsidRDefault="006E5B48" w:rsidP="00903F89">
            <w:pPr>
              <w:ind w:left="601" w:hanging="425"/>
              <w:jc w:val="both"/>
              <w:rPr>
                <w:rFonts w:cs="Arial"/>
                <w:b/>
                <w:sz w:val="20"/>
                <w:szCs w:val="20"/>
                <w:u w:val="single"/>
              </w:rPr>
            </w:pPr>
          </w:p>
        </w:tc>
        <w:tc>
          <w:tcPr>
            <w:tcW w:w="3046" w:type="dxa"/>
            <w:gridSpan w:val="3"/>
            <w:shd w:val="clear" w:color="auto" w:fill="auto"/>
          </w:tcPr>
          <w:p w14:paraId="233ECAFD" w14:textId="77777777" w:rsidR="006E5B48" w:rsidRPr="00903F89" w:rsidRDefault="006E5B48" w:rsidP="00903F89">
            <w:pPr>
              <w:ind w:left="601" w:hanging="425"/>
              <w:jc w:val="both"/>
              <w:rPr>
                <w:rFonts w:cs="Arial"/>
                <w:sz w:val="20"/>
                <w:szCs w:val="20"/>
              </w:rPr>
            </w:pPr>
          </w:p>
        </w:tc>
        <w:tc>
          <w:tcPr>
            <w:tcW w:w="4857" w:type="dxa"/>
            <w:gridSpan w:val="7"/>
            <w:shd w:val="clear" w:color="auto" w:fill="auto"/>
          </w:tcPr>
          <w:p w14:paraId="3AFE1CD5" w14:textId="77777777" w:rsidR="006E5B48" w:rsidRPr="00903F89" w:rsidRDefault="006E5B48" w:rsidP="00903F89">
            <w:pPr>
              <w:ind w:left="601" w:hanging="425"/>
              <w:jc w:val="both"/>
              <w:rPr>
                <w:rFonts w:cs="Arial"/>
                <w:b/>
                <w:sz w:val="20"/>
                <w:szCs w:val="20"/>
                <w:u w:val="single"/>
              </w:rPr>
            </w:pPr>
          </w:p>
        </w:tc>
      </w:tr>
      <w:tr w:rsidR="007422AB" w:rsidRPr="00903F89" w14:paraId="0AEC879B" w14:textId="77777777" w:rsidTr="007422AB">
        <w:tc>
          <w:tcPr>
            <w:tcW w:w="10773" w:type="dxa"/>
            <w:gridSpan w:val="15"/>
          </w:tcPr>
          <w:p w14:paraId="5457DCC7" w14:textId="77777777" w:rsidR="002518A5" w:rsidRPr="00903F89" w:rsidRDefault="002518A5" w:rsidP="00903F89">
            <w:pPr>
              <w:pStyle w:val="ListParagraph"/>
              <w:numPr>
                <w:ilvl w:val="0"/>
                <w:numId w:val="20"/>
              </w:numPr>
              <w:jc w:val="both"/>
              <w:rPr>
                <w:rFonts w:cs="Arial"/>
                <w:sz w:val="20"/>
                <w:szCs w:val="20"/>
              </w:rPr>
            </w:pPr>
            <w:r w:rsidRPr="00903F89">
              <w:rPr>
                <w:rFonts w:cs="Arial"/>
                <w:sz w:val="20"/>
                <w:szCs w:val="20"/>
              </w:rPr>
              <w:t xml:space="preserve">στους Επισκέπτες Ακαδημαϊκούς σύντομης διάρκειας καταβάλλονται: </w:t>
            </w:r>
          </w:p>
          <w:p w14:paraId="49BDA2EC" w14:textId="77777777" w:rsidR="002518A5" w:rsidRPr="00903F89" w:rsidRDefault="002518A5" w:rsidP="00903F89">
            <w:pPr>
              <w:pStyle w:val="ListParagraph"/>
              <w:ind w:left="360"/>
              <w:jc w:val="both"/>
              <w:rPr>
                <w:rFonts w:cs="Arial"/>
                <w:sz w:val="20"/>
                <w:szCs w:val="20"/>
              </w:rPr>
            </w:pPr>
            <w:r w:rsidRPr="00903F89">
              <w:rPr>
                <w:rFonts w:cs="Arial"/>
                <w:sz w:val="20"/>
                <w:szCs w:val="20"/>
              </w:rPr>
              <w:t>–</w:t>
            </w:r>
            <w:r w:rsidRPr="00903F89">
              <w:rPr>
                <w:rFonts w:cs="Arial"/>
                <w:sz w:val="20"/>
                <w:szCs w:val="20"/>
              </w:rPr>
              <w:tab/>
              <w:t>ημερήσιες απολαβές ύψους €137 (για τα Σαββατοκύριακα που προηγούνται ή έπονται της εβδομάδας απασχόλησης δεν καταβάλλονται ημερήσιες απολαβές),</w:t>
            </w:r>
          </w:p>
          <w:p w14:paraId="5D727482" w14:textId="0B200F67" w:rsidR="000110C6" w:rsidRPr="00903F89" w:rsidRDefault="002518A5" w:rsidP="00903F89">
            <w:pPr>
              <w:ind w:left="360"/>
              <w:jc w:val="both"/>
              <w:rPr>
                <w:rFonts w:eastAsia="Arial" w:cs="Arial"/>
                <w:sz w:val="20"/>
                <w:szCs w:val="20"/>
              </w:rPr>
            </w:pPr>
            <w:r w:rsidRPr="00903F89">
              <w:rPr>
                <w:rFonts w:cs="Arial"/>
                <w:sz w:val="20"/>
                <w:szCs w:val="20"/>
              </w:rPr>
              <w:t>–</w:t>
            </w:r>
            <w:r w:rsidRPr="00903F89">
              <w:rPr>
                <w:rFonts w:cs="Arial"/>
                <w:sz w:val="20"/>
                <w:szCs w:val="20"/>
              </w:rPr>
              <w:tab/>
              <w:t>κατ’ αποκοπή επίδομα (Honorarium) ανά εβδομάδα κατά τη διάρκεια της διαμονής τους στην Κύπρο, ανάλογα με την Ακαδημαϊκή τους βαθμίδα (Καθηγητής ή Αναπληρωτής Καθηγητής €680, Επίκουρος Καθηγητής €510).  Στα αντίστοιχα κατ’ αποκοπή επιδόματα (Honorarium) ενσωματώθηκε μείωση κατά 15%.</w:t>
            </w:r>
          </w:p>
        </w:tc>
      </w:tr>
      <w:tr w:rsidR="007422AB" w:rsidRPr="00903F89" w14:paraId="338CBAF6" w14:textId="77777777" w:rsidTr="007422AB">
        <w:tc>
          <w:tcPr>
            <w:tcW w:w="10773" w:type="dxa"/>
            <w:gridSpan w:val="15"/>
            <w:shd w:val="clear" w:color="auto" w:fill="auto"/>
          </w:tcPr>
          <w:p w14:paraId="08A81726" w14:textId="77777777" w:rsidR="00B71853" w:rsidRPr="00903F89" w:rsidRDefault="00B71853" w:rsidP="00903F89">
            <w:pPr>
              <w:pStyle w:val="ListParagraph"/>
              <w:ind w:left="601"/>
              <w:jc w:val="both"/>
              <w:rPr>
                <w:rFonts w:cs="Arial"/>
                <w:sz w:val="20"/>
                <w:szCs w:val="20"/>
              </w:rPr>
            </w:pPr>
          </w:p>
        </w:tc>
      </w:tr>
      <w:tr w:rsidR="007422AB" w:rsidRPr="00903F89" w14:paraId="22ED7E0E" w14:textId="77777777" w:rsidTr="007422AB">
        <w:trPr>
          <w:trHeight w:val="80"/>
        </w:trPr>
        <w:tc>
          <w:tcPr>
            <w:tcW w:w="10773" w:type="dxa"/>
            <w:gridSpan w:val="15"/>
            <w:shd w:val="clear" w:color="auto" w:fill="auto"/>
          </w:tcPr>
          <w:p w14:paraId="022D67A3" w14:textId="5B730E83" w:rsidR="00F4631B" w:rsidRPr="00903F89" w:rsidRDefault="045AFEAA" w:rsidP="00903F89">
            <w:pPr>
              <w:jc w:val="both"/>
              <w:rPr>
                <w:rFonts w:cs="Arial"/>
                <w:sz w:val="20"/>
                <w:szCs w:val="20"/>
              </w:rPr>
            </w:pPr>
            <w:r w:rsidRPr="00903F89">
              <w:rPr>
                <w:rFonts w:cs="Arial"/>
                <w:sz w:val="20"/>
                <w:szCs w:val="20"/>
              </w:rPr>
              <w:lastRenderedPageBreak/>
              <w:t xml:space="preserve">Η πρόνοια του άρθρου αυξάνεται για το </w:t>
            </w:r>
            <w:r w:rsidR="00764BFD" w:rsidRPr="00903F89">
              <w:rPr>
                <w:rFonts w:cs="Arial"/>
                <w:sz w:val="20"/>
                <w:szCs w:val="20"/>
              </w:rPr>
              <w:t>20</w:t>
            </w:r>
            <w:r w:rsidR="002F4A0F" w:rsidRPr="00903F89">
              <w:rPr>
                <w:rFonts w:cs="Arial"/>
                <w:sz w:val="20"/>
                <w:szCs w:val="20"/>
              </w:rPr>
              <w:t>2</w:t>
            </w:r>
            <w:r w:rsidR="00E41495" w:rsidRPr="00903F89">
              <w:rPr>
                <w:rFonts w:cs="Arial"/>
                <w:sz w:val="20"/>
                <w:szCs w:val="20"/>
              </w:rPr>
              <w:t>2</w:t>
            </w:r>
            <w:r w:rsidR="00C80B2A" w:rsidRPr="00903F89">
              <w:rPr>
                <w:rFonts w:cs="Arial"/>
                <w:sz w:val="20"/>
                <w:szCs w:val="20"/>
              </w:rPr>
              <w:t xml:space="preserve"> </w:t>
            </w:r>
            <w:r w:rsidR="00577907" w:rsidRPr="00903F89">
              <w:rPr>
                <w:rFonts w:cs="Arial"/>
                <w:sz w:val="20"/>
                <w:szCs w:val="20"/>
              </w:rPr>
              <w:t>λαμβάνοντας τις αυξημένες ανάγκες διδασκαλίας και συντονισμού της Ιατρικής Σχολής.</w:t>
            </w:r>
          </w:p>
        </w:tc>
      </w:tr>
      <w:tr w:rsidR="004142D7" w:rsidRPr="00903F89" w14:paraId="28838B3E" w14:textId="77777777" w:rsidTr="007422AB">
        <w:trPr>
          <w:trHeight w:val="80"/>
        </w:trPr>
        <w:tc>
          <w:tcPr>
            <w:tcW w:w="10773" w:type="dxa"/>
            <w:gridSpan w:val="15"/>
            <w:shd w:val="clear" w:color="auto" w:fill="auto"/>
          </w:tcPr>
          <w:p w14:paraId="11529750" w14:textId="77777777" w:rsidR="004142D7" w:rsidRPr="00903F89" w:rsidRDefault="004142D7" w:rsidP="00903F89">
            <w:pPr>
              <w:jc w:val="both"/>
              <w:rPr>
                <w:rFonts w:cs="Arial"/>
                <w:sz w:val="20"/>
                <w:szCs w:val="20"/>
              </w:rPr>
            </w:pPr>
          </w:p>
        </w:tc>
      </w:tr>
      <w:tr w:rsidR="007422AB" w:rsidRPr="00903F89" w14:paraId="0A175C2C" w14:textId="77777777" w:rsidTr="007422AB">
        <w:tc>
          <w:tcPr>
            <w:tcW w:w="10773" w:type="dxa"/>
            <w:gridSpan w:val="15"/>
            <w:shd w:val="clear" w:color="auto" w:fill="auto"/>
          </w:tcPr>
          <w:p w14:paraId="4829E3DC" w14:textId="7338A241" w:rsidR="00B63C97" w:rsidRPr="00903F89" w:rsidRDefault="00B63C97" w:rsidP="00903F89">
            <w:pPr>
              <w:jc w:val="both"/>
              <w:rPr>
                <w:rFonts w:eastAsia="Arial" w:cs="Arial"/>
                <w:b/>
                <w:bCs/>
                <w:sz w:val="20"/>
                <w:szCs w:val="20"/>
                <w:u w:val="single"/>
                <w:lang w:val="en-US"/>
              </w:rPr>
            </w:pPr>
            <w:bookmarkStart w:id="8" w:name="_Hlk54250656"/>
            <w:bookmarkStart w:id="9" w:name="_Hlk47012797"/>
            <w:bookmarkEnd w:id="6"/>
            <w:r w:rsidRPr="00903F89">
              <w:rPr>
                <w:rFonts w:cs="Arial"/>
                <w:b/>
                <w:bCs/>
                <w:sz w:val="20"/>
                <w:szCs w:val="20"/>
                <w:u w:val="single"/>
              </w:rPr>
              <w:t xml:space="preserve">Άρθρο </w:t>
            </w:r>
            <w:r w:rsidR="00ED518A" w:rsidRPr="00903F89">
              <w:rPr>
                <w:rFonts w:cs="Arial"/>
                <w:b/>
                <w:bCs/>
                <w:sz w:val="20"/>
                <w:szCs w:val="20"/>
                <w:u w:val="single"/>
              </w:rPr>
              <w:t>11-</w:t>
            </w:r>
            <w:r w:rsidRPr="00903F89">
              <w:rPr>
                <w:rFonts w:cs="Arial"/>
                <w:b/>
                <w:bCs/>
                <w:sz w:val="20"/>
                <w:szCs w:val="20"/>
                <w:u w:val="single"/>
              </w:rPr>
              <w:t>104 – Ειδικοί Επιστήμονες – €</w:t>
            </w:r>
            <w:r w:rsidR="00E41495" w:rsidRPr="00903F89">
              <w:rPr>
                <w:rFonts w:cs="Arial"/>
                <w:b/>
                <w:bCs/>
                <w:sz w:val="20"/>
                <w:szCs w:val="20"/>
                <w:u w:val="single"/>
              </w:rPr>
              <w:t>3.157.000</w:t>
            </w:r>
          </w:p>
        </w:tc>
      </w:tr>
      <w:tr w:rsidR="007422AB" w:rsidRPr="00903F89" w14:paraId="6AA9457C" w14:textId="77777777" w:rsidTr="007422AB">
        <w:tc>
          <w:tcPr>
            <w:tcW w:w="3097" w:type="dxa"/>
            <w:gridSpan w:val="6"/>
            <w:shd w:val="clear" w:color="auto" w:fill="auto"/>
          </w:tcPr>
          <w:p w14:paraId="32370F78" w14:textId="77777777" w:rsidR="00B63C97" w:rsidRPr="00903F89" w:rsidRDefault="00B63C97" w:rsidP="00903F89">
            <w:pPr>
              <w:jc w:val="both"/>
              <w:rPr>
                <w:rFonts w:cs="Arial"/>
                <w:b/>
                <w:sz w:val="20"/>
                <w:szCs w:val="20"/>
                <w:u w:val="single"/>
              </w:rPr>
            </w:pPr>
          </w:p>
        </w:tc>
        <w:tc>
          <w:tcPr>
            <w:tcW w:w="6195" w:type="dxa"/>
            <w:gridSpan w:val="7"/>
            <w:shd w:val="clear" w:color="auto" w:fill="auto"/>
          </w:tcPr>
          <w:p w14:paraId="0559364E" w14:textId="77777777" w:rsidR="00B63C97" w:rsidRPr="00903F89" w:rsidRDefault="00B63C97" w:rsidP="00903F89">
            <w:pPr>
              <w:jc w:val="both"/>
              <w:rPr>
                <w:rFonts w:cs="Arial"/>
                <w:sz w:val="20"/>
                <w:szCs w:val="20"/>
              </w:rPr>
            </w:pPr>
          </w:p>
        </w:tc>
        <w:tc>
          <w:tcPr>
            <w:tcW w:w="1481" w:type="dxa"/>
            <w:gridSpan w:val="2"/>
            <w:shd w:val="clear" w:color="auto" w:fill="auto"/>
          </w:tcPr>
          <w:p w14:paraId="4A84FB4B" w14:textId="77777777" w:rsidR="00B63C97" w:rsidRPr="00903F89" w:rsidRDefault="00B63C97" w:rsidP="00903F89">
            <w:pPr>
              <w:jc w:val="both"/>
              <w:rPr>
                <w:rFonts w:cs="Arial"/>
                <w:b/>
                <w:sz w:val="20"/>
                <w:szCs w:val="20"/>
                <w:u w:val="single"/>
              </w:rPr>
            </w:pPr>
          </w:p>
        </w:tc>
      </w:tr>
      <w:tr w:rsidR="007422AB" w:rsidRPr="00903F89" w14:paraId="14EBB6C8" w14:textId="77777777" w:rsidTr="007422AB">
        <w:tc>
          <w:tcPr>
            <w:tcW w:w="10773" w:type="dxa"/>
            <w:gridSpan w:val="15"/>
            <w:shd w:val="clear" w:color="auto" w:fill="auto"/>
          </w:tcPr>
          <w:p w14:paraId="6DBA08AD" w14:textId="7AA85A90" w:rsidR="00B63C97" w:rsidRPr="00903F89" w:rsidRDefault="001F58E4" w:rsidP="00903F89">
            <w:pPr>
              <w:jc w:val="both"/>
              <w:rPr>
                <w:rFonts w:eastAsia="Arial" w:cs="Arial"/>
                <w:b/>
                <w:bCs/>
                <w:sz w:val="20"/>
                <w:szCs w:val="20"/>
                <w:u w:val="single"/>
              </w:rPr>
            </w:pPr>
            <w:r w:rsidRPr="00903F89">
              <w:rPr>
                <w:rFonts w:cs="Arial"/>
                <w:sz w:val="20"/>
                <w:szCs w:val="20"/>
              </w:rPr>
              <w:t xml:space="preserve">Η πρόνοια αφορά στις αμοιβές Ειδικών Επιστημόνων Διδασκαλίας, </w:t>
            </w:r>
            <w:r w:rsidR="00333915">
              <w:rPr>
                <w:rFonts w:cs="Arial"/>
                <w:sz w:val="20"/>
                <w:szCs w:val="20"/>
              </w:rPr>
              <w:t xml:space="preserve">και </w:t>
            </w:r>
            <w:r w:rsidRPr="00903F89">
              <w:rPr>
                <w:rFonts w:cs="Arial"/>
                <w:sz w:val="20"/>
                <w:szCs w:val="20"/>
              </w:rPr>
              <w:t>Ειδικούς Επιστήμονες Έρευνας.  Οι Ειδικοί Επιστήμονες διορίζονται βάσει Κανόνων που εκδίδει η Σύγκλητος μετά από έγκριση του Συμβουλίου/ με απόφαση του Συμβουλίου του Πανεπιστημίου Κύπρου ή Οργάνων στα οποία εκχωρεί αυτή την αρμοδιότητα το Συμβούλιο.</w:t>
            </w:r>
          </w:p>
        </w:tc>
      </w:tr>
      <w:tr w:rsidR="007422AB" w:rsidRPr="00903F89" w14:paraId="79DF85B1" w14:textId="77777777" w:rsidTr="007422AB">
        <w:tc>
          <w:tcPr>
            <w:tcW w:w="3097" w:type="dxa"/>
            <w:gridSpan w:val="6"/>
            <w:shd w:val="clear" w:color="auto" w:fill="auto"/>
          </w:tcPr>
          <w:p w14:paraId="052DE872" w14:textId="77777777" w:rsidR="00B63C97" w:rsidRPr="00903F89" w:rsidRDefault="00B63C97" w:rsidP="00903F89">
            <w:pPr>
              <w:jc w:val="both"/>
              <w:rPr>
                <w:rFonts w:cs="Arial"/>
                <w:b/>
                <w:sz w:val="20"/>
                <w:szCs w:val="20"/>
                <w:u w:val="single"/>
              </w:rPr>
            </w:pPr>
          </w:p>
        </w:tc>
        <w:tc>
          <w:tcPr>
            <w:tcW w:w="6195" w:type="dxa"/>
            <w:gridSpan w:val="7"/>
            <w:shd w:val="clear" w:color="auto" w:fill="auto"/>
          </w:tcPr>
          <w:p w14:paraId="4D3AFF35" w14:textId="77777777" w:rsidR="00B63C97" w:rsidRPr="00903F89" w:rsidRDefault="00B63C97" w:rsidP="00903F89">
            <w:pPr>
              <w:jc w:val="both"/>
              <w:rPr>
                <w:rFonts w:cs="Arial"/>
                <w:sz w:val="20"/>
                <w:szCs w:val="20"/>
              </w:rPr>
            </w:pPr>
          </w:p>
        </w:tc>
        <w:tc>
          <w:tcPr>
            <w:tcW w:w="1481" w:type="dxa"/>
            <w:gridSpan w:val="2"/>
            <w:shd w:val="clear" w:color="auto" w:fill="auto"/>
          </w:tcPr>
          <w:p w14:paraId="6B5D6B05" w14:textId="77777777" w:rsidR="00B63C97" w:rsidRPr="00903F89" w:rsidRDefault="00B63C97" w:rsidP="00903F89">
            <w:pPr>
              <w:jc w:val="both"/>
              <w:rPr>
                <w:rFonts w:cs="Arial"/>
                <w:b/>
                <w:sz w:val="20"/>
                <w:szCs w:val="20"/>
                <w:u w:val="single"/>
              </w:rPr>
            </w:pPr>
          </w:p>
        </w:tc>
      </w:tr>
      <w:tr w:rsidR="007422AB" w:rsidRPr="00903F89" w14:paraId="53A376DE" w14:textId="77777777" w:rsidTr="007422AB">
        <w:tc>
          <w:tcPr>
            <w:tcW w:w="10773" w:type="dxa"/>
            <w:gridSpan w:val="15"/>
            <w:shd w:val="clear" w:color="auto" w:fill="auto"/>
          </w:tcPr>
          <w:p w14:paraId="2B1805CE" w14:textId="03378D80" w:rsidR="00B63C97" w:rsidRPr="00C459AD" w:rsidRDefault="00B63C97" w:rsidP="00903F89">
            <w:pPr>
              <w:jc w:val="both"/>
              <w:rPr>
                <w:rFonts w:eastAsia="Arial" w:cs="Arial"/>
                <w:b/>
                <w:bCs/>
                <w:sz w:val="20"/>
                <w:szCs w:val="20"/>
                <w:u w:val="single"/>
              </w:rPr>
            </w:pPr>
            <w:r w:rsidRPr="00C459AD">
              <w:rPr>
                <w:rFonts w:cs="Arial"/>
                <w:sz w:val="20"/>
                <w:szCs w:val="20"/>
                <w:u w:val="single"/>
              </w:rPr>
              <w:t xml:space="preserve">Οι ωριαίες αποζημιώσεις των Ειδικών Επιστημόνων Διδασκαλίας καθορίζονται ως εξής: </w:t>
            </w:r>
          </w:p>
        </w:tc>
      </w:tr>
      <w:tr w:rsidR="007422AB" w:rsidRPr="00903F89" w14:paraId="20FB2FC5" w14:textId="77777777" w:rsidTr="007422AB">
        <w:tc>
          <w:tcPr>
            <w:tcW w:w="3097" w:type="dxa"/>
            <w:gridSpan w:val="6"/>
            <w:shd w:val="clear" w:color="auto" w:fill="auto"/>
          </w:tcPr>
          <w:p w14:paraId="79A92651" w14:textId="77777777" w:rsidR="00B63C97" w:rsidRPr="00903F89" w:rsidRDefault="00B63C97" w:rsidP="00903F89">
            <w:pPr>
              <w:jc w:val="both"/>
              <w:rPr>
                <w:rFonts w:cs="Arial"/>
                <w:b/>
                <w:sz w:val="20"/>
                <w:szCs w:val="20"/>
                <w:u w:val="single"/>
              </w:rPr>
            </w:pPr>
          </w:p>
        </w:tc>
        <w:tc>
          <w:tcPr>
            <w:tcW w:w="6195" w:type="dxa"/>
            <w:gridSpan w:val="7"/>
            <w:shd w:val="clear" w:color="auto" w:fill="auto"/>
          </w:tcPr>
          <w:p w14:paraId="692FDCA5" w14:textId="77777777" w:rsidR="00B63C97" w:rsidRPr="00903F89" w:rsidRDefault="00B63C97" w:rsidP="00903F89">
            <w:pPr>
              <w:jc w:val="both"/>
              <w:rPr>
                <w:rFonts w:cs="Arial"/>
                <w:sz w:val="20"/>
                <w:szCs w:val="20"/>
              </w:rPr>
            </w:pPr>
          </w:p>
        </w:tc>
        <w:tc>
          <w:tcPr>
            <w:tcW w:w="1481" w:type="dxa"/>
            <w:gridSpan w:val="2"/>
            <w:shd w:val="clear" w:color="auto" w:fill="auto"/>
          </w:tcPr>
          <w:p w14:paraId="6C30A372" w14:textId="77777777" w:rsidR="00B63C97" w:rsidRPr="00903F89" w:rsidRDefault="00B63C97" w:rsidP="00903F89">
            <w:pPr>
              <w:jc w:val="both"/>
              <w:rPr>
                <w:rFonts w:cs="Arial"/>
                <w:b/>
                <w:sz w:val="20"/>
                <w:szCs w:val="20"/>
                <w:u w:val="single"/>
              </w:rPr>
            </w:pPr>
          </w:p>
        </w:tc>
      </w:tr>
      <w:tr w:rsidR="007422AB" w:rsidRPr="00903F89" w14:paraId="4BCB8927" w14:textId="77777777" w:rsidTr="007422AB">
        <w:tc>
          <w:tcPr>
            <w:tcW w:w="10773" w:type="dxa"/>
            <w:gridSpan w:val="15"/>
            <w:shd w:val="clear" w:color="auto" w:fill="auto"/>
          </w:tcPr>
          <w:p w14:paraId="34F417D7" w14:textId="1E0B0DA5" w:rsidR="00333915" w:rsidRDefault="00333915" w:rsidP="00C459AD">
            <w:pPr>
              <w:ind w:left="605" w:hanging="605"/>
              <w:jc w:val="both"/>
              <w:rPr>
                <w:rFonts w:cs="Arial"/>
                <w:sz w:val="20"/>
                <w:szCs w:val="20"/>
              </w:rPr>
            </w:pPr>
            <w:r>
              <w:rPr>
                <w:rFonts w:cs="Arial"/>
                <w:sz w:val="20"/>
                <w:szCs w:val="20"/>
              </w:rPr>
              <w:t>(α)</w:t>
            </w:r>
            <w:r>
              <w:rPr>
                <w:rFonts w:cs="Arial"/>
                <w:sz w:val="20"/>
                <w:szCs w:val="20"/>
              </w:rPr>
              <w:tab/>
            </w:r>
            <w:r w:rsidR="00C459AD">
              <w:rPr>
                <w:rFonts w:cs="Arial"/>
                <w:sz w:val="20"/>
                <w:szCs w:val="20"/>
              </w:rPr>
              <w:t>Για ά</w:t>
            </w:r>
            <w:r w:rsidRPr="00333915">
              <w:rPr>
                <w:rFonts w:cs="Arial"/>
                <w:sz w:val="20"/>
                <w:szCs w:val="20"/>
              </w:rPr>
              <w:t>τομα χωρίς διδακτορικό τίτλο: μέχρι €40,00 ανά ώρα διδασκαλίας</w:t>
            </w:r>
            <w:r w:rsidR="00C459AD">
              <w:rPr>
                <w:rFonts w:cs="Arial"/>
                <w:sz w:val="20"/>
                <w:szCs w:val="20"/>
              </w:rPr>
              <w:t>.</w:t>
            </w:r>
          </w:p>
          <w:p w14:paraId="5403CE05" w14:textId="77777777" w:rsidR="00C459AD" w:rsidRDefault="00C459AD" w:rsidP="00C459AD">
            <w:pPr>
              <w:ind w:left="605" w:hanging="605"/>
              <w:jc w:val="both"/>
              <w:rPr>
                <w:rFonts w:cs="Arial"/>
                <w:sz w:val="20"/>
                <w:szCs w:val="20"/>
              </w:rPr>
            </w:pPr>
          </w:p>
          <w:p w14:paraId="75DD767D" w14:textId="77777777" w:rsidR="00C459AD" w:rsidRDefault="00333915" w:rsidP="00C459AD">
            <w:pPr>
              <w:ind w:left="605" w:hanging="605"/>
              <w:jc w:val="both"/>
              <w:rPr>
                <w:rFonts w:cs="Arial"/>
                <w:sz w:val="20"/>
                <w:szCs w:val="20"/>
              </w:rPr>
            </w:pPr>
            <w:r>
              <w:rPr>
                <w:rFonts w:cs="Arial"/>
                <w:sz w:val="20"/>
                <w:szCs w:val="20"/>
              </w:rPr>
              <w:t>(β)</w:t>
            </w:r>
            <w:r>
              <w:rPr>
                <w:rFonts w:cs="Arial"/>
                <w:sz w:val="20"/>
                <w:szCs w:val="20"/>
              </w:rPr>
              <w:tab/>
            </w:r>
            <w:r w:rsidR="00C459AD">
              <w:rPr>
                <w:rFonts w:cs="Arial"/>
                <w:sz w:val="20"/>
                <w:szCs w:val="20"/>
              </w:rPr>
              <w:t>Για ά</w:t>
            </w:r>
            <w:r w:rsidR="00C459AD" w:rsidRPr="00333915">
              <w:rPr>
                <w:rFonts w:cs="Arial"/>
                <w:sz w:val="20"/>
                <w:szCs w:val="20"/>
              </w:rPr>
              <w:t xml:space="preserve">τομα </w:t>
            </w:r>
            <w:r w:rsidRPr="00333915">
              <w:rPr>
                <w:rFonts w:cs="Arial"/>
                <w:sz w:val="20"/>
                <w:szCs w:val="20"/>
              </w:rPr>
              <w:t>με διδακτορικό τίτλο:</w:t>
            </w:r>
            <w:r>
              <w:rPr>
                <w:rFonts w:cs="Arial"/>
                <w:sz w:val="20"/>
                <w:szCs w:val="20"/>
              </w:rPr>
              <w:t xml:space="preserve"> </w:t>
            </w:r>
            <w:r w:rsidRPr="00333915">
              <w:rPr>
                <w:rFonts w:cs="Arial"/>
                <w:sz w:val="20"/>
                <w:szCs w:val="20"/>
              </w:rPr>
              <w:t>μέχρι €</w:t>
            </w:r>
            <w:r>
              <w:rPr>
                <w:rFonts w:cs="Arial"/>
                <w:sz w:val="20"/>
                <w:szCs w:val="20"/>
              </w:rPr>
              <w:t>66</w:t>
            </w:r>
            <w:r w:rsidRPr="00333915">
              <w:rPr>
                <w:rFonts w:cs="Arial"/>
                <w:sz w:val="20"/>
                <w:szCs w:val="20"/>
              </w:rPr>
              <w:t>,00 ανά ώρα διδασκαλίας</w:t>
            </w:r>
            <w:r w:rsidR="00C459AD">
              <w:rPr>
                <w:rFonts w:cs="Arial"/>
                <w:sz w:val="20"/>
                <w:szCs w:val="20"/>
              </w:rPr>
              <w:t xml:space="preserve">, </w:t>
            </w:r>
          </w:p>
          <w:p w14:paraId="1DF03B74" w14:textId="4C178E26" w:rsidR="00B63C97" w:rsidRDefault="00C459AD" w:rsidP="00C459AD">
            <w:pPr>
              <w:ind w:left="605" w:hanging="605"/>
              <w:jc w:val="both"/>
              <w:rPr>
                <w:rFonts w:cs="Arial"/>
                <w:sz w:val="20"/>
                <w:szCs w:val="20"/>
              </w:rPr>
            </w:pPr>
            <w:r>
              <w:rPr>
                <w:rFonts w:cs="Arial"/>
                <w:sz w:val="20"/>
                <w:szCs w:val="20"/>
              </w:rPr>
              <w:tab/>
            </w:r>
            <w:r w:rsidR="00333915">
              <w:rPr>
                <w:rFonts w:cs="Arial"/>
                <w:sz w:val="20"/>
                <w:szCs w:val="20"/>
              </w:rPr>
              <w:t>(</w:t>
            </w:r>
            <w:r w:rsidR="00333915" w:rsidRPr="00333915">
              <w:rPr>
                <w:rFonts w:cs="Arial"/>
                <w:sz w:val="20"/>
                <w:szCs w:val="20"/>
              </w:rPr>
              <w:t>κατά την κρίση της οργανωτικής οντότητας και με βάση το διαθέσιμο προϋπολογισμό</w:t>
            </w:r>
            <w:r w:rsidR="00333915">
              <w:rPr>
                <w:rFonts w:cs="Arial"/>
                <w:sz w:val="20"/>
                <w:szCs w:val="20"/>
              </w:rPr>
              <w:t>)</w:t>
            </w:r>
            <w:r w:rsidR="00333915" w:rsidRPr="00333915">
              <w:rPr>
                <w:rFonts w:cs="Arial"/>
                <w:sz w:val="20"/>
                <w:szCs w:val="20"/>
              </w:rPr>
              <w:t xml:space="preserve">. </w:t>
            </w:r>
          </w:p>
          <w:p w14:paraId="3F4B6E19" w14:textId="3B71F5D2" w:rsidR="00333915" w:rsidRPr="00903F89" w:rsidRDefault="00333915" w:rsidP="00C459AD">
            <w:pPr>
              <w:ind w:left="605" w:hanging="605"/>
              <w:jc w:val="both"/>
              <w:rPr>
                <w:rFonts w:cs="Arial"/>
                <w:sz w:val="20"/>
                <w:szCs w:val="20"/>
              </w:rPr>
            </w:pPr>
          </w:p>
        </w:tc>
      </w:tr>
      <w:tr w:rsidR="007422AB" w:rsidRPr="00903F89" w14:paraId="2E0807CD" w14:textId="77777777" w:rsidTr="007422AB">
        <w:tc>
          <w:tcPr>
            <w:tcW w:w="10773" w:type="dxa"/>
            <w:gridSpan w:val="15"/>
            <w:shd w:val="clear" w:color="auto" w:fill="auto"/>
          </w:tcPr>
          <w:p w14:paraId="1CE23B42" w14:textId="77777777" w:rsidR="008E7B65" w:rsidRPr="00903F89" w:rsidRDefault="008E7B65" w:rsidP="00C459AD">
            <w:pPr>
              <w:ind w:left="605" w:hanging="605"/>
              <w:jc w:val="both"/>
              <w:rPr>
                <w:rFonts w:cs="Arial"/>
                <w:sz w:val="20"/>
                <w:szCs w:val="20"/>
              </w:rPr>
            </w:pPr>
          </w:p>
        </w:tc>
      </w:tr>
      <w:tr w:rsidR="007422AB" w:rsidRPr="00903F89" w14:paraId="5BE8F015" w14:textId="77777777" w:rsidTr="007422AB">
        <w:tc>
          <w:tcPr>
            <w:tcW w:w="10773" w:type="dxa"/>
            <w:gridSpan w:val="15"/>
            <w:shd w:val="clear" w:color="auto" w:fill="auto"/>
          </w:tcPr>
          <w:p w14:paraId="1DE4616F" w14:textId="3A0BF8F7" w:rsidR="001F58E4" w:rsidRDefault="00C459AD" w:rsidP="00C459AD">
            <w:pPr>
              <w:ind w:left="605" w:hanging="605"/>
              <w:jc w:val="both"/>
              <w:rPr>
                <w:rFonts w:cs="Arial"/>
                <w:sz w:val="20"/>
                <w:szCs w:val="20"/>
              </w:rPr>
            </w:pPr>
            <w:r>
              <w:rPr>
                <w:rFonts w:cs="Arial"/>
                <w:sz w:val="20"/>
                <w:szCs w:val="20"/>
              </w:rPr>
              <w:t>(γ)</w:t>
            </w:r>
            <w:r>
              <w:rPr>
                <w:rFonts w:cs="Arial"/>
                <w:sz w:val="20"/>
                <w:szCs w:val="20"/>
              </w:rPr>
              <w:tab/>
            </w:r>
            <w:r w:rsidRPr="00C459AD">
              <w:rPr>
                <w:rFonts w:cs="Arial"/>
                <w:sz w:val="20"/>
                <w:szCs w:val="20"/>
              </w:rPr>
              <w:t>Ειδικοί Επιστήμονες που κατέχουν αντίστοιχα προσόντα της βαθμίδας του Επίκουρου Καθηγητή και είναι ενεργά μέλη σε άλλο Πανεπιστήμιο  ή έχουν αφυπηρετήσει πρόσφατα από άλλο Πανεπιστήμιο και δεν λαμβάνουν σύνταξη από την Κυπριακή Δημοκρατία, θα αμείβονται μέχρι €137 ανά ώρα.</w:t>
            </w:r>
            <w:r w:rsidRPr="00903F89">
              <w:rPr>
                <w:rFonts w:cs="Arial"/>
                <w:sz w:val="20"/>
                <w:szCs w:val="20"/>
              </w:rPr>
              <w:t xml:space="preserve"> </w:t>
            </w:r>
          </w:p>
          <w:p w14:paraId="785AFE09" w14:textId="77777777" w:rsidR="00C459AD" w:rsidRPr="00903F89" w:rsidRDefault="00C459AD" w:rsidP="00C459AD">
            <w:pPr>
              <w:ind w:left="605" w:hanging="605"/>
              <w:jc w:val="both"/>
              <w:rPr>
                <w:rFonts w:cs="Arial"/>
                <w:sz w:val="20"/>
                <w:szCs w:val="20"/>
              </w:rPr>
            </w:pPr>
          </w:p>
          <w:p w14:paraId="22CE358C" w14:textId="218658DE" w:rsidR="00B63C97" w:rsidRPr="00903F89" w:rsidRDefault="00C459AD" w:rsidP="00C459AD">
            <w:pPr>
              <w:ind w:left="605" w:hanging="605"/>
              <w:jc w:val="both"/>
              <w:rPr>
                <w:rFonts w:eastAsia="Arial" w:cs="Arial"/>
                <w:sz w:val="20"/>
                <w:szCs w:val="20"/>
              </w:rPr>
            </w:pPr>
            <w:r>
              <w:rPr>
                <w:rFonts w:cs="Arial"/>
                <w:sz w:val="20"/>
                <w:szCs w:val="20"/>
              </w:rPr>
              <w:t>(δ)</w:t>
            </w:r>
            <w:r>
              <w:rPr>
                <w:rFonts w:cs="Arial"/>
                <w:sz w:val="20"/>
                <w:szCs w:val="20"/>
              </w:rPr>
              <w:tab/>
            </w:r>
            <w:r w:rsidR="001F58E4" w:rsidRPr="00903F89">
              <w:rPr>
                <w:rFonts w:cs="Arial"/>
                <w:sz w:val="20"/>
                <w:szCs w:val="20"/>
              </w:rPr>
              <w:t>Οι Οργανωτικές Οντότητες έχουν τη διακριτική ευχέρεια, (i) αν το επιθυμούν και (</w:t>
            </w:r>
            <w:proofErr w:type="spellStart"/>
            <w:r w:rsidR="001F58E4" w:rsidRPr="00903F89">
              <w:rPr>
                <w:rFonts w:cs="Arial"/>
                <w:sz w:val="20"/>
                <w:szCs w:val="20"/>
              </w:rPr>
              <w:t>ii</w:t>
            </w:r>
            <w:proofErr w:type="spellEnd"/>
            <w:r w:rsidR="001F58E4" w:rsidRPr="00903F89">
              <w:rPr>
                <w:rFonts w:cs="Arial"/>
                <w:sz w:val="20"/>
                <w:szCs w:val="20"/>
              </w:rPr>
              <w:t>) αναλόγως των διαθέσιμων οικονομικών τους πόρων για την κάλυψη των διδακτικών τους αναγκών, να προκηρύσσουν θέσεις Ειδικού Επιστήμονα και να συνάπτουν συμβόλαια με χαμηλότερη αντιμισθία.</w:t>
            </w:r>
          </w:p>
        </w:tc>
      </w:tr>
      <w:tr w:rsidR="007422AB" w:rsidRPr="00903F89" w14:paraId="0DCD6DF8" w14:textId="77777777" w:rsidTr="007422AB">
        <w:tc>
          <w:tcPr>
            <w:tcW w:w="10773" w:type="dxa"/>
            <w:gridSpan w:val="15"/>
            <w:shd w:val="clear" w:color="auto" w:fill="auto"/>
          </w:tcPr>
          <w:p w14:paraId="2618504D" w14:textId="77777777" w:rsidR="00B63C97" w:rsidRPr="00903F89" w:rsidRDefault="00B63C97" w:rsidP="00903F89">
            <w:pPr>
              <w:jc w:val="both"/>
              <w:rPr>
                <w:rFonts w:cs="Arial"/>
                <w:sz w:val="20"/>
                <w:szCs w:val="20"/>
              </w:rPr>
            </w:pPr>
          </w:p>
        </w:tc>
      </w:tr>
      <w:tr w:rsidR="007422AB" w:rsidRPr="00903F89" w14:paraId="4A5BC628" w14:textId="77777777" w:rsidTr="007422AB">
        <w:tc>
          <w:tcPr>
            <w:tcW w:w="10773" w:type="dxa"/>
            <w:gridSpan w:val="15"/>
            <w:shd w:val="clear" w:color="auto" w:fill="auto"/>
          </w:tcPr>
          <w:p w14:paraId="4C49E826" w14:textId="7F00966C" w:rsidR="00B63C97" w:rsidRPr="00903F89" w:rsidRDefault="001F58E4" w:rsidP="00903F89">
            <w:pPr>
              <w:jc w:val="both"/>
              <w:rPr>
                <w:rFonts w:cs="Arial"/>
                <w:sz w:val="20"/>
                <w:szCs w:val="20"/>
              </w:rPr>
            </w:pPr>
            <w:r w:rsidRPr="00903F89">
              <w:rPr>
                <w:rFonts w:cs="Arial"/>
                <w:sz w:val="20"/>
                <w:szCs w:val="20"/>
              </w:rPr>
              <w:t>Οι πιο πάνω απολαβές δύνανται να τροποποιούνται, αναλόγως του Προϋπολογισμού του Πανεπιστημίου Κύπρου, ύστερα από εισήγηση της Επιτροπής Οικονομικών και Προσωπικού (Θέματα Προσωπικού), και έγκριση της Συγκλήτου και του Συμβουλίου του Πανεπιστημίου Κύπρου ή εξουσιοδοτημένης Επιτροπής του.</w:t>
            </w:r>
          </w:p>
        </w:tc>
      </w:tr>
      <w:tr w:rsidR="007422AB" w:rsidRPr="00903F89" w14:paraId="25841AB2" w14:textId="77777777" w:rsidTr="007422AB">
        <w:tc>
          <w:tcPr>
            <w:tcW w:w="3097" w:type="dxa"/>
            <w:gridSpan w:val="6"/>
            <w:shd w:val="clear" w:color="auto" w:fill="auto"/>
          </w:tcPr>
          <w:p w14:paraId="49D3B799" w14:textId="77777777" w:rsidR="00B63C97" w:rsidRPr="00903F89" w:rsidRDefault="00B63C97" w:rsidP="00903F89">
            <w:pPr>
              <w:jc w:val="both"/>
              <w:rPr>
                <w:rFonts w:cs="Arial"/>
                <w:b/>
                <w:sz w:val="20"/>
                <w:szCs w:val="20"/>
                <w:u w:val="single"/>
              </w:rPr>
            </w:pPr>
          </w:p>
        </w:tc>
        <w:tc>
          <w:tcPr>
            <w:tcW w:w="6195" w:type="dxa"/>
            <w:gridSpan w:val="7"/>
            <w:shd w:val="clear" w:color="auto" w:fill="auto"/>
          </w:tcPr>
          <w:p w14:paraId="5A374CAF" w14:textId="77777777" w:rsidR="00B63C97" w:rsidRPr="00903F89" w:rsidRDefault="00B63C97" w:rsidP="00903F89">
            <w:pPr>
              <w:jc w:val="both"/>
              <w:rPr>
                <w:rFonts w:cs="Arial"/>
                <w:sz w:val="20"/>
                <w:szCs w:val="20"/>
              </w:rPr>
            </w:pPr>
          </w:p>
        </w:tc>
        <w:tc>
          <w:tcPr>
            <w:tcW w:w="1481" w:type="dxa"/>
            <w:gridSpan w:val="2"/>
            <w:shd w:val="clear" w:color="auto" w:fill="auto"/>
          </w:tcPr>
          <w:p w14:paraId="1685C931" w14:textId="77777777" w:rsidR="00B63C97" w:rsidRPr="00903F89" w:rsidRDefault="00B63C97" w:rsidP="00903F89">
            <w:pPr>
              <w:jc w:val="both"/>
              <w:rPr>
                <w:rFonts w:cs="Arial"/>
                <w:b/>
                <w:sz w:val="20"/>
                <w:szCs w:val="20"/>
                <w:u w:val="single"/>
              </w:rPr>
            </w:pPr>
          </w:p>
        </w:tc>
      </w:tr>
      <w:tr w:rsidR="007422AB" w:rsidRPr="00903F89" w14:paraId="72CE508A" w14:textId="77777777" w:rsidTr="007422AB">
        <w:tc>
          <w:tcPr>
            <w:tcW w:w="10773" w:type="dxa"/>
            <w:gridSpan w:val="15"/>
            <w:shd w:val="clear" w:color="auto" w:fill="auto"/>
          </w:tcPr>
          <w:p w14:paraId="0019A4A7" w14:textId="59D698D8" w:rsidR="00B63C97" w:rsidRPr="00C459AD" w:rsidRDefault="00B63C97" w:rsidP="00903F89">
            <w:pPr>
              <w:jc w:val="both"/>
              <w:rPr>
                <w:rFonts w:eastAsia="Arial" w:cs="Arial"/>
                <w:b/>
                <w:bCs/>
                <w:strike/>
                <w:sz w:val="20"/>
                <w:szCs w:val="20"/>
                <w:u w:val="single"/>
              </w:rPr>
            </w:pPr>
            <w:r w:rsidRPr="00C459AD">
              <w:rPr>
                <w:rFonts w:cs="Arial"/>
                <w:sz w:val="20"/>
                <w:szCs w:val="20"/>
                <w:u w:val="single"/>
              </w:rPr>
              <w:t>Οι ωριαίες αποζημιώσεις των Ειδικών Επιστημόνων Έρευνας καθορίζονται ως εξής:</w:t>
            </w:r>
          </w:p>
        </w:tc>
      </w:tr>
      <w:tr w:rsidR="007422AB" w:rsidRPr="00903F89" w14:paraId="60908D22" w14:textId="77777777" w:rsidTr="007422AB">
        <w:tc>
          <w:tcPr>
            <w:tcW w:w="3097" w:type="dxa"/>
            <w:gridSpan w:val="6"/>
            <w:shd w:val="clear" w:color="auto" w:fill="auto"/>
          </w:tcPr>
          <w:p w14:paraId="420CE577" w14:textId="77777777" w:rsidR="00B63C97" w:rsidRPr="00903F89" w:rsidRDefault="00B63C97" w:rsidP="00903F89">
            <w:pPr>
              <w:jc w:val="both"/>
              <w:rPr>
                <w:rFonts w:cs="Arial"/>
                <w:b/>
                <w:sz w:val="20"/>
                <w:szCs w:val="20"/>
                <w:u w:val="single"/>
              </w:rPr>
            </w:pPr>
          </w:p>
        </w:tc>
        <w:tc>
          <w:tcPr>
            <w:tcW w:w="6195" w:type="dxa"/>
            <w:gridSpan w:val="7"/>
            <w:shd w:val="clear" w:color="auto" w:fill="auto"/>
          </w:tcPr>
          <w:p w14:paraId="03CBE578" w14:textId="77777777" w:rsidR="00B63C97" w:rsidRPr="00903F89" w:rsidRDefault="00B63C97" w:rsidP="00903F89">
            <w:pPr>
              <w:jc w:val="both"/>
              <w:rPr>
                <w:rFonts w:cs="Arial"/>
                <w:sz w:val="20"/>
                <w:szCs w:val="20"/>
              </w:rPr>
            </w:pPr>
          </w:p>
        </w:tc>
        <w:tc>
          <w:tcPr>
            <w:tcW w:w="1481" w:type="dxa"/>
            <w:gridSpan w:val="2"/>
            <w:shd w:val="clear" w:color="auto" w:fill="auto"/>
          </w:tcPr>
          <w:p w14:paraId="402EDAE6" w14:textId="77777777" w:rsidR="00B63C97" w:rsidRPr="00903F89" w:rsidRDefault="00B63C97" w:rsidP="00903F89">
            <w:pPr>
              <w:jc w:val="both"/>
              <w:rPr>
                <w:rFonts w:cs="Arial"/>
                <w:b/>
                <w:sz w:val="20"/>
                <w:szCs w:val="20"/>
                <w:u w:val="single"/>
              </w:rPr>
            </w:pPr>
          </w:p>
        </w:tc>
      </w:tr>
      <w:tr w:rsidR="007422AB" w:rsidRPr="00903F89" w14:paraId="5BCCEFB1" w14:textId="77777777" w:rsidTr="007422AB">
        <w:tc>
          <w:tcPr>
            <w:tcW w:w="10773" w:type="dxa"/>
            <w:gridSpan w:val="15"/>
            <w:shd w:val="clear" w:color="auto" w:fill="auto"/>
          </w:tcPr>
          <w:p w14:paraId="00A951EB" w14:textId="4360BA3E" w:rsidR="001F58E4" w:rsidRPr="00903F89" w:rsidRDefault="00C459AD" w:rsidP="00C459AD">
            <w:pPr>
              <w:ind w:left="605" w:hanging="605"/>
              <w:jc w:val="both"/>
              <w:rPr>
                <w:rFonts w:cs="Arial"/>
                <w:sz w:val="20"/>
                <w:szCs w:val="20"/>
              </w:rPr>
            </w:pPr>
            <w:r>
              <w:rPr>
                <w:rFonts w:cs="Arial"/>
                <w:sz w:val="20"/>
                <w:szCs w:val="20"/>
              </w:rPr>
              <w:t>(α)</w:t>
            </w:r>
            <w:r>
              <w:rPr>
                <w:rFonts w:cs="Arial"/>
                <w:sz w:val="20"/>
                <w:szCs w:val="20"/>
              </w:rPr>
              <w:tab/>
            </w:r>
            <w:r w:rsidR="001F58E4" w:rsidRPr="00903F89">
              <w:rPr>
                <w:rFonts w:cs="Arial"/>
                <w:sz w:val="20"/>
                <w:szCs w:val="20"/>
              </w:rPr>
              <w:t>Ειδικός Επιστήμονας που κατέχει τουλάχιστο πρώτο πανεπιστημιακό τίτλο (</w:t>
            </w:r>
            <w:proofErr w:type="spellStart"/>
            <w:r w:rsidR="001F58E4" w:rsidRPr="00903F89">
              <w:rPr>
                <w:rFonts w:cs="Arial"/>
                <w:sz w:val="20"/>
                <w:szCs w:val="20"/>
              </w:rPr>
              <w:t>Assistant</w:t>
            </w:r>
            <w:proofErr w:type="spellEnd"/>
            <w:r w:rsidR="001F58E4" w:rsidRPr="00903F89">
              <w:rPr>
                <w:rFonts w:cs="Arial"/>
                <w:sz w:val="20"/>
                <w:szCs w:val="20"/>
              </w:rPr>
              <w:t xml:space="preserve"> </w:t>
            </w:r>
            <w:proofErr w:type="spellStart"/>
            <w:r w:rsidR="001F58E4" w:rsidRPr="00903F89">
              <w:rPr>
                <w:rFonts w:cs="Arial"/>
                <w:sz w:val="20"/>
                <w:szCs w:val="20"/>
              </w:rPr>
              <w:t>Researcher</w:t>
            </w:r>
            <w:proofErr w:type="spellEnd"/>
            <w:r w:rsidR="001F58E4" w:rsidRPr="00903F89">
              <w:rPr>
                <w:rFonts w:cs="Arial"/>
                <w:sz w:val="20"/>
                <w:szCs w:val="20"/>
              </w:rPr>
              <w:t>) αμείβεται μέχρι €15 ανά ώρα (χρέωση στο έργο). Νοείται ότι ο μηνιαίος μισθός δεν μπορεί να υπερβαίνει τις μηνιαίες ακαθάριστες απολαβές της Κλίμακας Α8/1η βαθμίδα.</w:t>
            </w:r>
          </w:p>
          <w:p w14:paraId="6908FC33" w14:textId="77777777" w:rsidR="00E41495" w:rsidRPr="00903F89" w:rsidRDefault="00E41495" w:rsidP="00C459AD">
            <w:pPr>
              <w:ind w:left="605" w:hanging="605"/>
              <w:jc w:val="both"/>
              <w:rPr>
                <w:rFonts w:cs="Arial"/>
                <w:sz w:val="20"/>
                <w:szCs w:val="20"/>
              </w:rPr>
            </w:pPr>
          </w:p>
          <w:p w14:paraId="7AB85239" w14:textId="321213D3" w:rsidR="001F58E4" w:rsidRPr="00903F89" w:rsidRDefault="00C459AD" w:rsidP="00C459AD">
            <w:pPr>
              <w:ind w:left="605" w:hanging="605"/>
              <w:jc w:val="both"/>
              <w:rPr>
                <w:rFonts w:cs="Arial"/>
                <w:sz w:val="20"/>
                <w:szCs w:val="20"/>
              </w:rPr>
            </w:pPr>
            <w:r>
              <w:rPr>
                <w:rFonts w:cs="Arial"/>
                <w:sz w:val="20"/>
                <w:szCs w:val="20"/>
              </w:rPr>
              <w:t>(β)</w:t>
            </w:r>
            <w:r>
              <w:rPr>
                <w:rFonts w:cs="Arial"/>
                <w:sz w:val="20"/>
                <w:szCs w:val="20"/>
              </w:rPr>
              <w:tab/>
            </w:r>
            <w:r w:rsidR="001F58E4" w:rsidRPr="00903F89">
              <w:rPr>
                <w:rFonts w:cs="Arial"/>
                <w:sz w:val="20"/>
                <w:szCs w:val="20"/>
              </w:rPr>
              <w:t xml:space="preserve">Ειδικός Επιστήμονας που κατέχει μεταπτυχιακό τίτλο (Research </w:t>
            </w:r>
            <w:proofErr w:type="spellStart"/>
            <w:r w:rsidR="001F58E4" w:rsidRPr="00903F89">
              <w:rPr>
                <w:rFonts w:cs="Arial"/>
                <w:sz w:val="20"/>
                <w:szCs w:val="20"/>
              </w:rPr>
              <w:t>Associate</w:t>
            </w:r>
            <w:proofErr w:type="spellEnd"/>
            <w:r w:rsidR="001F58E4" w:rsidRPr="00903F89">
              <w:rPr>
                <w:rFonts w:cs="Arial"/>
                <w:sz w:val="20"/>
                <w:szCs w:val="20"/>
              </w:rPr>
              <w:t>) αμείβεται μέχρι €20 ανά ώρα (χρέωση στο έργο). Νοείται ότι ο μηνιαίος μισθός δεν μπορεί να υπερβαίνει τις μηνιαίες ακαθάριστες απολαβές της Κλίμακας Α8/1η βαθμίδα.</w:t>
            </w:r>
          </w:p>
          <w:p w14:paraId="5DC85CAC" w14:textId="77777777" w:rsidR="00E41495" w:rsidRPr="00903F89" w:rsidRDefault="00E41495" w:rsidP="00C459AD">
            <w:pPr>
              <w:ind w:left="605" w:hanging="605"/>
              <w:jc w:val="both"/>
              <w:rPr>
                <w:rFonts w:cs="Arial"/>
                <w:sz w:val="20"/>
                <w:szCs w:val="20"/>
              </w:rPr>
            </w:pPr>
          </w:p>
          <w:p w14:paraId="44B48130" w14:textId="09E52E55" w:rsidR="00B63C97" w:rsidRPr="00903F89" w:rsidRDefault="00C459AD" w:rsidP="00C459AD">
            <w:pPr>
              <w:ind w:left="605" w:hanging="605"/>
              <w:jc w:val="both"/>
              <w:rPr>
                <w:rFonts w:eastAsia="Arial,Calibri" w:cs="Arial"/>
                <w:sz w:val="20"/>
                <w:szCs w:val="20"/>
              </w:rPr>
            </w:pPr>
            <w:r>
              <w:rPr>
                <w:rFonts w:cs="Arial"/>
                <w:sz w:val="20"/>
                <w:szCs w:val="20"/>
              </w:rPr>
              <w:t>(γ)</w:t>
            </w:r>
            <w:r>
              <w:rPr>
                <w:rFonts w:cs="Arial"/>
                <w:sz w:val="20"/>
                <w:szCs w:val="20"/>
              </w:rPr>
              <w:tab/>
            </w:r>
            <w:r w:rsidR="001F58E4" w:rsidRPr="00903F89">
              <w:rPr>
                <w:rFonts w:cs="Arial"/>
                <w:sz w:val="20"/>
                <w:szCs w:val="20"/>
              </w:rPr>
              <w:t xml:space="preserve">Ειδικός Επιστήμονας που κατέχει διδακτορικό τίτλο (Research </w:t>
            </w:r>
            <w:proofErr w:type="spellStart"/>
            <w:r w:rsidR="001F58E4" w:rsidRPr="00903F89">
              <w:rPr>
                <w:rFonts w:cs="Arial"/>
                <w:sz w:val="20"/>
                <w:szCs w:val="20"/>
              </w:rPr>
              <w:t>Fellow</w:t>
            </w:r>
            <w:proofErr w:type="spellEnd"/>
            <w:r w:rsidR="001F58E4" w:rsidRPr="00903F89">
              <w:rPr>
                <w:rFonts w:cs="Arial"/>
                <w:sz w:val="20"/>
                <w:szCs w:val="20"/>
              </w:rPr>
              <w:t>) αμείβεται μέχρι €25 ανά ώρα (χρέωση στο έργο). Νοείται ότι ο μηνιαίος μισθός δεν μπορεί να υπερβαίνει τις μηνιαίες ακαθάριστες απολαβές των Μεταδιδακτορικών Ερευνητών (Α10/1</w:t>
            </w:r>
            <w:r w:rsidR="001F58E4" w:rsidRPr="005216AB">
              <w:rPr>
                <w:rFonts w:cs="Arial"/>
                <w:sz w:val="20"/>
                <w:szCs w:val="20"/>
                <w:vertAlign w:val="superscript"/>
              </w:rPr>
              <w:t>η</w:t>
            </w:r>
            <w:r w:rsidR="005216AB">
              <w:rPr>
                <w:rFonts w:cs="Arial"/>
                <w:sz w:val="20"/>
                <w:szCs w:val="20"/>
              </w:rPr>
              <w:t xml:space="preserve"> </w:t>
            </w:r>
            <w:r w:rsidR="001F58E4" w:rsidRPr="00903F89">
              <w:rPr>
                <w:rFonts w:cs="Arial"/>
                <w:sz w:val="20"/>
                <w:szCs w:val="20"/>
              </w:rPr>
              <w:t>βαθμίδα).</w:t>
            </w:r>
          </w:p>
        </w:tc>
      </w:tr>
      <w:tr w:rsidR="007422AB" w:rsidRPr="00903F89" w14:paraId="62A1C557" w14:textId="77777777" w:rsidTr="007422AB">
        <w:tc>
          <w:tcPr>
            <w:tcW w:w="10773" w:type="dxa"/>
            <w:gridSpan w:val="15"/>
            <w:shd w:val="clear" w:color="auto" w:fill="auto"/>
          </w:tcPr>
          <w:p w14:paraId="6034BF75" w14:textId="77777777" w:rsidR="00B63C97" w:rsidRPr="00903F89" w:rsidRDefault="00B63C97" w:rsidP="00903F89">
            <w:pPr>
              <w:jc w:val="both"/>
              <w:rPr>
                <w:rFonts w:cs="Arial"/>
                <w:strike/>
                <w:sz w:val="20"/>
                <w:szCs w:val="20"/>
              </w:rPr>
            </w:pPr>
          </w:p>
        </w:tc>
      </w:tr>
      <w:tr w:rsidR="007422AB" w:rsidRPr="00903F89" w14:paraId="7B5400D1" w14:textId="77777777" w:rsidTr="007422AB">
        <w:tc>
          <w:tcPr>
            <w:tcW w:w="10773" w:type="dxa"/>
            <w:gridSpan w:val="15"/>
            <w:shd w:val="clear" w:color="auto" w:fill="auto"/>
          </w:tcPr>
          <w:p w14:paraId="6146FC90" w14:textId="06835E23" w:rsidR="00B63C97" w:rsidRPr="00903F89" w:rsidRDefault="001F58E4" w:rsidP="00903F89">
            <w:pPr>
              <w:jc w:val="both"/>
              <w:rPr>
                <w:rFonts w:cs="Arial"/>
                <w:sz w:val="20"/>
                <w:szCs w:val="20"/>
              </w:rPr>
            </w:pPr>
            <w:r w:rsidRPr="00903F89">
              <w:rPr>
                <w:rFonts w:cs="Arial"/>
                <w:sz w:val="20"/>
                <w:szCs w:val="20"/>
              </w:rPr>
              <w:t xml:space="preserve">Οι Ειδικοί Επιστήμονες </w:t>
            </w:r>
            <w:r w:rsidR="00C459AD">
              <w:rPr>
                <w:rFonts w:cs="Arial"/>
                <w:sz w:val="20"/>
                <w:szCs w:val="20"/>
              </w:rPr>
              <w:t xml:space="preserve">Έρευνας </w:t>
            </w:r>
            <w:r w:rsidRPr="00903F89">
              <w:rPr>
                <w:rFonts w:cs="Arial"/>
                <w:sz w:val="20"/>
                <w:szCs w:val="20"/>
              </w:rPr>
              <w:t>δύνανται να προσλαμβάνονται με οικονομική υποστήριξη από εξωτερική χορηγία.  Στις περιπτώσεις αυτές θα ισχύουν για την αμοιβή τους οι πρόνοιες που περιλαμβάνονται στο εγκεκριμένο εξωτερικό Ερευνητικό Πρόγραμμα.</w:t>
            </w:r>
          </w:p>
        </w:tc>
      </w:tr>
      <w:tr w:rsidR="007422AB" w:rsidRPr="00903F89" w14:paraId="26FD039F" w14:textId="77777777" w:rsidTr="007422AB">
        <w:tc>
          <w:tcPr>
            <w:tcW w:w="3097" w:type="dxa"/>
            <w:gridSpan w:val="6"/>
            <w:shd w:val="clear" w:color="auto" w:fill="auto"/>
          </w:tcPr>
          <w:p w14:paraId="68A5CB31" w14:textId="77777777" w:rsidR="00B63C97" w:rsidRPr="00903F89" w:rsidRDefault="00B63C97" w:rsidP="00903F89">
            <w:pPr>
              <w:jc w:val="both"/>
              <w:rPr>
                <w:rFonts w:cs="Arial"/>
                <w:b/>
                <w:sz w:val="20"/>
                <w:szCs w:val="20"/>
                <w:u w:val="single"/>
              </w:rPr>
            </w:pPr>
          </w:p>
        </w:tc>
        <w:tc>
          <w:tcPr>
            <w:tcW w:w="6195" w:type="dxa"/>
            <w:gridSpan w:val="7"/>
            <w:shd w:val="clear" w:color="auto" w:fill="auto"/>
          </w:tcPr>
          <w:p w14:paraId="3B710279" w14:textId="77777777" w:rsidR="00B63C97" w:rsidRPr="00903F89" w:rsidRDefault="00B63C97" w:rsidP="00903F89">
            <w:pPr>
              <w:jc w:val="both"/>
              <w:rPr>
                <w:rFonts w:cs="Arial"/>
                <w:sz w:val="20"/>
                <w:szCs w:val="20"/>
              </w:rPr>
            </w:pPr>
          </w:p>
        </w:tc>
        <w:tc>
          <w:tcPr>
            <w:tcW w:w="1481" w:type="dxa"/>
            <w:gridSpan w:val="2"/>
            <w:shd w:val="clear" w:color="auto" w:fill="auto"/>
          </w:tcPr>
          <w:p w14:paraId="7978B678" w14:textId="77777777" w:rsidR="00B63C97" w:rsidRPr="00903F89" w:rsidRDefault="00B63C97" w:rsidP="00903F89">
            <w:pPr>
              <w:jc w:val="both"/>
              <w:rPr>
                <w:rFonts w:cs="Arial"/>
                <w:b/>
                <w:sz w:val="20"/>
                <w:szCs w:val="20"/>
                <w:u w:val="single"/>
              </w:rPr>
            </w:pPr>
          </w:p>
        </w:tc>
      </w:tr>
      <w:tr w:rsidR="007422AB" w:rsidRPr="00903F89" w14:paraId="6A9E0E34" w14:textId="77777777" w:rsidTr="007422AB">
        <w:tc>
          <w:tcPr>
            <w:tcW w:w="10773" w:type="dxa"/>
            <w:gridSpan w:val="15"/>
            <w:shd w:val="clear" w:color="auto" w:fill="auto"/>
          </w:tcPr>
          <w:p w14:paraId="0EE4625C" w14:textId="225F9D08" w:rsidR="00B63C97" w:rsidRPr="00903F89" w:rsidRDefault="001F58E4" w:rsidP="00903F89">
            <w:pPr>
              <w:jc w:val="both"/>
              <w:rPr>
                <w:rFonts w:eastAsia="Arial" w:cs="Arial"/>
                <w:b/>
                <w:bCs/>
                <w:sz w:val="20"/>
                <w:szCs w:val="20"/>
                <w:u w:val="single"/>
              </w:rPr>
            </w:pPr>
            <w:r w:rsidRPr="00903F89">
              <w:rPr>
                <w:rFonts w:cs="Arial"/>
                <w:sz w:val="20"/>
                <w:szCs w:val="20"/>
              </w:rPr>
              <w:t>Σημειώνεται επίσης ότι η Σύγκλητος ενέκρινε τη δημιουργία του θεσμού του Άμισθου Επισκέπτη Ερευνητή σε επίπεδο Ειδικού Επιστήμονα</w:t>
            </w:r>
            <w:r w:rsidR="00C459AD">
              <w:rPr>
                <w:rFonts w:cs="Arial"/>
                <w:sz w:val="20"/>
                <w:szCs w:val="20"/>
              </w:rPr>
              <w:t xml:space="preserve"> Έρευνας</w:t>
            </w:r>
            <w:r w:rsidRPr="00903F89">
              <w:rPr>
                <w:rFonts w:cs="Arial"/>
                <w:sz w:val="20"/>
                <w:szCs w:val="20"/>
              </w:rPr>
              <w:t>, για περίοδο δύο χρόνων με δυνατότητα ανανέωσης.</w:t>
            </w:r>
          </w:p>
        </w:tc>
      </w:tr>
      <w:tr w:rsidR="007422AB" w:rsidRPr="00903F89" w14:paraId="6BA7A0B9" w14:textId="77777777" w:rsidTr="007422AB">
        <w:tc>
          <w:tcPr>
            <w:tcW w:w="3097" w:type="dxa"/>
            <w:gridSpan w:val="6"/>
            <w:shd w:val="clear" w:color="auto" w:fill="auto"/>
          </w:tcPr>
          <w:p w14:paraId="64369904" w14:textId="77777777" w:rsidR="00B63C97" w:rsidRPr="00903F89" w:rsidRDefault="00B63C97" w:rsidP="00903F89">
            <w:pPr>
              <w:jc w:val="both"/>
              <w:rPr>
                <w:rFonts w:cs="Arial"/>
                <w:b/>
                <w:sz w:val="20"/>
                <w:szCs w:val="20"/>
                <w:u w:val="single"/>
              </w:rPr>
            </w:pPr>
          </w:p>
        </w:tc>
        <w:tc>
          <w:tcPr>
            <w:tcW w:w="6195" w:type="dxa"/>
            <w:gridSpan w:val="7"/>
            <w:shd w:val="clear" w:color="auto" w:fill="auto"/>
          </w:tcPr>
          <w:p w14:paraId="1D991E40" w14:textId="77777777" w:rsidR="00B63C97" w:rsidRPr="00903F89" w:rsidRDefault="00B63C97" w:rsidP="00903F89">
            <w:pPr>
              <w:jc w:val="both"/>
              <w:rPr>
                <w:rFonts w:cs="Arial"/>
                <w:sz w:val="20"/>
                <w:szCs w:val="20"/>
              </w:rPr>
            </w:pPr>
          </w:p>
        </w:tc>
        <w:tc>
          <w:tcPr>
            <w:tcW w:w="1481" w:type="dxa"/>
            <w:gridSpan w:val="2"/>
            <w:shd w:val="clear" w:color="auto" w:fill="auto"/>
          </w:tcPr>
          <w:p w14:paraId="162A3107" w14:textId="77777777" w:rsidR="00B63C97" w:rsidRPr="00903F89" w:rsidRDefault="00B63C97" w:rsidP="00903F89">
            <w:pPr>
              <w:jc w:val="both"/>
              <w:rPr>
                <w:rFonts w:cs="Arial"/>
                <w:b/>
                <w:sz w:val="20"/>
                <w:szCs w:val="20"/>
                <w:u w:val="single"/>
              </w:rPr>
            </w:pPr>
          </w:p>
        </w:tc>
      </w:tr>
      <w:tr w:rsidR="007422AB" w:rsidRPr="00903F89" w14:paraId="18343380" w14:textId="77777777" w:rsidTr="007422AB">
        <w:tc>
          <w:tcPr>
            <w:tcW w:w="10773" w:type="dxa"/>
            <w:gridSpan w:val="15"/>
            <w:shd w:val="clear" w:color="auto" w:fill="auto"/>
          </w:tcPr>
          <w:p w14:paraId="0A4F1DBB" w14:textId="27A74DDC" w:rsidR="00B63C97" w:rsidRPr="00903F89" w:rsidRDefault="001F58E4" w:rsidP="00903F89">
            <w:pPr>
              <w:jc w:val="both"/>
              <w:rPr>
                <w:rFonts w:eastAsia="Arial" w:cs="Arial"/>
                <w:b/>
                <w:bCs/>
                <w:sz w:val="20"/>
                <w:szCs w:val="20"/>
                <w:u w:val="single"/>
              </w:rPr>
            </w:pPr>
            <w:r w:rsidRPr="00903F89">
              <w:rPr>
                <w:rFonts w:cs="Arial"/>
                <w:sz w:val="20"/>
                <w:szCs w:val="20"/>
              </w:rPr>
              <w:t xml:space="preserve">Δαπάνες οργανωτικών μονάδων του Πανεπιστημίου Κύπρου που αφορούν στη μετάφραση εντύπων </w:t>
            </w:r>
            <w:r w:rsidR="00D55285" w:rsidRPr="00903F89">
              <w:rPr>
                <w:rFonts w:cs="Arial"/>
                <w:sz w:val="20"/>
                <w:szCs w:val="20"/>
              </w:rPr>
              <w:t>κ.λπ</w:t>
            </w:r>
            <w:r w:rsidRPr="00903F89">
              <w:rPr>
                <w:rFonts w:cs="Arial"/>
                <w:sz w:val="20"/>
                <w:szCs w:val="20"/>
              </w:rPr>
              <w:t>., από τους Ειδικούς Επιστήμονες, δύνα</w:t>
            </w:r>
            <w:r w:rsidR="00333915">
              <w:rPr>
                <w:rFonts w:cs="Arial"/>
                <w:sz w:val="20"/>
                <w:szCs w:val="20"/>
              </w:rPr>
              <w:t>ν</w:t>
            </w:r>
            <w:r w:rsidRPr="00903F89">
              <w:rPr>
                <w:rFonts w:cs="Arial"/>
                <w:sz w:val="20"/>
                <w:szCs w:val="20"/>
              </w:rPr>
              <w:t>ται να καλύπτονται από την πρόνοια του άρθρου, νοουμένου ότι η κάθε οργανωτική οντότητα έχει μεριμνήσει για την εξασφάλιση κονδυλίων που απαιτούνται για τις μεταφράσεις.</w:t>
            </w:r>
          </w:p>
        </w:tc>
      </w:tr>
      <w:tr w:rsidR="007422AB" w:rsidRPr="00903F89" w14:paraId="23089B53" w14:textId="77777777" w:rsidTr="007422AB">
        <w:tc>
          <w:tcPr>
            <w:tcW w:w="3097" w:type="dxa"/>
            <w:gridSpan w:val="6"/>
            <w:shd w:val="clear" w:color="auto" w:fill="auto"/>
          </w:tcPr>
          <w:p w14:paraId="1C4F5AFE" w14:textId="77777777" w:rsidR="00B63C97" w:rsidRPr="00903F89" w:rsidRDefault="00B63C97" w:rsidP="00903F89">
            <w:pPr>
              <w:jc w:val="both"/>
              <w:rPr>
                <w:rFonts w:cs="Arial"/>
                <w:b/>
                <w:sz w:val="20"/>
                <w:szCs w:val="20"/>
                <w:u w:val="single"/>
              </w:rPr>
            </w:pPr>
          </w:p>
        </w:tc>
        <w:tc>
          <w:tcPr>
            <w:tcW w:w="6195" w:type="dxa"/>
            <w:gridSpan w:val="7"/>
            <w:shd w:val="clear" w:color="auto" w:fill="auto"/>
          </w:tcPr>
          <w:p w14:paraId="2B6289D5" w14:textId="77777777" w:rsidR="00B63C97" w:rsidRPr="00903F89" w:rsidRDefault="00B63C97" w:rsidP="00903F89">
            <w:pPr>
              <w:jc w:val="both"/>
              <w:rPr>
                <w:rFonts w:cs="Arial"/>
                <w:sz w:val="20"/>
                <w:szCs w:val="20"/>
              </w:rPr>
            </w:pPr>
          </w:p>
        </w:tc>
        <w:tc>
          <w:tcPr>
            <w:tcW w:w="1481" w:type="dxa"/>
            <w:gridSpan w:val="2"/>
            <w:shd w:val="clear" w:color="auto" w:fill="auto"/>
          </w:tcPr>
          <w:p w14:paraId="7E4E75C2" w14:textId="77777777" w:rsidR="00B63C97" w:rsidRPr="00903F89" w:rsidRDefault="00B63C97" w:rsidP="00903F89">
            <w:pPr>
              <w:jc w:val="both"/>
              <w:rPr>
                <w:rFonts w:cs="Arial"/>
                <w:b/>
                <w:sz w:val="20"/>
                <w:szCs w:val="20"/>
                <w:u w:val="single"/>
              </w:rPr>
            </w:pPr>
          </w:p>
        </w:tc>
      </w:tr>
      <w:tr w:rsidR="007422AB" w:rsidRPr="00903F89" w14:paraId="243F49F7" w14:textId="77777777" w:rsidTr="007422AB">
        <w:tc>
          <w:tcPr>
            <w:tcW w:w="10773" w:type="dxa"/>
            <w:gridSpan w:val="15"/>
            <w:shd w:val="clear" w:color="auto" w:fill="auto"/>
          </w:tcPr>
          <w:p w14:paraId="02341CBE" w14:textId="5677D92F" w:rsidR="00B63C97" w:rsidRPr="00903F89" w:rsidRDefault="003C7292" w:rsidP="00903F89">
            <w:pPr>
              <w:jc w:val="both"/>
              <w:rPr>
                <w:rFonts w:eastAsia="Arial" w:cs="Arial"/>
                <w:sz w:val="20"/>
                <w:szCs w:val="20"/>
              </w:rPr>
            </w:pPr>
            <w:r w:rsidRPr="00903F89">
              <w:rPr>
                <w:rFonts w:cs="Arial"/>
                <w:sz w:val="20"/>
                <w:szCs w:val="20"/>
              </w:rPr>
              <w:t xml:space="preserve">Η πρόνοια ενδέχεται να καλύψει δαπάνες που σχετίζονται με την απονομή του βραβείου Ερευνητικής Αριστείας όπως αυτή έχει υιοθετηθεί με σχετική </w:t>
            </w:r>
            <w:r w:rsidR="00541234" w:rsidRPr="00903F89">
              <w:rPr>
                <w:rFonts w:cs="Arial"/>
                <w:sz w:val="20"/>
                <w:szCs w:val="20"/>
              </w:rPr>
              <w:t xml:space="preserve">εσωτερική </w:t>
            </w:r>
            <w:r w:rsidRPr="00903F89">
              <w:rPr>
                <w:rFonts w:cs="Arial"/>
                <w:sz w:val="20"/>
                <w:szCs w:val="20"/>
              </w:rPr>
              <w:t xml:space="preserve">απόφαση </w:t>
            </w:r>
            <w:bookmarkStart w:id="10" w:name="_Hlk87948917"/>
            <w:r w:rsidRPr="00903F89">
              <w:rPr>
                <w:rFonts w:cs="Arial"/>
                <w:sz w:val="20"/>
                <w:szCs w:val="20"/>
              </w:rPr>
              <w:t>(</w:t>
            </w:r>
            <w:r w:rsidR="00333915" w:rsidRPr="00903F89">
              <w:rPr>
                <w:rFonts w:cs="Arial"/>
                <w:sz w:val="20"/>
                <w:szCs w:val="20"/>
              </w:rPr>
              <w:t>Απόφαση Επιτροπής Προσωπικού και Κανονισμών</w:t>
            </w:r>
            <w:r w:rsidR="00333915">
              <w:rPr>
                <w:rFonts w:cs="Arial"/>
                <w:sz w:val="20"/>
                <w:szCs w:val="20"/>
              </w:rPr>
              <w:t xml:space="preserve"> του Συμβουλίου</w:t>
            </w:r>
            <w:r w:rsidR="00541234" w:rsidRPr="00903F89">
              <w:rPr>
                <w:rFonts w:cs="Arial"/>
                <w:sz w:val="20"/>
                <w:szCs w:val="20"/>
              </w:rPr>
              <w:t xml:space="preserve">, </w:t>
            </w:r>
            <w:r w:rsidRPr="00903F89">
              <w:rPr>
                <w:rFonts w:cs="Arial"/>
                <w:sz w:val="20"/>
                <w:szCs w:val="20"/>
              </w:rPr>
              <w:t>276</w:t>
            </w:r>
            <w:r w:rsidRPr="00903F89">
              <w:rPr>
                <w:rFonts w:cs="Arial"/>
                <w:sz w:val="20"/>
                <w:szCs w:val="20"/>
                <w:vertAlign w:val="superscript"/>
              </w:rPr>
              <w:t>η</w:t>
            </w:r>
            <w:r w:rsidR="00624FBD" w:rsidRPr="00903F89">
              <w:rPr>
                <w:rFonts w:cs="Arial"/>
                <w:sz w:val="20"/>
                <w:szCs w:val="20"/>
              </w:rPr>
              <w:t xml:space="preserve"> </w:t>
            </w:r>
            <w:r w:rsidRPr="00903F89">
              <w:rPr>
                <w:rFonts w:cs="Arial"/>
                <w:sz w:val="20"/>
                <w:szCs w:val="20"/>
              </w:rPr>
              <w:t>Συνεδρία</w:t>
            </w:r>
            <w:r w:rsidR="009232CA" w:rsidRPr="00903F89">
              <w:rPr>
                <w:rFonts w:cs="Arial"/>
                <w:sz w:val="20"/>
                <w:szCs w:val="20"/>
              </w:rPr>
              <w:t>, ημερ. 13/05/2015</w:t>
            </w:r>
            <w:r w:rsidRPr="00903F89">
              <w:rPr>
                <w:rFonts w:cs="Arial"/>
                <w:sz w:val="20"/>
                <w:szCs w:val="20"/>
              </w:rPr>
              <w:t>)</w:t>
            </w:r>
            <w:bookmarkEnd w:id="10"/>
            <w:r w:rsidRPr="00903F89">
              <w:rPr>
                <w:rFonts w:cs="Arial"/>
                <w:sz w:val="20"/>
                <w:szCs w:val="20"/>
              </w:rPr>
              <w:t>.</w:t>
            </w:r>
          </w:p>
        </w:tc>
      </w:tr>
      <w:tr w:rsidR="007422AB" w:rsidRPr="00903F89" w14:paraId="0F28E8B3" w14:textId="77777777" w:rsidTr="007422AB">
        <w:tc>
          <w:tcPr>
            <w:tcW w:w="10773" w:type="dxa"/>
            <w:gridSpan w:val="15"/>
            <w:shd w:val="clear" w:color="auto" w:fill="auto"/>
          </w:tcPr>
          <w:p w14:paraId="4130FB63" w14:textId="77777777" w:rsidR="00D35438" w:rsidRPr="00903F89" w:rsidRDefault="00D35438" w:rsidP="00903F89">
            <w:pPr>
              <w:jc w:val="both"/>
              <w:rPr>
                <w:rFonts w:cs="Arial"/>
                <w:sz w:val="20"/>
                <w:szCs w:val="20"/>
              </w:rPr>
            </w:pPr>
          </w:p>
        </w:tc>
      </w:tr>
      <w:tr w:rsidR="007422AB" w:rsidRPr="00903F89" w14:paraId="156BE6AB" w14:textId="77777777" w:rsidTr="007422AB">
        <w:tc>
          <w:tcPr>
            <w:tcW w:w="10773" w:type="dxa"/>
            <w:gridSpan w:val="15"/>
            <w:shd w:val="clear" w:color="auto" w:fill="auto"/>
          </w:tcPr>
          <w:p w14:paraId="5ED11051" w14:textId="0CB67FA5" w:rsidR="00D969FF" w:rsidRPr="00903F89" w:rsidRDefault="003C7292" w:rsidP="00903F89">
            <w:pPr>
              <w:jc w:val="both"/>
              <w:rPr>
                <w:rFonts w:cs="Arial"/>
                <w:sz w:val="20"/>
                <w:szCs w:val="20"/>
              </w:rPr>
            </w:pPr>
            <w:r w:rsidRPr="00903F89">
              <w:rPr>
                <w:rFonts w:cs="Arial"/>
                <w:sz w:val="20"/>
                <w:szCs w:val="20"/>
              </w:rPr>
              <w:t>Η πρόνοια του άρθρου καλύπτει μεταξύ άλλων και την ανάγκη διασφάλισης της ποιότητας της διδασκαλίας και της συμμόρφωσης του ΠΚ με τις συστάσεις του Φορέα Διασφάλισης και Πιστοποίησης της Ποιότητας της Ανώτερης Εκπαίδευσης (π.χ. μέγιστος αριθμός φοιτητών σε ακροατήρια προπτυχιακών/ μεταπτυχιακών προγραμμάτων ανά διδάσκοντα).</w:t>
            </w:r>
          </w:p>
        </w:tc>
      </w:tr>
      <w:tr w:rsidR="007422AB" w:rsidRPr="00903F89" w14:paraId="6A397E8F" w14:textId="77777777" w:rsidTr="007422AB">
        <w:tc>
          <w:tcPr>
            <w:tcW w:w="10773" w:type="dxa"/>
            <w:gridSpan w:val="15"/>
            <w:shd w:val="clear" w:color="auto" w:fill="auto"/>
          </w:tcPr>
          <w:p w14:paraId="7C47D168" w14:textId="77777777" w:rsidR="00D969FF" w:rsidRPr="00903F89" w:rsidRDefault="00D969FF" w:rsidP="00903F89">
            <w:pPr>
              <w:jc w:val="both"/>
              <w:rPr>
                <w:rFonts w:cs="Arial"/>
                <w:sz w:val="20"/>
                <w:szCs w:val="20"/>
              </w:rPr>
            </w:pPr>
          </w:p>
        </w:tc>
      </w:tr>
      <w:tr w:rsidR="007422AB" w:rsidRPr="00903F89" w14:paraId="36BF92AB" w14:textId="77777777" w:rsidTr="007422AB">
        <w:tc>
          <w:tcPr>
            <w:tcW w:w="10773" w:type="dxa"/>
            <w:gridSpan w:val="15"/>
            <w:shd w:val="clear" w:color="auto" w:fill="auto"/>
          </w:tcPr>
          <w:p w14:paraId="53F3630F" w14:textId="081ACA9E" w:rsidR="003C7292" w:rsidRDefault="003C7292" w:rsidP="00903F89">
            <w:pPr>
              <w:jc w:val="both"/>
              <w:rPr>
                <w:rFonts w:cs="Arial"/>
                <w:sz w:val="20"/>
                <w:szCs w:val="20"/>
              </w:rPr>
            </w:pPr>
            <w:r w:rsidRPr="00903F89">
              <w:rPr>
                <w:rFonts w:cs="Arial"/>
                <w:sz w:val="20"/>
                <w:szCs w:val="20"/>
              </w:rPr>
              <w:t>Η πρόνοια του άρθρου χρηματοδοτείται κατά το ήμισυ, περίπου, από  άλλες εισπράξεις (εκτός κρατικής χορηγίας), και προορίζεται να καλύψει δαπάνες εργοδότησης Ειδικών Επιστημόνων για την κάλυψη δαπανών που αφορούν σε:</w:t>
            </w:r>
          </w:p>
          <w:p w14:paraId="06DBCFB1" w14:textId="77777777" w:rsidR="00C459AD" w:rsidRPr="00903F89" w:rsidRDefault="00C459AD" w:rsidP="00903F89">
            <w:pPr>
              <w:jc w:val="both"/>
              <w:rPr>
                <w:rFonts w:cs="Arial"/>
                <w:sz w:val="20"/>
                <w:szCs w:val="20"/>
              </w:rPr>
            </w:pPr>
          </w:p>
          <w:p w14:paraId="3B2C0A5F" w14:textId="43C33D67" w:rsidR="003C7292" w:rsidRDefault="003C7292" w:rsidP="006E5981">
            <w:pPr>
              <w:pStyle w:val="ListParagraph"/>
              <w:numPr>
                <w:ilvl w:val="0"/>
                <w:numId w:val="46"/>
              </w:numPr>
              <w:ind w:left="605" w:hanging="605"/>
              <w:jc w:val="both"/>
              <w:rPr>
                <w:rFonts w:cs="Arial"/>
                <w:sz w:val="20"/>
                <w:szCs w:val="20"/>
              </w:rPr>
            </w:pPr>
            <w:r w:rsidRPr="006E5981">
              <w:rPr>
                <w:rFonts w:cs="Arial"/>
                <w:sz w:val="20"/>
                <w:szCs w:val="20"/>
              </w:rPr>
              <w:t>Διδασκαλία: για την κάλυψη διδακτικών αναγκών των Τμημάτων (μερικών δαπανών), καθώς και των αυτοχρηματοδοτούμενων Μεταπτυχιακών Προγραμμάτων,</w:t>
            </w:r>
            <w:r w:rsidR="00C459AD" w:rsidRPr="006E5981">
              <w:rPr>
                <w:rFonts w:cs="Arial"/>
                <w:sz w:val="20"/>
                <w:szCs w:val="20"/>
              </w:rPr>
              <w:t xml:space="preserve"> και</w:t>
            </w:r>
          </w:p>
          <w:p w14:paraId="3EFE2433" w14:textId="1D6B986D" w:rsidR="00D969FF" w:rsidRPr="006E5981" w:rsidRDefault="003C7292" w:rsidP="006E5981">
            <w:pPr>
              <w:pStyle w:val="ListParagraph"/>
              <w:numPr>
                <w:ilvl w:val="0"/>
                <w:numId w:val="46"/>
              </w:numPr>
              <w:ind w:left="605" w:hanging="605"/>
              <w:jc w:val="both"/>
              <w:rPr>
                <w:rFonts w:cs="Arial"/>
                <w:sz w:val="20"/>
                <w:szCs w:val="20"/>
              </w:rPr>
            </w:pPr>
            <w:r w:rsidRPr="006E5981">
              <w:rPr>
                <w:rFonts w:cs="Arial"/>
                <w:sz w:val="20"/>
                <w:szCs w:val="20"/>
              </w:rPr>
              <w:t xml:space="preserve">Έρευνα: στο πλαίσιο της ερευνητικής δραστηριοποίησης του Πανεπιστημίου Κύπρου (π.χ. εσωτερικά ερευνητικά προγράμματα, εναρκτήριες χρηματοδοτήσεις, </w:t>
            </w:r>
            <w:r w:rsidR="00BB5453" w:rsidRPr="006E5981">
              <w:rPr>
                <w:rFonts w:cs="Arial"/>
                <w:sz w:val="20"/>
                <w:szCs w:val="20"/>
              </w:rPr>
              <w:t>κ.λπ</w:t>
            </w:r>
            <w:r w:rsidRPr="006E5981">
              <w:rPr>
                <w:rFonts w:cs="Arial"/>
                <w:sz w:val="20"/>
                <w:szCs w:val="20"/>
              </w:rPr>
              <w:t>.)</w:t>
            </w:r>
            <w:r w:rsidR="00C459AD" w:rsidRPr="006E5981">
              <w:rPr>
                <w:rFonts w:cs="Arial"/>
                <w:sz w:val="20"/>
                <w:szCs w:val="20"/>
              </w:rPr>
              <w:t>.</w:t>
            </w:r>
          </w:p>
        </w:tc>
      </w:tr>
      <w:tr w:rsidR="007422AB" w:rsidRPr="00903F89" w14:paraId="5ABF2E8F" w14:textId="77777777" w:rsidTr="007422AB">
        <w:tc>
          <w:tcPr>
            <w:tcW w:w="10773" w:type="dxa"/>
            <w:gridSpan w:val="15"/>
            <w:shd w:val="clear" w:color="auto" w:fill="auto"/>
          </w:tcPr>
          <w:p w14:paraId="6E7A092E" w14:textId="77777777" w:rsidR="00D969FF" w:rsidRPr="00903F89" w:rsidRDefault="00D969FF" w:rsidP="00903F89">
            <w:pPr>
              <w:jc w:val="both"/>
              <w:rPr>
                <w:rFonts w:cs="Arial"/>
                <w:sz w:val="20"/>
                <w:szCs w:val="20"/>
              </w:rPr>
            </w:pPr>
          </w:p>
        </w:tc>
      </w:tr>
      <w:tr w:rsidR="007422AB" w:rsidRPr="00903F89" w14:paraId="3347B3A2" w14:textId="77777777" w:rsidTr="007422AB">
        <w:tc>
          <w:tcPr>
            <w:tcW w:w="10773" w:type="dxa"/>
            <w:gridSpan w:val="15"/>
            <w:shd w:val="clear" w:color="auto" w:fill="auto"/>
          </w:tcPr>
          <w:p w14:paraId="4484BCB1" w14:textId="2E41F737" w:rsidR="00236C74" w:rsidRPr="00903F89" w:rsidRDefault="009B68D7" w:rsidP="00903F89">
            <w:pPr>
              <w:jc w:val="both"/>
              <w:rPr>
                <w:rFonts w:cs="Arial"/>
                <w:sz w:val="20"/>
                <w:szCs w:val="20"/>
              </w:rPr>
            </w:pPr>
            <w:r w:rsidRPr="00903F89">
              <w:rPr>
                <w:rFonts w:cs="Arial"/>
                <w:sz w:val="20"/>
                <w:szCs w:val="20"/>
              </w:rPr>
              <w:t>Με τον Περί Προϋπολογισμού του Πανεπιστημίου Κύπρου για το 2021, Νόμο του 2021, εγκρίθηκε η δημιουργία του Άρθρου 12-104 «Ειδικοί Επιστήμονες Υποστήριξης Έργου» στην Υποομάδα 12 «Τρέχουσες Δαπάνες Διοικητικού και Άλλου Προσωπικού».  Η μείωση που παρουσιάζεται για το 2022 στην πρόνοια του παρόντος άρθρου, αντισταθμίζεται με την παρουσίαση πιστώσεων αντίστοιχου ύψους στο Άρθρο 12-104 για την κάλυψη των αποζημιώσεων των Ειδικών Επιστημόνων  Υποστήριξης Έργου.</w:t>
            </w:r>
          </w:p>
        </w:tc>
      </w:tr>
      <w:bookmarkEnd w:id="8"/>
      <w:tr w:rsidR="007422AB" w:rsidRPr="00903F89" w14:paraId="6C7E8C26" w14:textId="77777777" w:rsidTr="007422AB">
        <w:tc>
          <w:tcPr>
            <w:tcW w:w="10773" w:type="dxa"/>
            <w:gridSpan w:val="15"/>
            <w:shd w:val="clear" w:color="auto" w:fill="auto"/>
          </w:tcPr>
          <w:p w14:paraId="795FD515" w14:textId="77777777" w:rsidR="00826605" w:rsidRPr="00903F89" w:rsidRDefault="00826605" w:rsidP="00903F89">
            <w:pPr>
              <w:jc w:val="both"/>
              <w:rPr>
                <w:rFonts w:cs="Arial"/>
                <w:sz w:val="20"/>
                <w:szCs w:val="20"/>
              </w:rPr>
            </w:pPr>
          </w:p>
        </w:tc>
      </w:tr>
      <w:bookmarkEnd w:id="9"/>
      <w:tr w:rsidR="007422AB" w:rsidRPr="00903F89" w14:paraId="2A260057" w14:textId="77777777" w:rsidTr="007422AB">
        <w:tc>
          <w:tcPr>
            <w:tcW w:w="10773" w:type="dxa"/>
            <w:gridSpan w:val="15"/>
            <w:shd w:val="clear" w:color="auto" w:fill="FFFFFF" w:themeFill="background1"/>
          </w:tcPr>
          <w:p w14:paraId="0B612DC8" w14:textId="00BE34B0" w:rsidR="00B63C97" w:rsidRPr="00903F89" w:rsidRDefault="00B63C97" w:rsidP="00903F89">
            <w:pPr>
              <w:jc w:val="both"/>
              <w:rPr>
                <w:rFonts w:eastAsia="Arial" w:cs="Arial"/>
                <w:b/>
                <w:bCs/>
                <w:sz w:val="20"/>
                <w:szCs w:val="20"/>
                <w:u w:val="single"/>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105 – Μεταπτυχιακοί Φοιτητές </w:t>
            </w:r>
            <w:r w:rsidRPr="00903F89">
              <w:rPr>
                <w:rFonts w:eastAsia="Arial" w:cs="Arial"/>
                <w:sz w:val="20"/>
                <w:szCs w:val="20"/>
                <w:u w:val="single"/>
              </w:rPr>
              <w:t>–</w:t>
            </w:r>
            <w:r w:rsidRPr="00903F89">
              <w:rPr>
                <w:rFonts w:cs="Arial"/>
                <w:b/>
                <w:bCs/>
                <w:sz w:val="20"/>
                <w:szCs w:val="20"/>
                <w:u w:val="single"/>
              </w:rPr>
              <w:t xml:space="preserve"> €</w:t>
            </w:r>
            <w:r w:rsidR="00497887" w:rsidRPr="00903F89">
              <w:rPr>
                <w:rFonts w:cs="Arial"/>
                <w:b/>
                <w:bCs/>
                <w:sz w:val="20"/>
                <w:szCs w:val="20"/>
                <w:u w:val="single"/>
              </w:rPr>
              <w:t>1.</w:t>
            </w:r>
            <w:r w:rsidR="00F70A28" w:rsidRPr="00903F89">
              <w:rPr>
                <w:rFonts w:cs="Arial"/>
                <w:b/>
                <w:bCs/>
                <w:sz w:val="20"/>
                <w:szCs w:val="20"/>
                <w:u w:val="single"/>
              </w:rPr>
              <w:t>163.300</w:t>
            </w:r>
          </w:p>
        </w:tc>
      </w:tr>
      <w:tr w:rsidR="007422AB" w:rsidRPr="00903F89" w14:paraId="6AC7A1E4" w14:textId="77777777" w:rsidTr="007422AB">
        <w:tc>
          <w:tcPr>
            <w:tcW w:w="3097" w:type="dxa"/>
            <w:gridSpan w:val="6"/>
            <w:shd w:val="clear" w:color="auto" w:fill="FFFFFF" w:themeFill="background1"/>
          </w:tcPr>
          <w:p w14:paraId="40F6A52F" w14:textId="77777777" w:rsidR="00B63C97" w:rsidRPr="00903F89" w:rsidRDefault="00B63C97" w:rsidP="00903F89">
            <w:pPr>
              <w:jc w:val="both"/>
              <w:rPr>
                <w:rFonts w:cs="Arial"/>
                <w:b/>
                <w:sz w:val="20"/>
                <w:szCs w:val="20"/>
                <w:u w:val="single"/>
              </w:rPr>
            </w:pPr>
          </w:p>
        </w:tc>
        <w:tc>
          <w:tcPr>
            <w:tcW w:w="6195" w:type="dxa"/>
            <w:gridSpan w:val="7"/>
            <w:shd w:val="clear" w:color="auto" w:fill="FFFFFF" w:themeFill="background1"/>
          </w:tcPr>
          <w:p w14:paraId="512BCAC0" w14:textId="77777777" w:rsidR="00B63C97" w:rsidRPr="00903F89" w:rsidRDefault="00B63C97" w:rsidP="00903F89">
            <w:pPr>
              <w:keepNext/>
              <w:jc w:val="both"/>
              <w:outlineLvl w:val="2"/>
              <w:rPr>
                <w:rFonts w:cs="Arial"/>
                <w:b/>
                <w:sz w:val="20"/>
                <w:szCs w:val="20"/>
                <w:u w:val="single"/>
              </w:rPr>
            </w:pPr>
          </w:p>
        </w:tc>
        <w:tc>
          <w:tcPr>
            <w:tcW w:w="1481" w:type="dxa"/>
            <w:gridSpan w:val="2"/>
          </w:tcPr>
          <w:p w14:paraId="180DF6F4" w14:textId="77777777" w:rsidR="00B63C97" w:rsidRPr="00903F89" w:rsidRDefault="00B63C97" w:rsidP="00903F89">
            <w:pPr>
              <w:jc w:val="both"/>
              <w:rPr>
                <w:rFonts w:cs="Arial"/>
                <w:b/>
                <w:sz w:val="20"/>
                <w:szCs w:val="20"/>
                <w:u w:val="single"/>
              </w:rPr>
            </w:pPr>
          </w:p>
        </w:tc>
      </w:tr>
      <w:tr w:rsidR="007422AB" w:rsidRPr="00903F89" w14:paraId="49B8DC1E" w14:textId="77777777" w:rsidTr="007422AB">
        <w:tc>
          <w:tcPr>
            <w:tcW w:w="10773" w:type="dxa"/>
            <w:gridSpan w:val="15"/>
            <w:shd w:val="clear" w:color="auto" w:fill="FFFFFF" w:themeFill="background1"/>
          </w:tcPr>
          <w:p w14:paraId="2B2F1EAF" w14:textId="39D07023" w:rsidR="00B63C97" w:rsidRPr="00903F89" w:rsidRDefault="00B63C97" w:rsidP="00903F89">
            <w:pPr>
              <w:jc w:val="both"/>
              <w:rPr>
                <w:rFonts w:eastAsia="Arial" w:cs="Arial"/>
                <w:b/>
                <w:bCs/>
                <w:sz w:val="20"/>
                <w:szCs w:val="20"/>
                <w:u w:val="single"/>
              </w:rPr>
            </w:pPr>
            <w:r w:rsidRPr="00903F89">
              <w:rPr>
                <w:rFonts w:cs="Arial"/>
                <w:sz w:val="20"/>
                <w:szCs w:val="20"/>
              </w:rPr>
              <w:t xml:space="preserve">Το ποσό αφορά στην απασχόληση μεταπτυχιακών φοιτητών οι οποίοι προσφέρουν βοηθητικό διδακτικό έργο σε Τμήματα ή άλλες οργανωτικές μονάδες του Πανεπιστημίου, δηλαδή διδασκαλία φροντιστηρίων, διδασκαλία ασκήσεων, επιτήρηση εργαστηρίων, διόρθωση γραπτών </w:t>
            </w:r>
            <w:r w:rsidR="00BB5453" w:rsidRPr="00903F89">
              <w:rPr>
                <w:rFonts w:cs="Arial"/>
                <w:sz w:val="20"/>
                <w:szCs w:val="20"/>
              </w:rPr>
              <w:t>κ.λπ</w:t>
            </w:r>
            <w:r w:rsidRPr="00903F89">
              <w:rPr>
                <w:rFonts w:cs="Arial"/>
                <w:sz w:val="20"/>
                <w:szCs w:val="20"/>
              </w:rPr>
              <w:t xml:space="preserve">.  Η απασχόληση μεταπτυχιακών φοιτητών γίνεται με βάση Κανόνες που εγκρίνει το Συμβούλιο με ανώτατο χρονικό διάστημα απασχόλησης δέκα </w:t>
            </w:r>
            <w:r w:rsidR="004142D7">
              <w:rPr>
                <w:rFonts w:cs="Arial"/>
                <w:sz w:val="20"/>
                <w:szCs w:val="20"/>
              </w:rPr>
              <w:t xml:space="preserve">(10) </w:t>
            </w:r>
            <w:r w:rsidRPr="00903F89">
              <w:rPr>
                <w:rFonts w:cs="Arial"/>
                <w:sz w:val="20"/>
                <w:szCs w:val="20"/>
              </w:rPr>
              <w:t>μηνών ανά έτος</w:t>
            </w:r>
            <w:r w:rsidR="00D969FF" w:rsidRPr="00903F89">
              <w:rPr>
                <w:rFonts w:cs="Arial"/>
                <w:sz w:val="20"/>
                <w:szCs w:val="20"/>
              </w:rPr>
              <w:t>.</w:t>
            </w:r>
          </w:p>
        </w:tc>
      </w:tr>
      <w:tr w:rsidR="007422AB" w:rsidRPr="00903F89" w14:paraId="4399F858" w14:textId="77777777" w:rsidTr="007422AB">
        <w:tc>
          <w:tcPr>
            <w:tcW w:w="3097" w:type="dxa"/>
            <w:gridSpan w:val="6"/>
            <w:shd w:val="clear" w:color="auto" w:fill="FFFFFF" w:themeFill="background1"/>
          </w:tcPr>
          <w:p w14:paraId="6F48A2F6" w14:textId="77777777" w:rsidR="00B63C97" w:rsidRPr="00903F89" w:rsidRDefault="00B63C97" w:rsidP="00903F89">
            <w:pPr>
              <w:jc w:val="both"/>
              <w:rPr>
                <w:rFonts w:cs="Arial"/>
                <w:b/>
                <w:sz w:val="20"/>
                <w:szCs w:val="20"/>
                <w:u w:val="single"/>
              </w:rPr>
            </w:pPr>
          </w:p>
        </w:tc>
        <w:tc>
          <w:tcPr>
            <w:tcW w:w="6195" w:type="dxa"/>
            <w:gridSpan w:val="7"/>
            <w:shd w:val="clear" w:color="auto" w:fill="FFFFFF" w:themeFill="background1"/>
          </w:tcPr>
          <w:p w14:paraId="50A09AB9" w14:textId="77777777" w:rsidR="00B63C97" w:rsidRPr="00903F89" w:rsidRDefault="00B63C97" w:rsidP="00903F89">
            <w:pPr>
              <w:jc w:val="both"/>
              <w:rPr>
                <w:rFonts w:cs="Arial"/>
                <w:sz w:val="20"/>
                <w:szCs w:val="20"/>
              </w:rPr>
            </w:pPr>
          </w:p>
        </w:tc>
        <w:tc>
          <w:tcPr>
            <w:tcW w:w="1481" w:type="dxa"/>
            <w:gridSpan w:val="2"/>
          </w:tcPr>
          <w:p w14:paraId="3C5C7FA7" w14:textId="77777777" w:rsidR="00B63C97" w:rsidRPr="00903F89" w:rsidRDefault="00B63C97" w:rsidP="00903F89">
            <w:pPr>
              <w:jc w:val="both"/>
              <w:rPr>
                <w:rFonts w:cs="Arial"/>
                <w:b/>
                <w:sz w:val="20"/>
                <w:szCs w:val="20"/>
                <w:u w:val="single"/>
              </w:rPr>
            </w:pPr>
          </w:p>
        </w:tc>
      </w:tr>
      <w:tr w:rsidR="007422AB" w:rsidRPr="00903F89" w14:paraId="1DD48A13" w14:textId="77777777" w:rsidTr="007422AB">
        <w:tc>
          <w:tcPr>
            <w:tcW w:w="10773" w:type="dxa"/>
            <w:gridSpan w:val="15"/>
            <w:shd w:val="clear" w:color="auto" w:fill="FFFFFF" w:themeFill="background1"/>
          </w:tcPr>
          <w:p w14:paraId="09AF1C12" w14:textId="21C80A51" w:rsidR="00B63C97" w:rsidRPr="00903F89" w:rsidRDefault="00B63C97" w:rsidP="00903F89">
            <w:pPr>
              <w:jc w:val="both"/>
              <w:rPr>
                <w:rFonts w:eastAsia="Arial" w:cs="Arial"/>
                <w:b/>
                <w:bCs/>
                <w:sz w:val="20"/>
                <w:szCs w:val="20"/>
                <w:u w:val="single"/>
              </w:rPr>
            </w:pPr>
            <w:r w:rsidRPr="00903F89">
              <w:rPr>
                <w:rFonts w:cs="Arial"/>
                <w:sz w:val="20"/>
                <w:szCs w:val="20"/>
              </w:rPr>
              <w:t>Σημειώνεται ότι, το κάθε Τμήμα είναι υπεύθυνο να αποφασίζει την επιλογή που θα υιοθετεί και πώς θα αξιοποιεί το κονδύλι του προϋπολογισμού που του κατανέμεται από τη Σύγκλητο.</w:t>
            </w:r>
          </w:p>
        </w:tc>
      </w:tr>
      <w:tr w:rsidR="007422AB" w:rsidRPr="00903F89" w14:paraId="3B6868DF" w14:textId="77777777" w:rsidTr="007422AB">
        <w:tc>
          <w:tcPr>
            <w:tcW w:w="3097" w:type="dxa"/>
            <w:gridSpan w:val="6"/>
            <w:shd w:val="clear" w:color="auto" w:fill="FFFFFF" w:themeFill="background1"/>
          </w:tcPr>
          <w:p w14:paraId="3AC81F84" w14:textId="77777777" w:rsidR="00B63C97" w:rsidRPr="00903F89" w:rsidRDefault="00B63C97" w:rsidP="00903F89">
            <w:pPr>
              <w:jc w:val="both"/>
              <w:rPr>
                <w:rFonts w:cs="Arial"/>
                <w:b/>
                <w:sz w:val="20"/>
                <w:szCs w:val="20"/>
                <w:u w:val="single"/>
              </w:rPr>
            </w:pPr>
          </w:p>
        </w:tc>
        <w:tc>
          <w:tcPr>
            <w:tcW w:w="6195" w:type="dxa"/>
            <w:gridSpan w:val="7"/>
            <w:shd w:val="clear" w:color="auto" w:fill="FFFFFF" w:themeFill="background1"/>
          </w:tcPr>
          <w:p w14:paraId="2A6DE252" w14:textId="77777777" w:rsidR="00B63C97" w:rsidRPr="00903F89" w:rsidRDefault="00B63C97" w:rsidP="00903F89">
            <w:pPr>
              <w:jc w:val="both"/>
              <w:rPr>
                <w:rFonts w:cs="Arial"/>
                <w:sz w:val="20"/>
                <w:szCs w:val="20"/>
              </w:rPr>
            </w:pPr>
          </w:p>
        </w:tc>
        <w:tc>
          <w:tcPr>
            <w:tcW w:w="1481" w:type="dxa"/>
            <w:gridSpan w:val="2"/>
          </w:tcPr>
          <w:p w14:paraId="549035AF" w14:textId="77777777" w:rsidR="00B63C97" w:rsidRPr="00903F89" w:rsidRDefault="00B63C97" w:rsidP="00903F89">
            <w:pPr>
              <w:jc w:val="both"/>
              <w:rPr>
                <w:rFonts w:cs="Arial"/>
                <w:b/>
                <w:sz w:val="20"/>
                <w:szCs w:val="20"/>
                <w:u w:val="single"/>
              </w:rPr>
            </w:pPr>
          </w:p>
        </w:tc>
      </w:tr>
      <w:tr w:rsidR="007422AB" w:rsidRPr="00903F89" w14:paraId="26433843" w14:textId="77777777" w:rsidTr="007422AB">
        <w:tc>
          <w:tcPr>
            <w:tcW w:w="10773" w:type="dxa"/>
            <w:gridSpan w:val="15"/>
            <w:shd w:val="clear" w:color="auto" w:fill="FFFFFF" w:themeFill="background1"/>
          </w:tcPr>
          <w:p w14:paraId="51CC50C3" w14:textId="18169833" w:rsidR="00B63C97" w:rsidRPr="00903F89" w:rsidRDefault="00B63C97" w:rsidP="00903F89">
            <w:pPr>
              <w:jc w:val="both"/>
              <w:rPr>
                <w:rFonts w:eastAsia="Arial" w:cs="Arial"/>
                <w:sz w:val="20"/>
                <w:szCs w:val="20"/>
              </w:rPr>
            </w:pPr>
            <w:r w:rsidRPr="00903F89">
              <w:rPr>
                <w:rFonts w:cs="Arial"/>
                <w:sz w:val="20"/>
                <w:szCs w:val="20"/>
              </w:rPr>
              <w:t>Επίσης, είναι στη διακριτική ευχέρεια του Τμήματος η απασχόληση μεταπτυχιακών φοιτητών για λιγότερο από πέντε (5) μήνες (</w:t>
            </w:r>
            <w:r w:rsidR="00541234" w:rsidRPr="00903F89">
              <w:rPr>
                <w:rFonts w:cs="Arial"/>
                <w:sz w:val="20"/>
                <w:szCs w:val="20"/>
              </w:rPr>
              <w:t xml:space="preserve">Απόφαση </w:t>
            </w:r>
            <w:r w:rsidRPr="00903F89">
              <w:rPr>
                <w:rFonts w:cs="Arial"/>
                <w:sz w:val="20"/>
                <w:szCs w:val="20"/>
              </w:rPr>
              <w:t>Συγκλήτου</w:t>
            </w:r>
            <w:r w:rsidR="00541234" w:rsidRPr="00903F89">
              <w:rPr>
                <w:rFonts w:cs="Arial"/>
                <w:sz w:val="20"/>
                <w:szCs w:val="20"/>
              </w:rPr>
              <w:t xml:space="preserve">, Συνεδρία </w:t>
            </w:r>
            <w:r w:rsidRPr="00903F89">
              <w:rPr>
                <w:rFonts w:cs="Arial"/>
                <w:sz w:val="20"/>
                <w:szCs w:val="20"/>
              </w:rPr>
              <w:t xml:space="preserve">Αρ. 22/2015, ημερ. 07/10/2015). </w:t>
            </w:r>
          </w:p>
        </w:tc>
      </w:tr>
      <w:tr w:rsidR="007422AB" w:rsidRPr="00903F89" w14:paraId="7D92A140" w14:textId="77777777" w:rsidTr="007422AB">
        <w:tc>
          <w:tcPr>
            <w:tcW w:w="3097" w:type="dxa"/>
            <w:gridSpan w:val="6"/>
            <w:shd w:val="clear" w:color="auto" w:fill="FFFFFF" w:themeFill="background1"/>
          </w:tcPr>
          <w:p w14:paraId="6588D2B8" w14:textId="77777777" w:rsidR="00B63C97" w:rsidRPr="00903F89" w:rsidRDefault="00B63C97" w:rsidP="00903F89">
            <w:pPr>
              <w:jc w:val="both"/>
              <w:rPr>
                <w:rFonts w:cs="Arial"/>
                <w:b/>
                <w:sz w:val="20"/>
                <w:szCs w:val="20"/>
                <w:u w:val="single"/>
              </w:rPr>
            </w:pPr>
          </w:p>
        </w:tc>
        <w:tc>
          <w:tcPr>
            <w:tcW w:w="6195" w:type="dxa"/>
            <w:gridSpan w:val="7"/>
            <w:shd w:val="clear" w:color="auto" w:fill="FFFFFF" w:themeFill="background1"/>
          </w:tcPr>
          <w:p w14:paraId="4D08C884" w14:textId="77777777" w:rsidR="00B63C97" w:rsidRPr="00903F89" w:rsidRDefault="00B63C97" w:rsidP="00903F89">
            <w:pPr>
              <w:jc w:val="both"/>
              <w:rPr>
                <w:rFonts w:cs="Arial"/>
                <w:sz w:val="20"/>
                <w:szCs w:val="20"/>
              </w:rPr>
            </w:pPr>
          </w:p>
        </w:tc>
        <w:tc>
          <w:tcPr>
            <w:tcW w:w="1481" w:type="dxa"/>
            <w:gridSpan w:val="2"/>
          </w:tcPr>
          <w:p w14:paraId="65014A77" w14:textId="77777777" w:rsidR="00B63C97" w:rsidRPr="00903F89" w:rsidRDefault="00B63C97" w:rsidP="00903F89">
            <w:pPr>
              <w:jc w:val="both"/>
              <w:rPr>
                <w:rFonts w:cs="Arial"/>
                <w:b/>
                <w:sz w:val="20"/>
                <w:szCs w:val="20"/>
                <w:u w:val="single"/>
              </w:rPr>
            </w:pPr>
          </w:p>
        </w:tc>
      </w:tr>
      <w:tr w:rsidR="007422AB" w:rsidRPr="00903F89" w14:paraId="15F19A2F" w14:textId="77777777" w:rsidTr="007422AB">
        <w:tc>
          <w:tcPr>
            <w:tcW w:w="10773" w:type="dxa"/>
            <w:gridSpan w:val="15"/>
            <w:shd w:val="clear" w:color="auto" w:fill="FFFFFF" w:themeFill="background1"/>
          </w:tcPr>
          <w:p w14:paraId="2571B320" w14:textId="35018F60" w:rsidR="00B63C97" w:rsidRPr="00903F89" w:rsidRDefault="00B63C97" w:rsidP="00903F89">
            <w:pPr>
              <w:jc w:val="both"/>
              <w:rPr>
                <w:rFonts w:eastAsia="Arial" w:cs="Arial"/>
                <w:b/>
                <w:bCs/>
                <w:sz w:val="20"/>
                <w:szCs w:val="20"/>
                <w:u w:val="single"/>
              </w:rPr>
            </w:pPr>
            <w:r w:rsidRPr="00903F89">
              <w:rPr>
                <w:rFonts w:cs="Arial"/>
                <w:sz w:val="20"/>
                <w:szCs w:val="20"/>
              </w:rPr>
              <w:t xml:space="preserve">Η αποζημίωση της απασχόλησης των μεταπτυχιακών φοιτητών για βοηθητικό έργο, δεν μπορεί να υπερβαίνει τις </w:t>
            </w:r>
            <w:r w:rsidR="003303AF">
              <w:rPr>
                <w:rFonts w:cs="Arial"/>
                <w:sz w:val="20"/>
                <w:szCs w:val="20"/>
              </w:rPr>
              <w:t>δώδεκα (</w:t>
            </w:r>
            <w:r w:rsidRPr="00903F89">
              <w:rPr>
                <w:rFonts w:cs="Arial"/>
                <w:sz w:val="20"/>
                <w:szCs w:val="20"/>
              </w:rPr>
              <w:t>12</w:t>
            </w:r>
            <w:r w:rsidR="003303AF">
              <w:rPr>
                <w:rFonts w:cs="Arial"/>
                <w:sz w:val="20"/>
                <w:szCs w:val="20"/>
              </w:rPr>
              <w:t>)</w:t>
            </w:r>
            <w:r w:rsidRPr="00903F89">
              <w:rPr>
                <w:rFonts w:cs="Arial"/>
                <w:sz w:val="20"/>
                <w:szCs w:val="20"/>
              </w:rPr>
              <w:t xml:space="preserve"> ώρες εβδομαδιαίως:</w:t>
            </w:r>
          </w:p>
        </w:tc>
      </w:tr>
      <w:tr w:rsidR="007422AB" w:rsidRPr="00903F89" w14:paraId="012C124E" w14:textId="77777777" w:rsidTr="007422AB">
        <w:tc>
          <w:tcPr>
            <w:tcW w:w="3097" w:type="dxa"/>
            <w:gridSpan w:val="6"/>
            <w:shd w:val="clear" w:color="auto" w:fill="FFFFFF" w:themeFill="background1"/>
          </w:tcPr>
          <w:p w14:paraId="681B96AF" w14:textId="77777777" w:rsidR="00B63C97" w:rsidRPr="00903F89" w:rsidRDefault="00B63C97" w:rsidP="00903F89">
            <w:pPr>
              <w:jc w:val="both"/>
              <w:rPr>
                <w:rFonts w:cs="Arial"/>
                <w:b/>
                <w:sz w:val="20"/>
                <w:szCs w:val="20"/>
                <w:u w:val="single"/>
              </w:rPr>
            </w:pPr>
          </w:p>
        </w:tc>
        <w:tc>
          <w:tcPr>
            <w:tcW w:w="6195" w:type="dxa"/>
            <w:gridSpan w:val="7"/>
            <w:shd w:val="clear" w:color="auto" w:fill="FFFFFF" w:themeFill="background1"/>
          </w:tcPr>
          <w:p w14:paraId="0570A7E5" w14:textId="77777777" w:rsidR="00B63C97" w:rsidRPr="00903F89" w:rsidRDefault="00B63C97" w:rsidP="00903F89">
            <w:pPr>
              <w:jc w:val="both"/>
              <w:rPr>
                <w:rFonts w:cs="Arial"/>
                <w:sz w:val="20"/>
                <w:szCs w:val="20"/>
              </w:rPr>
            </w:pPr>
          </w:p>
        </w:tc>
        <w:tc>
          <w:tcPr>
            <w:tcW w:w="1481" w:type="dxa"/>
            <w:gridSpan w:val="2"/>
          </w:tcPr>
          <w:p w14:paraId="4DE5BA62" w14:textId="77777777" w:rsidR="00B63C97" w:rsidRPr="00903F89" w:rsidRDefault="00B63C97" w:rsidP="00903F89">
            <w:pPr>
              <w:jc w:val="both"/>
              <w:rPr>
                <w:rFonts w:cs="Arial"/>
                <w:b/>
                <w:sz w:val="20"/>
                <w:szCs w:val="20"/>
                <w:u w:val="single"/>
              </w:rPr>
            </w:pPr>
          </w:p>
        </w:tc>
      </w:tr>
      <w:tr w:rsidR="007422AB" w:rsidRPr="00903F89" w14:paraId="56252F4C" w14:textId="77777777" w:rsidTr="007422AB">
        <w:tc>
          <w:tcPr>
            <w:tcW w:w="10773" w:type="dxa"/>
            <w:gridSpan w:val="15"/>
            <w:shd w:val="clear" w:color="auto" w:fill="FFFFFF" w:themeFill="background1"/>
          </w:tcPr>
          <w:p w14:paraId="41305F72" w14:textId="6C0E6F4A" w:rsidR="00B63C97" w:rsidRPr="006E5981" w:rsidRDefault="00B63C97" w:rsidP="006E5981">
            <w:pPr>
              <w:numPr>
                <w:ilvl w:val="0"/>
                <w:numId w:val="44"/>
              </w:numPr>
              <w:tabs>
                <w:tab w:val="clear" w:pos="720"/>
              </w:tabs>
              <w:ind w:left="605" w:hanging="605"/>
              <w:jc w:val="both"/>
              <w:rPr>
                <w:rFonts w:eastAsia="Arial" w:cs="Arial"/>
                <w:sz w:val="20"/>
                <w:szCs w:val="20"/>
              </w:rPr>
            </w:pPr>
            <w:r w:rsidRPr="00903F89">
              <w:rPr>
                <w:rFonts w:cs="Arial"/>
                <w:sz w:val="20"/>
                <w:szCs w:val="20"/>
              </w:rPr>
              <w:t xml:space="preserve">Για το προσφερόμενο έργο 12 ωρών την εβδομάδα οι μηνιαίες απολαβές καθορίζονται σε €1.025 μηνιαίως.  Οι ετήσιες απολαβές σε €10.250 (€1.025 x </w:t>
            </w:r>
            <w:r w:rsidR="003303AF">
              <w:rPr>
                <w:rFonts w:cs="Arial"/>
                <w:sz w:val="20"/>
                <w:szCs w:val="20"/>
              </w:rPr>
              <w:t>δέκα</w:t>
            </w:r>
            <w:r w:rsidR="003303AF" w:rsidRPr="00903F89">
              <w:rPr>
                <w:rFonts w:cs="Arial"/>
                <w:sz w:val="20"/>
                <w:szCs w:val="20"/>
              </w:rPr>
              <w:t xml:space="preserve"> (</w:t>
            </w:r>
            <w:r w:rsidR="003303AF">
              <w:rPr>
                <w:rFonts w:cs="Arial"/>
                <w:sz w:val="20"/>
                <w:szCs w:val="20"/>
              </w:rPr>
              <w:t>10</w:t>
            </w:r>
            <w:r w:rsidR="003303AF" w:rsidRPr="00903F89">
              <w:rPr>
                <w:rFonts w:cs="Arial"/>
                <w:sz w:val="20"/>
                <w:szCs w:val="20"/>
              </w:rPr>
              <w:t>) μήνες</w:t>
            </w:r>
            <w:r w:rsidRPr="00903F89">
              <w:rPr>
                <w:rFonts w:cs="Arial"/>
                <w:sz w:val="20"/>
                <w:szCs w:val="20"/>
              </w:rPr>
              <w:t xml:space="preserve">). Προτεραιότητα θα δίνεται στους διδακτορικούς φοιτητές. </w:t>
            </w:r>
          </w:p>
          <w:p w14:paraId="0B28DFE5" w14:textId="34AF4E14" w:rsidR="00B63C97" w:rsidRPr="006E5981" w:rsidRDefault="00B63C97" w:rsidP="006E5981">
            <w:pPr>
              <w:numPr>
                <w:ilvl w:val="0"/>
                <w:numId w:val="44"/>
              </w:numPr>
              <w:tabs>
                <w:tab w:val="clear" w:pos="720"/>
              </w:tabs>
              <w:ind w:left="605" w:hanging="605"/>
              <w:jc w:val="both"/>
              <w:rPr>
                <w:rFonts w:eastAsia="Arial" w:cs="Arial"/>
                <w:sz w:val="20"/>
                <w:szCs w:val="20"/>
              </w:rPr>
            </w:pPr>
            <w:r w:rsidRPr="00903F89">
              <w:rPr>
                <w:rFonts w:cs="Arial"/>
                <w:sz w:val="20"/>
                <w:szCs w:val="20"/>
              </w:rPr>
              <w:t xml:space="preserve">Για το προσφερόμενο έργο 8 ωρών την εβδομάδα οι μηνιαίες απολαβές καθορίζονται σε €683 μηνιαίως.  Οι ετήσιες απολαβές σε €6.830 (€683 x </w:t>
            </w:r>
            <w:r w:rsidR="003303AF">
              <w:rPr>
                <w:rFonts w:cs="Arial"/>
                <w:sz w:val="20"/>
                <w:szCs w:val="20"/>
              </w:rPr>
              <w:t>δέκα</w:t>
            </w:r>
            <w:r w:rsidR="003303AF" w:rsidRPr="00903F89">
              <w:rPr>
                <w:rFonts w:cs="Arial"/>
                <w:sz w:val="20"/>
                <w:szCs w:val="20"/>
              </w:rPr>
              <w:t xml:space="preserve"> (</w:t>
            </w:r>
            <w:r w:rsidR="003303AF">
              <w:rPr>
                <w:rFonts w:cs="Arial"/>
                <w:sz w:val="20"/>
                <w:szCs w:val="20"/>
              </w:rPr>
              <w:t>10</w:t>
            </w:r>
            <w:r w:rsidR="003303AF" w:rsidRPr="00903F89">
              <w:rPr>
                <w:rFonts w:cs="Arial"/>
                <w:sz w:val="20"/>
                <w:szCs w:val="20"/>
              </w:rPr>
              <w:t>) μήνες).</w:t>
            </w:r>
          </w:p>
          <w:p w14:paraId="36A43F82" w14:textId="42605D3A" w:rsidR="00B63C97" w:rsidRPr="00903F89" w:rsidRDefault="00B63C97" w:rsidP="006E5981">
            <w:pPr>
              <w:numPr>
                <w:ilvl w:val="0"/>
                <w:numId w:val="44"/>
              </w:numPr>
              <w:tabs>
                <w:tab w:val="clear" w:pos="720"/>
              </w:tabs>
              <w:ind w:left="605" w:hanging="605"/>
              <w:jc w:val="both"/>
              <w:rPr>
                <w:rFonts w:eastAsia="Arial" w:cs="Arial"/>
                <w:sz w:val="20"/>
                <w:szCs w:val="20"/>
              </w:rPr>
            </w:pPr>
            <w:r w:rsidRPr="00903F89">
              <w:rPr>
                <w:rFonts w:cs="Arial"/>
                <w:sz w:val="20"/>
                <w:szCs w:val="20"/>
              </w:rPr>
              <w:t xml:space="preserve">Για το προσφερόμενο έργο 4 ωρών την εβδομάδα οι μηνιαίες απολαβές καθορίζονται σε €342 μηνιαίως.  Οι ετήσιες απολαβές σε €3.420 (€342 x </w:t>
            </w:r>
            <w:r w:rsidR="003303AF">
              <w:rPr>
                <w:rFonts w:cs="Arial"/>
                <w:sz w:val="20"/>
                <w:szCs w:val="20"/>
              </w:rPr>
              <w:t>δέκα</w:t>
            </w:r>
            <w:r w:rsidR="003303AF" w:rsidRPr="00903F89">
              <w:rPr>
                <w:rFonts w:cs="Arial"/>
                <w:sz w:val="20"/>
                <w:szCs w:val="20"/>
              </w:rPr>
              <w:t xml:space="preserve"> (</w:t>
            </w:r>
            <w:r w:rsidR="003303AF">
              <w:rPr>
                <w:rFonts w:cs="Arial"/>
                <w:sz w:val="20"/>
                <w:szCs w:val="20"/>
              </w:rPr>
              <w:t>10</w:t>
            </w:r>
            <w:r w:rsidR="003303AF" w:rsidRPr="00903F89">
              <w:rPr>
                <w:rFonts w:cs="Arial"/>
                <w:sz w:val="20"/>
                <w:szCs w:val="20"/>
              </w:rPr>
              <w:t>) μήνες).</w:t>
            </w:r>
          </w:p>
        </w:tc>
      </w:tr>
      <w:tr w:rsidR="007422AB" w:rsidRPr="00903F89" w14:paraId="2A33C6DD" w14:textId="77777777" w:rsidTr="007422AB">
        <w:tc>
          <w:tcPr>
            <w:tcW w:w="10773" w:type="dxa"/>
            <w:gridSpan w:val="15"/>
            <w:shd w:val="clear" w:color="auto" w:fill="FFFFFF" w:themeFill="background1"/>
          </w:tcPr>
          <w:p w14:paraId="2435420E" w14:textId="77777777" w:rsidR="00B63C97" w:rsidRPr="00903F89" w:rsidRDefault="00B63C97" w:rsidP="00903F89">
            <w:pPr>
              <w:ind w:left="360"/>
              <w:jc w:val="both"/>
              <w:rPr>
                <w:rFonts w:cs="Arial"/>
                <w:sz w:val="20"/>
                <w:szCs w:val="20"/>
              </w:rPr>
            </w:pPr>
          </w:p>
        </w:tc>
      </w:tr>
      <w:tr w:rsidR="007422AB" w:rsidRPr="00903F89" w14:paraId="7D0FE338" w14:textId="77777777" w:rsidTr="007422AB">
        <w:tc>
          <w:tcPr>
            <w:tcW w:w="10773" w:type="dxa"/>
            <w:gridSpan w:val="15"/>
            <w:shd w:val="clear" w:color="auto" w:fill="FFFFFF" w:themeFill="background1"/>
          </w:tcPr>
          <w:p w14:paraId="01F3B268" w14:textId="4EF24E14" w:rsidR="00B63C97" w:rsidRPr="00903F89" w:rsidRDefault="00B63C97" w:rsidP="00903F89">
            <w:pPr>
              <w:jc w:val="both"/>
              <w:rPr>
                <w:rFonts w:eastAsia="Arial" w:cs="Arial"/>
                <w:b/>
                <w:bCs/>
                <w:sz w:val="20"/>
                <w:szCs w:val="20"/>
                <w:u w:val="single"/>
              </w:rPr>
            </w:pPr>
            <w:r w:rsidRPr="00903F89">
              <w:rPr>
                <w:rFonts w:cs="Arial"/>
                <w:sz w:val="20"/>
                <w:szCs w:val="20"/>
              </w:rPr>
              <w:t>Τα Τμήματα έχουν τη δυνατότητα να απασχολούν μεταπτυχιακούς φοιτητές από έσοδα μεταπτυχιακών διδάκτρων τους:</w:t>
            </w:r>
          </w:p>
        </w:tc>
      </w:tr>
      <w:tr w:rsidR="007422AB" w:rsidRPr="00903F89" w14:paraId="173E7CED" w14:textId="77777777" w:rsidTr="007422AB">
        <w:tc>
          <w:tcPr>
            <w:tcW w:w="3097" w:type="dxa"/>
            <w:gridSpan w:val="6"/>
            <w:shd w:val="clear" w:color="auto" w:fill="FFFFFF" w:themeFill="background1"/>
          </w:tcPr>
          <w:p w14:paraId="00BCD2F2" w14:textId="77777777" w:rsidR="00B63C97" w:rsidRPr="00903F89" w:rsidRDefault="00B63C97" w:rsidP="00903F89">
            <w:pPr>
              <w:jc w:val="both"/>
              <w:rPr>
                <w:rFonts w:cs="Arial"/>
                <w:b/>
                <w:sz w:val="20"/>
                <w:szCs w:val="20"/>
                <w:u w:val="single"/>
              </w:rPr>
            </w:pPr>
          </w:p>
        </w:tc>
        <w:tc>
          <w:tcPr>
            <w:tcW w:w="6195" w:type="dxa"/>
            <w:gridSpan w:val="7"/>
            <w:shd w:val="clear" w:color="auto" w:fill="FFFFFF" w:themeFill="background1"/>
          </w:tcPr>
          <w:p w14:paraId="66F53194" w14:textId="77777777" w:rsidR="00B63C97" w:rsidRPr="00903F89" w:rsidRDefault="00B63C97" w:rsidP="00903F89">
            <w:pPr>
              <w:jc w:val="both"/>
              <w:rPr>
                <w:rFonts w:cs="Arial"/>
                <w:sz w:val="20"/>
                <w:szCs w:val="20"/>
              </w:rPr>
            </w:pPr>
          </w:p>
        </w:tc>
        <w:tc>
          <w:tcPr>
            <w:tcW w:w="1481" w:type="dxa"/>
            <w:gridSpan w:val="2"/>
            <w:shd w:val="clear" w:color="auto" w:fill="auto"/>
          </w:tcPr>
          <w:p w14:paraId="677BE649" w14:textId="77777777" w:rsidR="00B63C97" w:rsidRPr="00903F89" w:rsidRDefault="00B63C97" w:rsidP="00903F89">
            <w:pPr>
              <w:jc w:val="both"/>
              <w:rPr>
                <w:rFonts w:cs="Arial"/>
                <w:b/>
                <w:sz w:val="20"/>
                <w:szCs w:val="20"/>
                <w:u w:val="single"/>
              </w:rPr>
            </w:pPr>
          </w:p>
        </w:tc>
      </w:tr>
      <w:tr w:rsidR="007422AB" w:rsidRPr="00903F89" w14:paraId="6D79DD51" w14:textId="77777777" w:rsidTr="007422AB">
        <w:tc>
          <w:tcPr>
            <w:tcW w:w="10773" w:type="dxa"/>
            <w:gridSpan w:val="15"/>
            <w:shd w:val="clear" w:color="auto" w:fill="auto"/>
          </w:tcPr>
          <w:p w14:paraId="1168A2FB" w14:textId="01E06727" w:rsidR="00B63C97" w:rsidRPr="006E5981" w:rsidRDefault="00B63C97" w:rsidP="006E5981">
            <w:pPr>
              <w:numPr>
                <w:ilvl w:val="0"/>
                <w:numId w:val="43"/>
              </w:numPr>
              <w:ind w:left="605" w:hanging="605"/>
              <w:jc w:val="both"/>
              <w:rPr>
                <w:rFonts w:eastAsia="Arial" w:cs="Arial"/>
                <w:sz w:val="20"/>
                <w:szCs w:val="20"/>
              </w:rPr>
            </w:pPr>
            <w:r w:rsidRPr="00903F89">
              <w:rPr>
                <w:rFonts w:cs="Arial"/>
                <w:sz w:val="20"/>
                <w:szCs w:val="20"/>
              </w:rPr>
              <w:t xml:space="preserve">για παροχή βοηθητικού διδακτικού έργου: €21,57/ ώρα, </w:t>
            </w:r>
          </w:p>
          <w:p w14:paraId="70119479" w14:textId="5AFFC466" w:rsidR="00236C74" w:rsidRPr="00903F89" w:rsidRDefault="00B63C97" w:rsidP="006E5981">
            <w:pPr>
              <w:numPr>
                <w:ilvl w:val="0"/>
                <w:numId w:val="43"/>
              </w:numPr>
              <w:ind w:left="605" w:hanging="605"/>
              <w:jc w:val="both"/>
              <w:rPr>
                <w:rFonts w:eastAsia="Arial" w:cs="Arial"/>
                <w:sz w:val="20"/>
                <w:szCs w:val="20"/>
              </w:rPr>
            </w:pPr>
            <w:r w:rsidRPr="00903F89">
              <w:rPr>
                <w:rFonts w:cs="Arial"/>
                <w:sz w:val="20"/>
                <w:szCs w:val="20"/>
              </w:rPr>
              <w:t>για παροχή βοηθητικού ερευνητικού έργου: μέχρι το αντίστοιχο ποσό της 1</w:t>
            </w:r>
            <w:r w:rsidRPr="00903F89">
              <w:rPr>
                <w:rFonts w:cs="Arial"/>
                <w:sz w:val="20"/>
                <w:szCs w:val="20"/>
                <w:vertAlign w:val="superscript"/>
              </w:rPr>
              <w:t>ης</w:t>
            </w:r>
            <w:r w:rsidRPr="00903F89">
              <w:rPr>
                <w:rFonts w:cs="Arial"/>
                <w:sz w:val="20"/>
                <w:szCs w:val="20"/>
              </w:rPr>
              <w:t xml:space="preserve"> βαθμίδας της Κλίμακας Α8 και τις </w:t>
            </w:r>
            <w:proofErr w:type="spellStart"/>
            <w:r w:rsidR="003303AF">
              <w:rPr>
                <w:rFonts w:cs="Arial"/>
                <w:sz w:val="20"/>
                <w:szCs w:val="20"/>
              </w:rPr>
              <w:t>τριαντά</w:t>
            </w:r>
            <w:proofErr w:type="spellEnd"/>
            <w:r w:rsidR="003303AF">
              <w:rPr>
                <w:rFonts w:cs="Arial"/>
                <w:sz w:val="20"/>
                <w:szCs w:val="20"/>
              </w:rPr>
              <w:t xml:space="preserve"> οκτώ (38) </w:t>
            </w:r>
            <w:r w:rsidRPr="00903F89">
              <w:rPr>
                <w:rFonts w:cs="Arial"/>
                <w:sz w:val="20"/>
                <w:szCs w:val="20"/>
              </w:rPr>
              <w:t>ώρες εβδομαδιαίως (όπως προνοεί και η σχετική εσωτερική Ε.Δ.ΥΠ. Αρ. 49/2009).</w:t>
            </w:r>
          </w:p>
        </w:tc>
      </w:tr>
      <w:tr w:rsidR="007422AB" w:rsidRPr="00903F89" w14:paraId="4CA52B7A" w14:textId="77777777" w:rsidTr="007422AB">
        <w:tc>
          <w:tcPr>
            <w:tcW w:w="3097" w:type="dxa"/>
            <w:gridSpan w:val="6"/>
          </w:tcPr>
          <w:p w14:paraId="218609AC" w14:textId="017D4BE4" w:rsidR="00D7749B" w:rsidRPr="00903F89" w:rsidRDefault="00D7749B" w:rsidP="00903F89">
            <w:pPr>
              <w:jc w:val="both"/>
              <w:rPr>
                <w:rFonts w:cs="Arial"/>
                <w:b/>
                <w:sz w:val="20"/>
                <w:szCs w:val="20"/>
                <w:u w:val="single"/>
              </w:rPr>
            </w:pPr>
          </w:p>
        </w:tc>
        <w:tc>
          <w:tcPr>
            <w:tcW w:w="6195" w:type="dxa"/>
            <w:gridSpan w:val="7"/>
          </w:tcPr>
          <w:p w14:paraId="2E2DBF56" w14:textId="77777777" w:rsidR="00B63C97" w:rsidRPr="00903F89" w:rsidRDefault="00B63C97" w:rsidP="00903F89">
            <w:pPr>
              <w:jc w:val="both"/>
              <w:rPr>
                <w:rFonts w:cs="Arial"/>
                <w:sz w:val="20"/>
                <w:szCs w:val="20"/>
              </w:rPr>
            </w:pPr>
          </w:p>
        </w:tc>
        <w:tc>
          <w:tcPr>
            <w:tcW w:w="1481" w:type="dxa"/>
            <w:gridSpan w:val="2"/>
          </w:tcPr>
          <w:p w14:paraId="2C121465" w14:textId="77777777" w:rsidR="00B63C97" w:rsidRPr="00903F89" w:rsidRDefault="00B63C97" w:rsidP="00903F89">
            <w:pPr>
              <w:jc w:val="both"/>
              <w:rPr>
                <w:rFonts w:cs="Arial"/>
                <w:b/>
                <w:sz w:val="20"/>
                <w:szCs w:val="20"/>
                <w:u w:val="single"/>
              </w:rPr>
            </w:pPr>
          </w:p>
        </w:tc>
      </w:tr>
      <w:tr w:rsidR="007422AB" w:rsidRPr="00903F89" w14:paraId="67DCE0E4" w14:textId="77777777" w:rsidTr="007422AB">
        <w:tc>
          <w:tcPr>
            <w:tcW w:w="10773" w:type="dxa"/>
            <w:gridSpan w:val="15"/>
            <w:shd w:val="clear" w:color="auto" w:fill="FFFFFF" w:themeFill="background1"/>
          </w:tcPr>
          <w:p w14:paraId="0A8D3FFF" w14:textId="1BF7F6D1" w:rsidR="00B63C97" w:rsidRPr="00903F89" w:rsidRDefault="00B63C97" w:rsidP="00903F89">
            <w:pPr>
              <w:jc w:val="both"/>
              <w:rPr>
                <w:rFonts w:cs="Arial"/>
                <w:b/>
                <w:bCs/>
                <w:sz w:val="20"/>
                <w:szCs w:val="20"/>
                <w:u w:val="single"/>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106 – Αύξηση Μισθών </w:t>
            </w:r>
            <w:r w:rsidRPr="00903F89">
              <w:rPr>
                <w:rFonts w:eastAsia="Arial" w:cs="Arial"/>
                <w:sz w:val="20"/>
                <w:szCs w:val="20"/>
                <w:u w:val="single"/>
              </w:rPr>
              <w:t>–</w:t>
            </w:r>
            <w:r w:rsidRPr="00903F89">
              <w:rPr>
                <w:rFonts w:eastAsia="Arial" w:cs="Arial"/>
                <w:b/>
                <w:bCs/>
                <w:sz w:val="20"/>
                <w:szCs w:val="20"/>
                <w:u w:val="single"/>
              </w:rPr>
              <w:t xml:space="preserve"> </w:t>
            </w:r>
            <w:r w:rsidRPr="00903F89">
              <w:rPr>
                <w:rFonts w:cs="Arial"/>
                <w:b/>
                <w:bCs/>
                <w:sz w:val="20"/>
                <w:szCs w:val="20"/>
                <w:u w:val="single"/>
                <w:shd w:val="clear" w:color="auto" w:fill="FFFFFF" w:themeFill="background1"/>
              </w:rPr>
              <w:t>€</w:t>
            </w:r>
            <w:r w:rsidR="00B017CD" w:rsidRPr="00903F89">
              <w:rPr>
                <w:rFonts w:cs="Arial"/>
                <w:b/>
                <w:bCs/>
                <w:sz w:val="20"/>
                <w:szCs w:val="20"/>
                <w:u w:val="single"/>
                <w:shd w:val="clear" w:color="auto" w:fill="FFFFFF" w:themeFill="background1"/>
              </w:rPr>
              <w:t>10</w:t>
            </w:r>
          </w:p>
        </w:tc>
      </w:tr>
      <w:tr w:rsidR="007422AB" w:rsidRPr="00903F89" w14:paraId="3C740D58" w14:textId="77777777" w:rsidTr="007422AB">
        <w:tc>
          <w:tcPr>
            <w:tcW w:w="3097" w:type="dxa"/>
            <w:gridSpan w:val="6"/>
          </w:tcPr>
          <w:p w14:paraId="375A9020" w14:textId="77777777" w:rsidR="00B63C97" w:rsidRPr="00903F89" w:rsidRDefault="00B63C97" w:rsidP="00903F89">
            <w:pPr>
              <w:jc w:val="both"/>
              <w:rPr>
                <w:rFonts w:cs="Arial"/>
                <w:b/>
                <w:sz w:val="20"/>
                <w:szCs w:val="20"/>
                <w:u w:val="single"/>
              </w:rPr>
            </w:pPr>
          </w:p>
        </w:tc>
        <w:tc>
          <w:tcPr>
            <w:tcW w:w="6195" w:type="dxa"/>
            <w:gridSpan w:val="7"/>
            <w:shd w:val="clear" w:color="auto" w:fill="FFFFFF" w:themeFill="background1"/>
          </w:tcPr>
          <w:p w14:paraId="2857FB9C" w14:textId="77777777" w:rsidR="00B63C97" w:rsidRPr="00903F89" w:rsidRDefault="00B63C97" w:rsidP="00903F89">
            <w:pPr>
              <w:keepNext/>
              <w:jc w:val="both"/>
              <w:outlineLvl w:val="2"/>
              <w:rPr>
                <w:rFonts w:cs="Arial"/>
                <w:b/>
                <w:bCs/>
                <w:sz w:val="20"/>
                <w:szCs w:val="20"/>
                <w:u w:val="single"/>
              </w:rPr>
            </w:pPr>
          </w:p>
        </w:tc>
        <w:tc>
          <w:tcPr>
            <w:tcW w:w="1481" w:type="dxa"/>
            <w:gridSpan w:val="2"/>
          </w:tcPr>
          <w:p w14:paraId="525C5D4C" w14:textId="77777777" w:rsidR="00B63C97" w:rsidRPr="00903F89" w:rsidRDefault="00B63C97" w:rsidP="00903F89">
            <w:pPr>
              <w:jc w:val="both"/>
              <w:rPr>
                <w:rFonts w:cs="Arial"/>
                <w:b/>
                <w:sz w:val="20"/>
                <w:szCs w:val="20"/>
                <w:u w:val="single"/>
              </w:rPr>
            </w:pPr>
          </w:p>
        </w:tc>
      </w:tr>
      <w:tr w:rsidR="007422AB" w:rsidRPr="00903F89" w14:paraId="3B9456C4" w14:textId="77777777" w:rsidTr="007422AB">
        <w:tc>
          <w:tcPr>
            <w:tcW w:w="10773" w:type="dxa"/>
            <w:gridSpan w:val="15"/>
          </w:tcPr>
          <w:p w14:paraId="7CDF5F8C" w14:textId="5656C3D1" w:rsidR="00D66C8D" w:rsidRPr="00903F89" w:rsidRDefault="00D66C8D" w:rsidP="00903F89">
            <w:pPr>
              <w:jc w:val="both"/>
              <w:rPr>
                <w:rFonts w:cs="Arial"/>
                <w:sz w:val="20"/>
                <w:szCs w:val="20"/>
              </w:rPr>
            </w:pPr>
            <w:r w:rsidRPr="00903F89">
              <w:rPr>
                <w:rFonts w:cs="Arial"/>
                <w:sz w:val="20"/>
                <w:szCs w:val="20"/>
              </w:rPr>
              <w:t>Η πρόνοια του άρθρου είναι ενδεικτική, λαμβάνοντας υπόψη τις πρόνοιες του περί Αναδιαρθρώσεως του Κρατικού Μισθολογίου (Ενσωμάτωση Γενικών Αυξήσεων και του Τιμαριθμικού Επιδόματος και Ρύθμιση Άλλων Συναφών Θεμάτων) Νόμο του 2018 (Ν.56(Ι)/2018), σύμφωνα με τις οποίες οι γενικές αυξήσεις μισθών συνολικού ύψους 6,656%, με κατώτατο όριο αύξησης €880,69, και οι οποίες παραχωρήθηκαν διά των ακόλουθων Νόμων, ενσωματώθηκαν στους αναθεωρημένους βασικούς μισθούς:</w:t>
            </w:r>
          </w:p>
          <w:p w14:paraId="20616B55" w14:textId="77777777" w:rsidR="00D66C8D" w:rsidRPr="00903F89" w:rsidRDefault="00D66C8D" w:rsidP="00903F89">
            <w:pPr>
              <w:jc w:val="both"/>
              <w:rPr>
                <w:rFonts w:cs="Arial"/>
                <w:sz w:val="20"/>
                <w:szCs w:val="20"/>
              </w:rPr>
            </w:pPr>
          </w:p>
          <w:p w14:paraId="545F5DE4" w14:textId="4007DA89" w:rsidR="00D66C8D" w:rsidRPr="00903F89" w:rsidRDefault="00D66C8D" w:rsidP="006E5981">
            <w:pPr>
              <w:ind w:left="605" w:hanging="605"/>
              <w:jc w:val="both"/>
              <w:rPr>
                <w:rFonts w:cs="Arial"/>
                <w:sz w:val="20"/>
                <w:szCs w:val="20"/>
              </w:rPr>
            </w:pPr>
            <w:r w:rsidRPr="00903F89">
              <w:rPr>
                <w:rFonts w:cs="Arial"/>
                <w:sz w:val="20"/>
                <w:szCs w:val="20"/>
              </w:rPr>
              <w:t xml:space="preserve">(i) </w:t>
            </w:r>
            <w:r w:rsidR="007B2E91" w:rsidRPr="00903F89">
              <w:rPr>
                <w:rFonts w:cs="Arial"/>
                <w:sz w:val="20"/>
                <w:szCs w:val="20"/>
              </w:rPr>
              <w:tab/>
            </w:r>
            <w:r w:rsidRPr="00903F89">
              <w:rPr>
                <w:rFonts w:cs="Arial"/>
                <w:sz w:val="20"/>
                <w:szCs w:val="20"/>
              </w:rPr>
              <w:t>γενικές αυξήσεις 2%, διά του περί Κρατικών Υπαλλήλων (Αύξηση Μισθών και Συντάξεων) Νόμου του 2006,</w:t>
            </w:r>
          </w:p>
          <w:p w14:paraId="69A1CEA4" w14:textId="085799C2" w:rsidR="00D66C8D" w:rsidRPr="00903F89" w:rsidRDefault="00D66C8D" w:rsidP="006E5981">
            <w:pPr>
              <w:ind w:left="605" w:hanging="605"/>
              <w:jc w:val="both"/>
              <w:rPr>
                <w:rFonts w:cs="Arial"/>
                <w:sz w:val="20"/>
                <w:szCs w:val="20"/>
              </w:rPr>
            </w:pPr>
            <w:r w:rsidRPr="00903F89">
              <w:rPr>
                <w:rFonts w:cs="Arial"/>
                <w:sz w:val="20"/>
                <w:szCs w:val="20"/>
              </w:rPr>
              <w:t>(</w:t>
            </w:r>
            <w:proofErr w:type="spellStart"/>
            <w:r w:rsidRPr="00903F89">
              <w:rPr>
                <w:rFonts w:cs="Arial"/>
                <w:sz w:val="20"/>
                <w:szCs w:val="20"/>
              </w:rPr>
              <w:t>ii</w:t>
            </w:r>
            <w:proofErr w:type="spellEnd"/>
            <w:r w:rsidRPr="00903F89">
              <w:rPr>
                <w:rFonts w:cs="Arial"/>
                <w:sz w:val="20"/>
                <w:szCs w:val="20"/>
              </w:rPr>
              <w:t xml:space="preserve">) </w:t>
            </w:r>
            <w:r w:rsidR="007B2E91" w:rsidRPr="00903F89">
              <w:rPr>
                <w:rFonts w:cs="Arial"/>
                <w:sz w:val="20"/>
                <w:szCs w:val="20"/>
              </w:rPr>
              <w:tab/>
            </w:r>
            <w:r w:rsidRPr="00903F89">
              <w:rPr>
                <w:rFonts w:cs="Arial"/>
                <w:sz w:val="20"/>
                <w:szCs w:val="20"/>
              </w:rPr>
              <w:t xml:space="preserve">γενικές αυξήσεις 1%, διά του περί Κρατικών Υπαλλήλων (Αύξηση Μισθών και Συντάξεων) Νόμου του 2007, και </w:t>
            </w:r>
          </w:p>
          <w:p w14:paraId="119927B0" w14:textId="23B24EBE" w:rsidR="00B63C97" w:rsidRPr="00903F89" w:rsidRDefault="00D66C8D" w:rsidP="006E5981">
            <w:pPr>
              <w:ind w:left="605" w:hanging="605"/>
              <w:jc w:val="both"/>
              <w:rPr>
                <w:rFonts w:cs="Arial"/>
                <w:sz w:val="20"/>
                <w:szCs w:val="20"/>
              </w:rPr>
            </w:pPr>
            <w:r w:rsidRPr="00903F89">
              <w:rPr>
                <w:rFonts w:cs="Arial"/>
                <w:sz w:val="20"/>
                <w:szCs w:val="20"/>
              </w:rPr>
              <w:t>(</w:t>
            </w:r>
            <w:proofErr w:type="spellStart"/>
            <w:r w:rsidRPr="00903F89">
              <w:rPr>
                <w:rFonts w:cs="Arial"/>
                <w:sz w:val="20"/>
                <w:szCs w:val="20"/>
              </w:rPr>
              <w:t>iii</w:t>
            </w:r>
            <w:proofErr w:type="spellEnd"/>
            <w:r w:rsidRPr="00903F89">
              <w:rPr>
                <w:rFonts w:cs="Arial"/>
                <w:sz w:val="20"/>
                <w:szCs w:val="20"/>
              </w:rPr>
              <w:t xml:space="preserve">) </w:t>
            </w:r>
            <w:r w:rsidR="007B2E91" w:rsidRPr="00903F89">
              <w:rPr>
                <w:rFonts w:cs="Arial"/>
                <w:sz w:val="20"/>
                <w:szCs w:val="20"/>
              </w:rPr>
              <w:tab/>
            </w:r>
            <w:r w:rsidRPr="00903F89">
              <w:rPr>
                <w:rFonts w:cs="Arial"/>
                <w:sz w:val="20"/>
                <w:szCs w:val="20"/>
              </w:rPr>
              <w:t>γενικές αυξήσεις 3,53%, διά του περί Κρατικών Υπαλλήλων (Αύξηση Μισθών και Συντάξεων) Νόμου του 2008.</w:t>
            </w:r>
          </w:p>
        </w:tc>
      </w:tr>
      <w:tr w:rsidR="007422AB" w:rsidRPr="00903F89" w14:paraId="40AF3E30" w14:textId="77777777" w:rsidTr="007422AB">
        <w:tc>
          <w:tcPr>
            <w:tcW w:w="3097" w:type="dxa"/>
            <w:gridSpan w:val="6"/>
          </w:tcPr>
          <w:p w14:paraId="3B6F8E24" w14:textId="77777777" w:rsidR="00B63C97" w:rsidRPr="00903F89" w:rsidRDefault="00B63C97" w:rsidP="00903F89">
            <w:pPr>
              <w:jc w:val="both"/>
              <w:rPr>
                <w:rFonts w:cs="Arial"/>
                <w:b/>
                <w:sz w:val="20"/>
                <w:szCs w:val="20"/>
                <w:u w:val="single"/>
              </w:rPr>
            </w:pPr>
          </w:p>
        </w:tc>
        <w:tc>
          <w:tcPr>
            <w:tcW w:w="6195" w:type="dxa"/>
            <w:gridSpan w:val="7"/>
          </w:tcPr>
          <w:p w14:paraId="41ACDA89" w14:textId="77777777" w:rsidR="00B63C97" w:rsidRPr="00903F89" w:rsidRDefault="00B63C97" w:rsidP="00903F89">
            <w:pPr>
              <w:keepNext/>
              <w:jc w:val="both"/>
              <w:outlineLvl w:val="2"/>
              <w:rPr>
                <w:rFonts w:cs="Arial"/>
                <w:b/>
                <w:bCs/>
                <w:sz w:val="20"/>
                <w:szCs w:val="20"/>
                <w:u w:val="single"/>
              </w:rPr>
            </w:pPr>
          </w:p>
        </w:tc>
        <w:tc>
          <w:tcPr>
            <w:tcW w:w="1481" w:type="dxa"/>
            <w:gridSpan w:val="2"/>
          </w:tcPr>
          <w:p w14:paraId="1F48A359" w14:textId="77777777" w:rsidR="00B63C97" w:rsidRPr="00903F89" w:rsidRDefault="00B63C97" w:rsidP="00903F89">
            <w:pPr>
              <w:jc w:val="both"/>
              <w:rPr>
                <w:rFonts w:cs="Arial"/>
                <w:b/>
                <w:sz w:val="20"/>
                <w:szCs w:val="20"/>
                <w:u w:val="single"/>
              </w:rPr>
            </w:pPr>
          </w:p>
        </w:tc>
      </w:tr>
      <w:tr w:rsidR="007422AB" w:rsidRPr="00903F89" w14:paraId="08AE9AF4" w14:textId="77777777" w:rsidTr="007422AB">
        <w:trPr>
          <w:trHeight w:val="80"/>
        </w:trPr>
        <w:tc>
          <w:tcPr>
            <w:tcW w:w="10773" w:type="dxa"/>
            <w:gridSpan w:val="15"/>
          </w:tcPr>
          <w:p w14:paraId="2D4D4721" w14:textId="6C3AA90D" w:rsidR="00B63C97" w:rsidRPr="00903F89" w:rsidRDefault="00B63C97" w:rsidP="00903F89">
            <w:pPr>
              <w:jc w:val="both"/>
              <w:rPr>
                <w:rFonts w:eastAsia="Arial" w:cs="Arial"/>
                <w:b/>
                <w:bCs/>
                <w:sz w:val="20"/>
                <w:szCs w:val="20"/>
                <w:u w:val="single"/>
              </w:rPr>
            </w:pPr>
            <w:r w:rsidRPr="00903F89">
              <w:rPr>
                <w:rFonts w:cs="Arial"/>
                <w:sz w:val="20"/>
                <w:szCs w:val="20"/>
              </w:rPr>
              <w:t xml:space="preserve">Οι </w:t>
            </w:r>
            <w:r w:rsidR="00A35AFB" w:rsidRPr="00903F89">
              <w:rPr>
                <w:rFonts w:cs="Arial"/>
                <w:sz w:val="20"/>
                <w:szCs w:val="20"/>
              </w:rPr>
              <w:t xml:space="preserve">προηγούμενες </w:t>
            </w:r>
            <w:r w:rsidRPr="00903F89">
              <w:rPr>
                <w:rFonts w:cs="Arial"/>
                <w:sz w:val="20"/>
                <w:szCs w:val="20"/>
              </w:rPr>
              <w:t>γενικές αυξήσεις που παραχωρήθηκαν μέχρι τις 30</w:t>
            </w:r>
            <w:r w:rsidR="00A85AF3">
              <w:rPr>
                <w:rFonts w:cs="Arial"/>
                <w:sz w:val="20"/>
                <w:szCs w:val="20"/>
              </w:rPr>
              <w:t>/0</w:t>
            </w:r>
            <w:r w:rsidRPr="00903F89">
              <w:rPr>
                <w:rFonts w:cs="Arial"/>
                <w:sz w:val="20"/>
                <w:szCs w:val="20"/>
              </w:rPr>
              <w:t>6</w:t>
            </w:r>
            <w:r w:rsidR="00A85AF3">
              <w:rPr>
                <w:rFonts w:cs="Arial"/>
                <w:sz w:val="20"/>
                <w:szCs w:val="20"/>
              </w:rPr>
              <w:t>/</w:t>
            </w:r>
            <w:r w:rsidRPr="00903F89">
              <w:rPr>
                <w:rFonts w:cs="Arial"/>
                <w:sz w:val="20"/>
                <w:szCs w:val="20"/>
              </w:rPr>
              <w:t xml:space="preserve">2005 και οι οποίες ανερχόταν σε 44,447% </w:t>
            </w:r>
            <w:r w:rsidR="00A35AFB" w:rsidRPr="00903F89">
              <w:rPr>
                <w:rFonts w:cs="Arial"/>
                <w:sz w:val="20"/>
                <w:szCs w:val="20"/>
              </w:rPr>
              <w:t xml:space="preserve">είχαν ενσωματωθεί ήδη </w:t>
            </w:r>
            <w:r w:rsidRPr="00903F89">
              <w:rPr>
                <w:rFonts w:cs="Arial"/>
                <w:sz w:val="20"/>
                <w:szCs w:val="20"/>
              </w:rPr>
              <w:t xml:space="preserve">στους βασικούς μισθούς του προσωπικού, όπως αυτοί εγκρίθηκαν με τον Περί Αναδιάρθρωσης του Κρατικού Μισθολογίου Νόμο του 2005 (Ν50(Ι)/2005). </w:t>
            </w:r>
          </w:p>
        </w:tc>
      </w:tr>
      <w:tr w:rsidR="007422AB" w:rsidRPr="00903F89" w14:paraId="252B11D4" w14:textId="77777777" w:rsidTr="007422AB">
        <w:tc>
          <w:tcPr>
            <w:tcW w:w="10773" w:type="dxa"/>
            <w:gridSpan w:val="15"/>
          </w:tcPr>
          <w:p w14:paraId="67222D27" w14:textId="77777777" w:rsidR="00FA7BD2" w:rsidRPr="00903F89" w:rsidRDefault="00FA7BD2" w:rsidP="00903F89">
            <w:pPr>
              <w:jc w:val="both"/>
              <w:rPr>
                <w:rFonts w:cs="Arial"/>
                <w:sz w:val="20"/>
                <w:szCs w:val="20"/>
              </w:rPr>
            </w:pPr>
          </w:p>
        </w:tc>
      </w:tr>
      <w:tr w:rsidR="007422AB" w:rsidRPr="00903F89" w14:paraId="3D22289F" w14:textId="77777777" w:rsidTr="007422AB">
        <w:tc>
          <w:tcPr>
            <w:tcW w:w="10773" w:type="dxa"/>
            <w:gridSpan w:val="15"/>
          </w:tcPr>
          <w:p w14:paraId="11DBED10" w14:textId="12C47038" w:rsidR="00B63C97" w:rsidRPr="00903F89" w:rsidRDefault="00B63C97" w:rsidP="00903F89">
            <w:pPr>
              <w:jc w:val="both"/>
              <w:rPr>
                <w:rFonts w:eastAsia="Arial" w:cs="Arial"/>
                <w:b/>
                <w:bCs/>
                <w:sz w:val="20"/>
                <w:szCs w:val="20"/>
                <w:u w:val="single"/>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108 – </w:t>
            </w:r>
            <w:bookmarkStart w:id="11" w:name="_Hlk55903599"/>
            <w:r w:rsidRPr="00903F89">
              <w:rPr>
                <w:rFonts w:cs="Arial"/>
                <w:b/>
                <w:bCs/>
                <w:sz w:val="20"/>
                <w:szCs w:val="20"/>
                <w:u w:val="single"/>
              </w:rPr>
              <w:t xml:space="preserve">Πρόσθετες Υπηρεσίες Ακαδημαϊκού και Άλλου Προσωπικού από Μη Προβλεπόμενες Δαπάνες και Αποθεματικό </w:t>
            </w:r>
            <w:bookmarkEnd w:id="11"/>
            <w:r w:rsidRPr="00903F89">
              <w:rPr>
                <w:rFonts w:eastAsia="Arial" w:cs="Arial"/>
                <w:sz w:val="20"/>
                <w:szCs w:val="20"/>
                <w:u w:val="single"/>
              </w:rPr>
              <w:t>–</w:t>
            </w:r>
            <w:r w:rsidRPr="00903F89">
              <w:rPr>
                <w:rFonts w:eastAsia="Arial" w:cs="Arial"/>
                <w:b/>
                <w:bCs/>
                <w:sz w:val="20"/>
                <w:szCs w:val="20"/>
                <w:u w:val="single"/>
              </w:rPr>
              <w:t xml:space="preserve"> </w:t>
            </w:r>
            <w:r w:rsidR="00A35AFB" w:rsidRPr="00903F89">
              <w:rPr>
                <w:rFonts w:eastAsia="Arial" w:cs="Arial"/>
                <w:b/>
                <w:bCs/>
                <w:sz w:val="20"/>
                <w:szCs w:val="20"/>
                <w:u w:val="single"/>
              </w:rPr>
              <w:t>€</w:t>
            </w:r>
            <w:r w:rsidR="00E41495" w:rsidRPr="00903F89">
              <w:rPr>
                <w:rFonts w:cs="Arial"/>
                <w:b/>
                <w:bCs/>
                <w:sz w:val="20"/>
                <w:szCs w:val="20"/>
                <w:u w:val="single"/>
              </w:rPr>
              <w:t>2.766.550</w:t>
            </w:r>
          </w:p>
        </w:tc>
      </w:tr>
      <w:tr w:rsidR="007422AB" w:rsidRPr="00903F89" w14:paraId="4886BA55" w14:textId="77777777" w:rsidTr="007422AB">
        <w:tc>
          <w:tcPr>
            <w:tcW w:w="10773" w:type="dxa"/>
            <w:gridSpan w:val="15"/>
            <w:shd w:val="clear" w:color="auto" w:fill="auto"/>
          </w:tcPr>
          <w:p w14:paraId="3AC8E85B" w14:textId="1804A343" w:rsidR="00420DC1" w:rsidRPr="00903F89" w:rsidRDefault="00420DC1" w:rsidP="00903F89">
            <w:pPr>
              <w:jc w:val="both"/>
              <w:rPr>
                <w:rFonts w:cs="Arial"/>
                <w:sz w:val="20"/>
                <w:szCs w:val="20"/>
              </w:rPr>
            </w:pPr>
          </w:p>
        </w:tc>
      </w:tr>
      <w:tr w:rsidR="007422AB" w:rsidRPr="00903F89" w14:paraId="6F1F8142" w14:textId="77777777" w:rsidTr="007422AB">
        <w:tc>
          <w:tcPr>
            <w:tcW w:w="10773" w:type="dxa"/>
            <w:gridSpan w:val="15"/>
            <w:shd w:val="clear" w:color="auto" w:fill="auto"/>
          </w:tcPr>
          <w:p w14:paraId="42CDE037" w14:textId="498A64BC" w:rsidR="00420DC1" w:rsidRPr="00903F89" w:rsidRDefault="00C4737C" w:rsidP="00903F89">
            <w:pPr>
              <w:jc w:val="both"/>
              <w:rPr>
                <w:rFonts w:cs="Arial"/>
                <w:b/>
                <w:sz w:val="20"/>
                <w:szCs w:val="20"/>
              </w:rPr>
            </w:pPr>
            <w:r w:rsidRPr="00903F89">
              <w:rPr>
                <w:rFonts w:cs="Arial"/>
                <w:sz w:val="20"/>
                <w:szCs w:val="20"/>
              </w:rPr>
              <w:t>Οι πιστώσεις του παρόντος άρθρου καλύπτει αποζημιώσεις ακαδημαϊκού και άλλου προσωπικού στο Πανεπιστήμιο Κύπρου που προέρχονται από άλλα έσοδα και αποθεματικά εκτός κρατικής χορηγίας, και αφορούν οργανωτικές οντότητες όπως αυτοχρηματοδοτούμενα μεταπτυχιακά προγράμματα, το Πρόγραμμα Παιδαγωγικής Κατάρτισης Υποψηφίων Εκπαιδευτικών Λειτουργών Μέσης Γενικής και Μέσης Τεχνικής και Επαγγελματικής Εκπαίδευσης, κ.ά.</w:t>
            </w:r>
          </w:p>
        </w:tc>
      </w:tr>
      <w:tr w:rsidR="007422AB" w:rsidRPr="00903F89" w14:paraId="1231DD3A" w14:textId="77777777" w:rsidTr="007422AB">
        <w:tc>
          <w:tcPr>
            <w:tcW w:w="10773" w:type="dxa"/>
            <w:gridSpan w:val="15"/>
            <w:shd w:val="clear" w:color="auto" w:fill="auto"/>
          </w:tcPr>
          <w:p w14:paraId="609D6B7F" w14:textId="77777777" w:rsidR="00B63C97" w:rsidRPr="00903F89" w:rsidRDefault="00B63C97" w:rsidP="00903F89">
            <w:pPr>
              <w:jc w:val="both"/>
              <w:rPr>
                <w:rFonts w:cs="Arial"/>
                <w:sz w:val="20"/>
                <w:szCs w:val="20"/>
              </w:rPr>
            </w:pPr>
          </w:p>
        </w:tc>
      </w:tr>
      <w:tr w:rsidR="007422AB" w:rsidRPr="00903F89" w14:paraId="7D7D39F4" w14:textId="77777777" w:rsidTr="007422AB">
        <w:tc>
          <w:tcPr>
            <w:tcW w:w="10773" w:type="dxa"/>
            <w:gridSpan w:val="15"/>
            <w:shd w:val="clear" w:color="auto" w:fill="auto"/>
          </w:tcPr>
          <w:p w14:paraId="291749F6" w14:textId="5375FC69" w:rsidR="00236C74" w:rsidRPr="00903F89" w:rsidRDefault="00C4737C" w:rsidP="00903F89">
            <w:pPr>
              <w:jc w:val="both"/>
              <w:rPr>
                <w:rFonts w:cs="Arial"/>
                <w:sz w:val="20"/>
                <w:szCs w:val="20"/>
              </w:rPr>
            </w:pPr>
            <w:r w:rsidRPr="00903F89">
              <w:rPr>
                <w:rFonts w:cs="Arial"/>
                <w:sz w:val="20"/>
                <w:szCs w:val="20"/>
              </w:rPr>
              <w:t xml:space="preserve">Επίσης, το Συμφωνητικό Συνεργασίας μεταξύ Οργανισμού Κρατικών  Υπηρεσιών Υγείας (ΟΚΥπΥ) και Πανεπιστημίου Κύπρου για την Ιατρική Σχολή προνοεί και για την αξιοποίηση της τεχνογνωσίας των Πανεπιστημιακών Ιατρών ώστε αυτοί να εξασκούν τα κλινικά τους καθήκοντα σε δημόσια Νοσηλευτήρια. </w:t>
            </w:r>
            <w:r w:rsidR="003D5B94" w:rsidRPr="00903F89">
              <w:rPr>
                <w:rFonts w:cs="Arial"/>
                <w:sz w:val="20"/>
                <w:szCs w:val="20"/>
              </w:rPr>
              <w:t xml:space="preserve">Το </w:t>
            </w:r>
            <w:r w:rsidR="004878DD" w:rsidRPr="00903F89">
              <w:rPr>
                <w:rFonts w:cs="Arial"/>
                <w:sz w:val="20"/>
                <w:szCs w:val="20"/>
              </w:rPr>
              <w:t>ά</w:t>
            </w:r>
            <w:r w:rsidR="003D5B94" w:rsidRPr="00903F89">
              <w:rPr>
                <w:rFonts w:cs="Arial"/>
                <w:sz w:val="20"/>
                <w:szCs w:val="20"/>
              </w:rPr>
              <w:t xml:space="preserve">ρθρο αυτό μπορεί επίσης να καλύψει εφημερίες, υπερωρίες, κίνητρα αποδοτικότητας, απογευματινά ιατρεία και οποιεσδήποτε άλλες υπηρεσίες προνοεί το συμφωνητικό συνεργασίας με τον ΟΚΥπΥ. </w:t>
            </w:r>
            <w:r w:rsidRPr="00903F89">
              <w:rPr>
                <w:rFonts w:cs="Arial"/>
                <w:sz w:val="20"/>
                <w:szCs w:val="20"/>
              </w:rPr>
              <w:t>Οι πρόσθετες σχετικές απολαβές των Πανεπιστημιακών Ιατρών θα καταβάλλονται στο Πανεπιστήμιο Κύπρου από τον ΟΚΥπΥ, λαμβάνοντας υπόψη τις πρόνοιες της συμφωνίας συνεργασίας μεταξύ ΟΚΥπΥ και Πανεπιστημίου Κύπρου και τις σχετικές αποφάσεις του Υπουργικού Συμβουλίου.  Αναμένεται το 202</w:t>
            </w:r>
            <w:r w:rsidR="00E41495" w:rsidRPr="00903F89">
              <w:rPr>
                <w:rFonts w:cs="Arial"/>
                <w:sz w:val="20"/>
                <w:szCs w:val="20"/>
              </w:rPr>
              <w:t>2</w:t>
            </w:r>
            <w:r w:rsidRPr="00903F89">
              <w:rPr>
                <w:rFonts w:cs="Arial"/>
                <w:sz w:val="20"/>
                <w:szCs w:val="20"/>
              </w:rPr>
              <w:t xml:space="preserve"> σχετική είσπραξη ύψους €</w:t>
            </w:r>
            <w:r w:rsidR="009B68D7" w:rsidRPr="00903F89">
              <w:rPr>
                <w:rFonts w:cs="Arial"/>
                <w:sz w:val="20"/>
                <w:szCs w:val="20"/>
              </w:rPr>
              <w:t>1.500</w:t>
            </w:r>
            <w:r w:rsidRPr="00903F89">
              <w:rPr>
                <w:rFonts w:cs="Arial"/>
                <w:sz w:val="20"/>
                <w:szCs w:val="20"/>
              </w:rPr>
              <w:t>.000 η οποία θα χρηματοδοτήσει δαπάνες αντίστοιχου ύψους έναντι των πιστώσεων του παρόντος άρθρου.</w:t>
            </w:r>
          </w:p>
        </w:tc>
      </w:tr>
      <w:tr w:rsidR="007422AB" w:rsidRPr="00903F89" w14:paraId="1C5389DF" w14:textId="77777777" w:rsidTr="007422AB">
        <w:tc>
          <w:tcPr>
            <w:tcW w:w="3097" w:type="dxa"/>
            <w:gridSpan w:val="6"/>
          </w:tcPr>
          <w:p w14:paraId="475ADEED" w14:textId="77777777" w:rsidR="00B63C97" w:rsidRPr="00903F89" w:rsidRDefault="00B63C97" w:rsidP="00903F89">
            <w:pPr>
              <w:jc w:val="both"/>
              <w:rPr>
                <w:rFonts w:cs="Arial"/>
                <w:b/>
                <w:sz w:val="20"/>
                <w:szCs w:val="20"/>
                <w:u w:val="single"/>
              </w:rPr>
            </w:pPr>
          </w:p>
        </w:tc>
        <w:tc>
          <w:tcPr>
            <w:tcW w:w="6195" w:type="dxa"/>
            <w:gridSpan w:val="7"/>
          </w:tcPr>
          <w:p w14:paraId="0426FAA6" w14:textId="77777777" w:rsidR="00B63C97" w:rsidRPr="00903F89" w:rsidRDefault="00B63C97" w:rsidP="00903F89">
            <w:pPr>
              <w:keepNext/>
              <w:jc w:val="both"/>
              <w:outlineLvl w:val="2"/>
              <w:rPr>
                <w:rFonts w:cs="Arial"/>
                <w:b/>
                <w:bCs/>
                <w:sz w:val="20"/>
                <w:szCs w:val="20"/>
                <w:u w:val="single"/>
              </w:rPr>
            </w:pPr>
          </w:p>
        </w:tc>
        <w:tc>
          <w:tcPr>
            <w:tcW w:w="1481" w:type="dxa"/>
            <w:gridSpan w:val="2"/>
          </w:tcPr>
          <w:p w14:paraId="666A6FE5" w14:textId="77777777" w:rsidR="00B63C97" w:rsidRPr="00903F89" w:rsidRDefault="00B63C97" w:rsidP="00903F89">
            <w:pPr>
              <w:jc w:val="both"/>
              <w:rPr>
                <w:rFonts w:cs="Arial"/>
                <w:b/>
                <w:sz w:val="20"/>
                <w:szCs w:val="20"/>
                <w:u w:val="single"/>
              </w:rPr>
            </w:pPr>
          </w:p>
        </w:tc>
      </w:tr>
      <w:tr w:rsidR="007422AB" w:rsidRPr="00903F89" w14:paraId="20C871F7" w14:textId="77777777" w:rsidTr="007422AB">
        <w:tc>
          <w:tcPr>
            <w:tcW w:w="10773" w:type="dxa"/>
            <w:gridSpan w:val="15"/>
            <w:shd w:val="clear" w:color="auto" w:fill="auto"/>
          </w:tcPr>
          <w:p w14:paraId="0BD90CB0" w14:textId="1511CD7B" w:rsidR="00B63C97" w:rsidRPr="00903F89" w:rsidRDefault="00B63C97" w:rsidP="00903F89">
            <w:pPr>
              <w:ind w:right="54"/>
              <w:jc w:val="both"/>
              <w:rPr>
                <w:rFonts w:eastAsia="Arial" w:cs="Arial"/>
                <w:b/>
                <w:bCs/>
                <w:sz w:val="20"/>
                <w:szCs w:val="20"/>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122 – Ειδικά Επιδόματα Ακαδημαϊκού Προσωπικού – €</w:t>
            </w:r>
            <w:r w:rsidR="004963EC" w:rsidRPr="00903F89">
              <w:rPr>
                <w:rFonts w:cs="Arial"/>
                <w:b/>
                <w:bCs/>
                <w:sz w:val="20"/>
                <w:szCs w:val="20"/>
                <w:u w:val="single"/>
              </w:rPr>
              <w:t>32.266</w:t>
            </w:r>
          </w:p>
        </w:tc>
      </w:tr>
      <w:tr w:rsidR="007422AB" w:rsidRPr="00903F89" w14:paraId="246F2450" w14:textId="77777777" w:rsidTr="007422AB">
        <w:tc>
          <w:tcPr>
            <w:tcW w:w="10773" w:type="dxa"/>
            <w:gridSpan w:val="15"/>
            <w:shd w:val="clear" w:color="auto" w:fill="auto"/>
          </w:tcPr>
          <w:p w14:paraId="61736ED1" w14:textId="77777777" w:rsidR="00A35AFB" w:rsidRPr="00903F89" w:rsidRDefault="00A35AFB" w:rsidP="00903F89">
            <w:pPr>
              <w:ind w:right="54"/>
              <w:jc w:val="both"/>
              <w:rPr>
                <w:rFonts w:cs="Arial"/>
                <w:b/>
                <w:bCs/>
                <w:sz w:val="20"/>
                <w:szCs w:val="20"/>
                <w:u w:val="single"/>
              </w:rPr>
            </w:pPr>
          </w:p>
        </w:tc>
      </w:tr>
      <w:tr w:rsidR="007422AB" w:rsidRPr="00903F89" w14:paraId="3F485833" w14:textId="77777777" w:rsidTr="007422AB">
        <w:tc>
          <w:tcPr>
            <w:tcW w:w="10773" w:type="dxa"/>
            <w:gridSpan w:val="15"/>
            <w:shd w:val="clear" w:color="auto" w:fill="auto"/>
          </w:tcPr>
          <w:p w14:paraId="25C67E78" w14:textId="44B3D7F5" w:rsidR="00C4737C" w:rsidRDefault="00C4737C" w:rsidP="00903F89">
            <w:pPr>
              <w:jc w:val="both"/>
              <w:rPr>
                <w:rFonts w:cs="Arial"/>
                <w:sz w:val="20"/>
                <w:szCs w:val="20"/>
              </w:rPr>
            </w:pPr>
            <w:r w:rsidRPr="00903F89">
              <w:rPr>
                <w:rFonts w:cs="Arial"/>
                <w:sz w:val="20"/>
                <w:szCs w:val="20"/>
              </w:rPr>
              <w:t xml:space="preserve">Η πρόνοια θα καλύψει: </w:t>
            </w:r>
          </w:p>
          <w:p w14:paraId="4270B1EA" w14:textId="77777777" w:rsidR="006E5981" w:rsidRPr="00903F89" w:rsidRDefault="006E5981" w:rsidP="00903F89">
            <w:pPr>
              <w:jc w:val="both"/>
              <w:rPr>
                <w:rFonts w:cs="Arial"/>
                <w:sz w:val="20"/>
                <w:szCs w:val="20"/>
              </w:rPr>
            </w:pPr>
          </w:p>
          <w:p w14:paraId="4AEE81F5" w14:textId="786624A9" w:rsidR="00C4737C" w:rsidRDefault="00C4737C" w:rsidP="006E5981">
            <w:pPr>
              <w:ind w:left="605" w:hanging="605"/>
              <w:jc w:val="both"/>
              <w:rPr>
                <w:rFonts w:cs="Arial"/>
                <w:sz w:val="20"/>
                <w:szCs w:val="20"/>
              </w:rPr>
            </w:pPr>
            <w:r w:rsidRPr="00903F89">
              <w:rPr>
                <w:rFonts w:cs="Arial"/>
                <w:sz w:val="20"/>
                <w:szCs w:val="20"/>
              </w:rPr>
              <w:t xml:space="preserve">(α) </w:t>
            </w:r>
            <w:r w:rsidR="006E5981">
              <w:rPr>
                <w:rFonts w:cs="Arial"/>
                <w:sz w:val="20"/>
                <w:szCs w:val="20"/>
              </w:rPr>
              <w:tab/>
            </w:r>
            <w:r w:rsidRPr="00903F89">
              <w:rPr>
                <w:rFonts w:cs="Arial"/>
                <w:sz w:val="20"/>
                <w:szCs w:val="20"/>
              </w:rPr>
              <w:t>το ειδικό επίδομα του Πρύτανη (€5.126) και των Αντιπρυτάνεων (€3.417) το οποίο διατίθεται μειωμένο κατά 15%, δηλαδή €4.357 και €2.905, αντίστοιχα (</w:t>
            </w:r>
            <w:bookmarkStart w:id="12" w:name="_Hlk87948961"/>
            <w:r w:rsidR="00A85AF3" w:rsidRPr="00903F89">
              <w:rPr>
                <w:rFonts w:cs="Arial"/>
                <w:sz w:val="20"/>
                <w:szCs w:val="20"/>
              </w:rPr>
              <w:t>Απόφαση Επιτροπής Προσωπικού και Κανονισμών</w:t>
            </w:r>
            <w:r w:rsidR="00A85AF3">
              <w:rPr>
                <w:rFonts w:cs="Arial"/>
                <w:sz w:val="20"/>
                <w:szCs w:val="20"/>
              </w:rPr>
              <w:t xml:space="preserve"> του Συμβουλίου</w:t>
            </w:r>
            <w:r w:rsidR="00541234" w:rsidRPr="00903F89">
              <w:rPr>
                <w:rFonts w:cs="Arial"/>
                <w:sz w:val="20"/>
                <w:szCs w:val="20"/>
              </w:rPr>
              <w:t>,</w:t>
            </w:r>
            <w:r w:rsidRPr="00903F89">
              <w:rPr>
                <w:rFonts w:cs="Arial"/>
                <w:sz w:val="20"/>
                <w:szCs w:val="20"/>
              </w:rPr>
              <w:t xml:space="preserve"> Συνεδρία Αρ. 12/2018</w:t>
            </w:r>
            <w:r w:rsidR="004C56E7" w:rsidRPr="00903F89">
              <w:rPr>
                <w:rFonts w:cs="Arial"/>
                <w:sz w:val="20"/>
                <w:szCs w:val="20"/>
              </w:rPr>
              <w:t>, ημερ. 19/09/2018</w:t>
            </w:r>
            <w:r w:rsidRPr="00903F89">
              <w:rPr>
                <w:rFonts w:cs="Arial"/>
                <w:sz w:val="20"/>
                <w:szCs w:val="20"/>
              </w:rPr>
              <w:t>)</w:t>
            </w:r>
            <w:bookmarkEnd w:id="12"/>
            <w:r w:rsidRPr="00903F89">
              <w:rPr>
                <w:rFonts w:cs="Arial"/>
                <w:sz w:val="20"/>
                <w:szCs w:val="20"/>
              </w:rPr>
              <w:t xml:space="preserve">, καθώς και </w:t>
            </w:r>
          </w:p>
          <w:p w14:paraId="0199729E" w14:textId="77777777" w:rsidR="006E5981" w:rsidRPr="00903F89" w:rsidRDefault="006E5981" w:rsidP="006E5981">
            <w:pPr>
              <w:ind w:left="605" w:hanging="605"/>
              <w:jc w:val="both"/>
              <w:rPr>
                <w:rFonts w:cs="Arial"/>
                <w:sz w:val="20"/>
                <w:szCs w:val="20"/>
              </w:rPr>
            </w:pPr>
          </w:p>
          <w:p w14:paraId="16185A2E" w14:textId="31AFEA14" w:rsidR="00C4737C" w:rsidRPr="00903F89" w:rsidRDefault="00C4737C" w:rsidP="006E5981">
            <w:pPr>
              <w:ind w:left="605" w:hanging="605"/>
              <w:jc w:val="both"/>
              <w:rPr>
                <w:rFonts w:cs="Arial"/>
                <w:sz w:val="20"/>
                <w:szCs w:val="20"/>
              </w:rPr>
            </w:pPr>
            <w:r w:rsidRPr="00903F89">
              <w:rPr>
                <w:rFonts w:cs="Arial"/>
                <w:sz w:val="20"/>
                <w:szCs w:val="20"/>
              </w:rPr>
              <w:t xml:space="preserve">(β) </w:t>
            </w:r>
            <w:r w:rsidR="006E5981">
              <w:rPr>
                <w:rFonts w:cs="Arial"/>
                <w:sz w:val="20"/>
                <w:szCs w:val="20"/>
              </w:rPr>
              <w:tab/>
            </w:r>
            <w:r w:rsidRPr="00903F89">
              <w:rPr>
                <w:rFonts w:cs="Arial"/>
                <w:sz w:val="20"/>
                <w:szCs w:val="20"/>
              </w:rPr>
              <w:t>το 85% του επιδόματος έρευνας (€26.000), που εγκρίθηκε σε μέλος Ακαδημαϊκού Προσωπικού, από έσοδα εκτός κρατικής χορηγίας</w:t>
            </w:r>
            <w:r w:rsidR="00322BFB" w:rsidRPr="00903F89">
              <w:rPr>
                <w:rFonts w:cs="Arial"/>
                <w:sz w:val="20"/>
                <w:szCs w:val="20"/>
              </w:rPr>
              <w:t>.</w:t>
            </w:r>
          </w:p>
        </w:tc>
      </w:tr>
      <w:tr w:rsidR="007422AB" w:rsidRPr="00903F89" w14:paraId="2983C376" w14:textId="77777777" w:rsidTr="007422AB">
        <w:tc>
          <w:tcPr>
            <w:tcW w:w="10773" w:type="dxa"/>
            <w:gridSpan w:val="15"/>
            <w:shd w:val="clear" w:color="auto" w:fill="auto"/>
          </w:tcPr>
          <w:p w14:paraId="27EC263D" w14:textId="77777777" w:rsidR="00C4737C" w:rsidRPr="00903F89" w:rsidRDefault="00C4737C" w:rsidP="00903F89">
            <w:pPr>
              <w:jc w:val="both"/>
              <w:rPr>
                <w:rFonts w:cs="Arial"/>
                <w:sz w:val="20"/>
                <w:szCs w:val="20"/>
              </w:rPr>
            </w:pPr>
          </w:p>
        </w:tc>
      </w:tr>
      <w:tr w:rsidR="007422AB" w:rsidRPr="00903F89" w14:paraId="189BF064" w14:textId="77777777" w:rsidTr="007422AB">
        <w:tc>
          <w:tcPr>
            <w:tcW w:w="10773" w:type="dxa"/>
            <w:gridSpan w:val="15"/>
            <w:shd w:val="clear" w:color="auto" w:fill="auto"/>
          </w:tcPr>
          <w:p w14:paraId="7A834285" w14:textId="194D273D" w:rsidR="009F000C" w:rsidRPr="00903F89" w:rsidRDefault="009F000C" w:rsidP="00903F89">
            <w:pPr>
              <w:jc w:val="both"/>
              <w:rPr>
                <w:rFonts w:cs="Arial"/>
                <w:sz w:val="20"/>
                <w:szCs w:val="20"/>
              </w:rPr>
            </w:pPr>
            <w:r w:rsidRPr="00903F89">
              <w:rPr>
                <w:rFonts w:cs="Arial"/>
                <w:sz w:val="20"/>
                <w:szCs w:val="20"/>
              </w:rPr>
              <w:t xml:space="preserve">Η πρόνοια ενδέχεται να αναθεωρηθεί εν όψει </w:t>
            </w:r>
            <w:r w:rsidR="006E5981">
              <w:rPr>
                <w:rFonts w:cs="Arial"/>
                <w:sz w:val="20"/>
                <w:szCs w:val="20"/>
              </w:rPr>
              <w:t>α</w:t>
            </w:r>
            <w:r w:rsidR="006E5981" w:rsidRPr="00903F89">
              <w:rPr>
                <w:rFonts w:cs="Arial"/>
                <w:sz w:val="20"/>
                <w:szCs w:val="20"/>
              </w:rPr>
              <w:t>ποφάσ</w:t>
            </w:r>
            <w:r w:rsidR="006E5981">
              <w:rPr>
                <w:rFonts w:cs="Arial"/>
                <w:sz w:val="20"/>
                <w:szCs w:val="20"/>
              </w:rPr>
              <w:t xml:space="preserve">εων </w:t>
            </w:r>
            <w:r w:rsidRPr="00903F89">
              <w:rPr>
                <w:rFonts w:cs="Arial"/>
                <w:sz w:val="20"/>
                <w:szCs w:val="20"/>
              </w:rPr>
              <w:t xml:space="preserve">Δικαστηρίου, επί </w:t>
            </w:r>
            <w:r w:rsidR="006E5981" w:rsidRPr="00903F89">
              <w:rPr>
                <w:rFonts w:cs="Arial"/>
                <w:sz w:val="20"/>
                <w:szCs w:val="20"/>
              </w:rPr>
              <w:t>προσφυγ</w:t>
            </w:r>
            <w:r w:rsidR="006E5981">
              <w:rPr>
                <w:rFonts w:cs="Arial"/>
                <w:sz w:val="20"/>
                <w:szCs w:val="20"/>
              </w:rPr>
              <w:t xml:space="preserve">ών </w:t>
            </w:r>
            <w:r w:rsidRPr="00903F89">
              <w:rPr>
                <w:rFonts w:cs="Arial"/>
                <w:sz w:val="20"/>
                <w:szCs w:val="20"/>
              </w:rPr>
              <w:t>που αιτήθηκαν μέλη Ακαδημαϊκού Προσωπικού για την αποκοπή του Ειδικού Επιδόματος που τους παραχωρούσε το Πανεπιστήμιο Κύπρου ως μέλη του Ακαδημαϊκού Προσωπικού στη βαθμίδα Καθηγητή ή Αναπληρωτή Καθηγητή, με τη ψήφιση του Προϋπολογισμού του Πανεπιστημίου Κύπρου για το 2013.</w:t>
            </w:r>
          </w:p>
        </w:tc>
      </w:tr>
      <w:tr w:rsidR="007422AB" w:rsidRPr="00903F89" w14:paraId="6BE91162" w14:textId="77777777" w:rsidTr="007422AB">
        <w:tc>
          <w:tcPr>
            <w:tcW w:w="10773" w:type="dxa"/>
            <w:gridSpan w:val="15"/>
            <w:shd w:val="clear" w:color="auto" w:fill="auto"/>
          </w:tcPr>
          <w:p w14:paraId="4760E975" w14:textId="77777777" w:rsidR="00B63C97" w:rsidRPr="00903F89" w:rsidRDefault="00B63C97" w:rsidP="00903F89">
            <w:pPr>
              <w:jc w:val="both"/>
              <w:rPr>
                <w:rFonts w:cs="Arial"/>
                <w:sz w:val="20"/>
                <w:szCs w:val="20"/>
              </w:rPr>
            </w:pPr>
          </w:p>
        </w:tc>
      </w:tr>
      <w:tr w:rsidR="007422AB" w:rsidRPr="00903F89" w14:paraId="1ABF910B" w14:textId="77777777" w:rsidTr="007422AB">
        <w:tc>
          <w:tcPr>
            <w:tcW w:w="10773" w:type="dxa"/>
            <w:gridSpan w:val="15"/>
            <w:shd w:val="clear" w:color="auto" w:fill="auto"/>
          </w:tcPr>
          <w:p w14:paraId="1BA4C252" w14:textId="67049B32" w:rsidR="00B63C97" w:rsidRPr="00903F89" w:rsidRDefault="00AF28C9" w:rsidP="00903F89">
            <w:pPr>
              <w:jc w:val="both"/>
              <w:rPr>
                <w:rFonts w:eastAsia="Arial" w:cs="Arial"/>
                <w:b/>
                <w:bCs/>
                <w:sz w:val="20"/>
                <w:szCs w:val="20"/>
                <w:u w:val="single"/>
              </w:rPr>
            </w:pPr>
            <w:bookmarkStart w:id="13" w:name="_Hlk46909536"/>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131 – Ιατροφαρμακευτική Περίθαλψη – €</w:t>
            </w:r>
            <w:r w:rsidR="004963EC" w:rsidRPr="00903F89">
              <w:rPr>
                <w:rFonts w:cs="Arial"/>
                <w:b/>
                <w:bCs/>
                <w:sz w:val="20"/>
                <w:szCs w:val="20"/>
                <w:u w:val="single"/>
              </w:rPr>
              <w:t>6</w:t>
            </w:r>
            <w:r w:rsidR="00521823" w:rsidRPr="00903F89">
              <w:rPr>
                <w:rFonts w:cs="Arial"/>
                <w:b/>
                <w:bCs/>
                <w:sz w:val="20"/>
                <w:szCs w:val="20"/>
                <w:u w:val="single"/>
              </w:rPr>
              <w:t>0.000</w:t>
            </w:r>
          </w:p>
        </w:tc>
      </w:tr>
      <w:tr w:rsidR="007422AB" w:rsidRPr="00903F89" w14:paraId="128B2B42" w14:textId="77777777" w:rsidTr="007422AB">
        <w:tc>
          <w:tcPr>
            <w:tcW w:w="10773" w:type="dxa"/>
            <w:gridSpan w:val="15"/>
            <w:shd w:val="clear" w:color="auto" w:fill="auto"/>
          </w:tcPr>
          <w:p w14:paraId="33B3C4A1" w14:textId="77777777" w:rsidR="00BB7FB4" w:rsidRPr="00903F89" w:rsidRDefault="00BB7FB4" w:rsidP="00903F89">
            <w:pPr>
              <w:jc w:val="both"/>
              <w:rPr>
                <w:rFonts w:cs="Arial"/>
                <w:b/>
                <w:bCs/>
                <w:sz w:val="20"/>
                <w:szCs w:val="20"/>
                <w:u w:val="single"/>
              </w:rPr>
            </w:pPr>
          </w:p>
        </w:tc>
      </w:tr>
      <w:tr w:rsidR="007422AB" w:rsidRPr="00903F89" w14:paraId="5C54BA98" w14:textId="77777777" w:rsidTr="007422AB">
        <w:tc>
          <w:tcPr>
            <w:tcW w:w="10773" w:type="dxa"/>
            <w:gridSpan w:val="15"/>
            <w:shd w:val="clear" w:color="auto" w:fill="auto"/>
          </w:tcPr>
          <w:p w14:paraId="342A7845" w14:textId="16D4B242" w:rsidR="00236C74" w:rsidRPr="00903F89" w:rsidRDefault="00E93401" w:rsidP="00903F89">
            <w:pPr>
              <w:jc w:val="both"/>
              <w:rPr>
                <w:rFonts w:cs="Arial"/>
                <w:sz w:val="20"/>
                <w:szCs w:val="20"/>
              </w:rPr>
            </w:pPr>
            <w:r w:rsidRPr="00903F89">
              <w:rPr>
                <w:rFonts w:cs="Arial"/>
                <w:sz w:val="20"/>
                <w:szCs w:val="20"/>
              </w:rPr>
              <w:t xml:space="preserve">Η πρόνοια προορίζεται να καλύψει δαπάνες για αγορά υπηρεσιών ιατροφαρμακευτικής περίθαλψης των μελών ακαδημαϊκού και άλλου προσωπικού του Πανεπιστημίου Κύπρου σε περίπτωση έκτακτης ανάγκης όταν βρίσκονται για υπηρεσιακούς λόγους εκτός Ευρώπης και η Ευρωπαϊκή Κάρτα Ασφάλισης Υγείας δεν ισχύει. Επίσης η πρόνοια προορίζεται να καλύψει δαπάνες για αγορά υπηρεσιών ιατροφαρμακευτικής περίθαλψης που δεν καλύπτονται από το ΓεΣΥ. </w:t>
            </w:r>
          </w:p>
        </w:tc>
      </w:tr>
      <w:bookmarkEnd w:id="13"/>
      <w:tr w:rsidR="007422AB" w:rsidRPr="00903F89" w14:paraId="3C265950" w14:textId="77777777" w:rsidTr="007422AB">
        <w:trPr>
          <w:trHeight w:val="80"/>
        </w:trPr>
        <w:tc>
          <w:tcPr>
            <w:tcW w:w="10773" w:type="dxa"/>
            <w:gridSpan w:val="15"/>
            <w:shd w:val="clear" w:color="auto" w:fill="auto"/>
          </w:tcPr>
          <w:p w14:paraId="6F5F755D" w14:textId="77777777" w:rsidR="009C4525" w:rsidRPr="00903F89" w:rsidRDefault="009C4525" w:rsidP="00903F89">
            <w:pPr>
              <w:ind w:right="-21"/>
              <w:jc w:val="both"/>
              <w:rPr>
                <w:rFonts w:cs="Arial"/>
                <w:sz w:val="20"/>
                <w:szCs w:val="20"/>
              </w:rPr>
            </w:pPr>
          </w:p>
        </w:tc>
      </w:tr>
      <w:tr w:rsidR="007422AB" w:rsidRPr="00903F89" w14:paraId="1F1181F6" w14:textId="77777777" w:rsidTr="007422AB">
        <w:tc>
          <w:tcPr>
            <w:tcW w:w="10773" w:type="dxa"/>
            <w:gridSpan w:val="15"/>
            <w:shd w:val="clear" w:color="auto" w:fill="FFFFFF" w:themeFill="background1"/>
          </w:tcPr>
          <w:p w14:paraId="663F223E" w14:textId="5739319A" w:rsidR="004434DE" w:rsidRPr="00903F89" w:rsidRDefault="004434DE" w:rsidP="00903F89">
            <w:pPr>
              <w:jc w:val="both"/>
              <w:rPr>
                <w:rFonts w:cs="Arial"/>
                <w:b/>
                <w:bCs/>
                <w:sz w:val="20"/>
                <w:szCs w:val="20"/>
                <w:u w:val="single"/>
                <w:shd w:val="clear" w:color="auto" w:fill="FFFFFF" w:themeFill="background1"/>
                <w:lang w:val="en-US"/>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132 – Ταμείο Κοινωνικών Ασφαλίσεων – </w:t>
            </w:r>
            <w:r w:rsidRPr="00903F89">
              <w:rPr>
                <w:rFonts w:cs="Arial"/>
                <w:b/>
                <w:bCs/>
                <w:sz w:val="20"/>
                <w:szCs w:val="20"/>
                <w:u w:val="single"/>
                <w:shd w:val="clear" w:color="auto" w:fill="FFFFFF" w:themeFill="background1"/>
              </w:rPr>
              <w:t>€</w:t>
            </w:r>
            <w:r w:rsidR="00B613A0" w:rsidRPr="00903F89">
              <w:rPr>
                <w:rFonts w:cs="Arial"/>
                <w:b/>
                <w:sz w:val="20"/>
                <w:szCs w:val="20"/>
                <w:u w:val="single"/>
              </w:rPr>
              <w:t>2.495.963</w:t>
            </w:r>
          </w:p>
        </w:tc>
      </w:tr>
      <w:tr w:rsidR="007422AB" w:rsidRPr="00903F89" w14:paraId="797261A8" w14:textId="77777777" w:rsidTr="007422AB">
        <w:tc>
          <w:tcPr>
            <w:tcW w:w="2653" w:type="dxa"/>
            <w:gridSpan w:val="4"/>
          </w:tcPr>
          <w:p w14:paraId="77BF2534" w14:textId="77777777" w:rsidR="004434DE" w:rsidRPr="00903F89" w:rsidRDefault="004434DE" w:rsidP="00903F89">
            <w:pPr>
              <w:jc w:val="both"/>
              <w:rPr>
                <w:rFonts w:cs="Arial"/>
                <w:b/>
                <w:sz w:val="20"/>
                <w:szCs w:val="20"/>
                <w:u w:val="single"/>
              </w:rPr>
            </w:pPr>
          </w:p>
        </w:tc>
        <w:tc>
          <w:tcPr>
            <w:tcW w:w="6259" w:type="dxa"/>
            <w:gridSpan w:val="8"/>
            <w:shd w:val="clear" w:color="auto" w:fill="FFFFFF" w:themeFill="background1"/>
          </w:tcPr>
          <w:p w14:paraId="7B033280" w14:textId="77777777" w:rsidR="004434DE" w:rsidRPr="00903F89" w:rsidRDefault="004434DE" w:rsidP="00903F89">
            <w:pPr>
              <w:jc w:val="both"/>
              <w:rPr>
                <w:rFonts w:cs="Arial"/>
                <w:sz w:val="20"/>
                <w:szCs w:val="20"/>
              </w:rPr>
            </w:pPr>
          </w:p>
        </w:tc>
        <w:tc>
          <w:tcPr>
            <w:tcW w:w="1861" w:type="dxa"/>
            <w:gridSpan w:val="3"/>
          </w:tcPr>
          <w:p w14:paraId="44B54705" w14:textId="77777777" w:rsidR="004434DE" w:rsidRPr="00903F89" w:rsidRDefault="004434DE" w:rsidP="00903F89">
            <w:pPr>
              <w:jc w:val="both"/>
              <w:rPr>
                <w:rFonts w:cs="Arial"/>
                <w:b/>
                <w:sz w:val="20"/>
                <w:szCs w:val="20"/>
                <w:u w:val="single"/>
              </w:rPr>
            </w:pPr>
          </w:p>
        </w:tc>
      </w:tr>
      <w:tr w:rsidR="007422AB" w:rsidRPr="00903F89" w14:paraId="2FBBC814" w14:textId="77777777" w:rsidTr="007422AB">
        <w:tc>
          <w:tcPr>
            <w:tcW w:w="10773" w:type="dxa"/>
            <w:gridSpan w:val="15"/>
            <w:shd w:val="clear" w:color="auto" w:fill="FFFFFF" w:themeFill="background1"/>
          </w:tcPr>
          <w:p w14:paraId="77130535" w14:textId="76E82405" w:rsidR="004434DE" w:rsidRPr="00903F89" w:rsidRDefault="004434DE" w:rsidP="00903F89">
            <w:pPr>
              <w:jc w:val="both"/>
              <w:rPr>
                <w:rFonts w:eastAsia="Arial" w:cs="Arial"/>
                <w:b/>
                <w:bCs/>
                <w:sz w:val="20"/>
                <w:szCs w:val="20"/>
                <w:u w:val="single"/>
              </w:rPr>
            </w:pPr>
            <w:r w:rsidRPr="00903F89">
              <w:rPr>
                <w:rFonts w:cs="Arial"/>
                <w:sz w:val="20"/>
                <w:szCs w:val="20"/>
              </w:rPr>
              <w:t>Η πρόνοια αφορά τις συνεισφορές του Πανεπιστημίου Κύπρου στο αναλογικό σχέδιο Κοινωνικών Ασφαλίσεων για το Ακαδημαϊκό και Άλλο Προσωπικό που πληροί ή αναμένεται ότι θα πληροί οργανική θέση εντός του 202</w:t>
            </w:r>
            <w:r w:rsidR="00E41495" w:rsidRPr="00903F89">
              <w:rPr>
                <w:rFonts w:cs="Arial"/>
                <w:sz w:val="20"/>
                <w:szCs w:val="20"/>
              </w:rPr>
              <w:t>2</w:t>
            </w:r>
            <w:r w:rsidRPr="00903F89">
              <w:rPr>
                <w:rFonts w:cs="Arial"/>
                <w:sz w:val="20"/>
                <w:szCs w:val="20"/>
              </w:rPr>
              <w:t>.  Η πρόνοια αναθεωρήθηκε λαμβάνοντας υπόψη  και τις πρόνοιες του Νόμου Ν</w:t>
            </w:r>
            <w:r w:rsidRPr="00903F89">
              <w:rPr>
                <w:rFonts w:eastAsia="Arial" w:cs="Arial"/>
                <w:sz w:val="20"/>
                <w:szCs w:val="20"/>
              </w:rPr>
              <w:t xml:space="preserve">. </w:t>
            </w:r>
            <w:r w:rsidRPr="00903F89">
              <w:rPr>
                <w:rFonts w:cs="Arial"/>
                <w:sz w:val="20"/>
                <w:szCs w:val="20"/>
              </w:rPr>
              <w:t>193(Ι)/2012</w:t>
            </w:r>
            <w:r w:rsidRPr="00903F89">
              <w:rPr>
                <w:rFonts w:eastAsia="Arial" w:cs="Arial"/>
                <w:sz w:val="20"/>
                <w:szCs w:val="20"/>
              </w:rPr>
              <w:t xml:space="preserve"> </w:t>
            </w:r>
            <w:r w:rsidRPr="00903F89">
              <w:rPr>
                <w:rFonts w:cs="Arial"/>
                <w:sz w:val="20"/>
                <w:szCs w:val="20"/>
              </w:rPr>
              <w:t xml:space="preserve">που τροποποιεί τον Περί Κοινωνικών Ασφαλίσεων Νόμο 59 (Ι)/2010). </w:t>
            </w:r>
          </w:p>
        </w:tc>
      </w:tr>
      <w:tr w:rsidR="007422AB" w:rsidRPr="00903F89" w14:paraId="209A658C" w14:textId="77777777" w:rsidTr="007422AB">
        <w:tc>
          <w:tcPr>
            <w:tcW w:w="2653" w:type="dxa"/>
            <w:gridSpan w:val="4"/>
          </w:tcPr>
          <w:p w14:paraId="1CB2DC4D" w14:textId="77777777" w:rsidR="004434DE" w:rsidRPr="00903F89" w:rsidRDefault="004434DE" w:rsidP="00903F89">
            <w:pPr>
              <w:jc w:val="both"/>
              <w:rPr>
                <w:rFonts w:cs="Arial"/>
                <w:b/>
                <w:sz w:val="20"/>
                <w:szCs w:val="20"/>
                <w:u w:val="single"/>
              </w:rPr>
            </w:pPr>
          </w:p>
        </w:tc>
        <w:tc>
          <w:tcPr>
            <w:tcW w:w="6259" w:type="dxa"/>
            <w:gridSpan w:val="8"/>
          </w:tcPr>
          <w:p w14:paraId="14BA300C" w14:textId="77777777" w:rsidR="004434DE" w:rsidRPr="00903F89" w:rsidRDefault="004434DE" w:rsidP="00903F89">
            <w:pPr>
              <w:jc w:val="both"/>
              <w:rPr>
                <w:rFonts w:cs="Arial"/>
                <w:sz w:val="20"/>
                <w:szCs w:val="20"/>
              </w:rPr>
            </w:pPr>
          </w:p>
        </w:tc>
        <w:tc>
          <w:tcPr>
            <w:tcW w:w="1861" w:type="dxa"/>
            <w:gridSpan w:val="3"/>
          </w:tcPr>
          <w:p w14:paraId="45D1E712" w14:textId="77777777" w:rsidR="004434DE" w:rsidRPr="00903F89" w:rsidRDefault="004434DE" w:rsidP="00903F89">
            <w:pPr>
              <w:jc w:val="both"/>
              <w:rPr>
                <w:rFonts w:cs="Arial"/>
                <w:b/>
                <w:sz w:val="20"/>
                <w:szCs w:val="20"/>
                <w:u w:val="single"/>
              </w:rPr>
            </w:pPr>
          </w:p>
        </w:tc>
      </w:tr>
      <w:tr w:rsidR="007422AB" w:rsidRPr="00903F89" w14:paraId="226023BE" w14:textId="77777777" w:rsidTr="007422AB">
        <w:tc>
          <w:tcPr>
            <w:tcW w:w="10773" w:type="dxa"/>
            <w:gridSpan w:val="15"/>
          </w:tcPr>
          <w:p w14:paraId="4001DBF5" w14:textId="35C705A0" w:rsidR="00236C74" w:rsidRPr="00903F89" w:rsidRDefault="004434DE" w:rsidP="00903F89">
            <w:pPr>
              <w:jc w:val="both"/>
              <w:rPr>
                <w:rFonts w:cs="Arial"/>
                <w:sz w:val="20"/>
                <w:szCs w:val="20"/>
              </w:rPr>
            </w:pPr>
            <w:r w:rsidRPr="00903F89">
              <w:rPr>
                <w:rFonts w:cs="Arial"/>
                <w:sz w:val="20"/>
                <w:szCs w:val="20"/>
              </w:rPr>
              <w:t xml:space="preserve">Τυχόν πρόστιμα που ενδεχομένως να πρέπει να καταβληθούν στο Ταμείο Κοινωνικών Ασφαλίσεων και τα οποία απορρέουν από αναδρομικούς διορισμούς διενεργούνται έναντι του  άρθρου αυτού από </w:t>
            </w:r>
            <w:r w:rsidR="00822BC0" w:rsidRPr="00903F89">
              <w:rPr>
                <w:rFonts w:cs="Arial"/>
                <w:sz w:val="20"/>
                <w:szCs w:val="20"/>
              </w:rPr>
              <w:t>έσοδα εκτός κρατικής χορηγίας</w:t>
            </w:r>
            <w:r w:rsidRPr="00903F89">
              <w:rPr>
                <w:rFonts w:cs="Arial"/>
                <w:sz w:val="20"/>
                <w:szCs w:val="20"/>
              </w:rPr>
              <w:t>.</w:t>
            </w:r>
          </w:p>
        </w:tc>
      </w:tr>
      <w:tr w:rsidR="007422AB" w:rsidRPr="00903F89" w14:paraId="3AC604D5" w14:textId="77777777" w:rsidTr="007422AB">
        <w:tc>
          <w:tcPr>
            <w:tcW w:w="10773" w:type="dxa"/>
            <w:gridSpan w:val="15"/>
          </w:tcPr>
          <w:p w14:paraId="6A32D298" w14:textId="1D3ABB78" w:rsidR="004434DE" w:rsidRPr="00903F89" w:rsidRDefault="004434DE" w:rsidP="00903F89">
            <w:pPr>
              <w:jc w:val="both"/>
              <w:rPr>
                <w:rFonts w:eastAsia="Arial" w:cs="Arial"/>
                <w:b/>
                <w:bCs/>
                <w:sz w:val="20"/>
                <w:szCs w:val="20"/>
                <w:u w:val="single"/>
              </w:rPr>
            </w:pPr>
            <w:bookmarkStart w:id="14" w:name="_Hlk72311535"/>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136 – Ασφάλιστρα για Νομική Ευθύνη Εργοδότη </w:t>
            </w:r>
            <w:bookmarkEnd w:id="14"/>
            <w:r w:rsidRPr="00903F89">
              <w:rPr>
                <w:rFonts w:cs="Arial"/>
                <w:b/>
                <w:bCs/>
                <w:sz w:val="20"/>
                <w:szCs w:val="20"/>
                <w:u w:val="single"/>
              </w:rPr>
              <w:t>– €</w:t>
            </w:r>
            <w:r w:rsidR="004963EC" w:rsidRPr="00903F89">
              <w:rPr>
                <w:rFonts w:cs="Arial"/>
                <w:b/>
                <w:bCs/>
                <w:sz w:val="20"/>
                <w:szCs w:val="20"/>
                <w:u w:val="single"/>
              </w:rPr>
              <w:t>61</w:t>
            </w:r>
            <w:r w:rsidRPr="00903F89">
              <w:rPr>
                <w:rFonts w:cs="Arial"/>
                <w:b/>
                <w:bCs/>
                <w:sz w:val="20"/>
                <w:szCs w:val="20"/>
                <w:u w:val="single"/>
              </w:rPr>
              <w:t>.000</w:t>
            </w:r>
          </w:p>
        </w:tc>
      </w:tr>
      <w:tr w:rsidR="007422AB" w:rsidRPr="00903F89" w14:paraId="798FBE04" w14:textId="77777777" w:rsidTr="007422AB">
        <w:tc>
          <w:tcPr>
            <w:tcW w:w="2421" w:type="dxa"/>
            <w:gridSpan w:val="3"/>
          </w:tcPr>
          <w:p w14:paraId="76FDA5E0" w14:textId="77777777" w:rsidR="004434DE" w:rsidRPr="00903F89" w:rsidRDefault="004434DE" w:rsidP="00903F89">
            <w:pPr>
              <w:jc w:val="both"/>
              <w:rPr>
                <w:rFonts w:cs="Arial"/>
                <w:b/>
                <w:sz w:val="20"/>
                <w:szCs w:val="20"/>
                <w:u w:val="single"/>
              </w:rPr>
            </w:pPr>
          </w:p>
        </w:tc>
        <w:tc>
          <w:tcPr>
            <w:tcW w:w="6067" w:type="dxa"/>
            <w:gridSpan w:val="8"/>
          </w:tcPr>
          <w:p w14:paraId="7BD17DC7" w14:textId="77777777" w:rsidR="004434DE" w:rsidRPr="00903F89" w:rsidRDefault="004434DE" w:rsidP="00903F89">
            <w:pPr>
              <w:jc w:val="both"/>
              <w:rPr>
                <w:rFonts w:cs="Arial"/>
                <w:sz w:val="20"/>
                <w:szCs w:val="20"/>
              </w:rPr>
            </w:pPr>
          </w:p>
        </w:tc>
        <w:tc>
          <w:tcPr>
            <w:tcW w:w="2285" w:type="dxa"/>
            <w:gridSpan w:val="4"/>
          </w:tcPr>
          <w:p w14:paraId="2ED341CA" w14:textId="77777777" w:rsidR="004434DE" w:rsidRPr="00903F89" w:rsidRDefault="004434DE" w:rsidP="00903F89">
            <w:pPr>
              <w:jc w:val="both"/>
              <w:rPr>
                <w:rFonts w:cs="Arial"/>
                <w:b/>
                <w:sz w:val="20"/>
                <w:szCs w:val="20"/>
                <w:u w:val="single"/>
              </w:rPr>
            </w:pPr>
          </w:p>
        </w:tc>
      </w:tr>
      <w:tr w:rsidR="007422AB" w:rsidRPr="00903F89" w14:paraId="0B6E1DFA" w14:textId="77777777" w:rsidTr="007422AB">
        <w:tc>
          <w:tcPr>
            <w:tcW w:w="10773" w:type="dxa"/>
            <w:gridSpan w:val="15"/>
          </w:tcPr>
          <w:p w14:paraId="24EBF6F7" w14:textId="54E88DC9" w:rsidR="004434DE" w:rsidRPr="00903F89" w:rsidRDefault="004434DE" w:rsidP="00903F89">
            <w:pPr>
              <w:jc w:val="both"/>
              <w:rPr>
                <w:rFonts w:eastAsia="Arial" w:cs="Arial"/>
                <w:b/>
                <w:bCs/>
                <w:sz w:val="20"/>
                <w:szCs w:val="20"/>
                <w:u w:val="single"/>
              </w:rPr>
            </w:pPr>
            <w:r w:rsidRPr="00903F89">
              <w:rPr>
                <w:rFonts w:cs="Arial"/>
                <w:sz w:val="20"/>
                <w:szCs w:val="20"/>
              </w:rPr>
              <w:t>Η πρόνοια αφορά στα ασφαλιστικά έξοδα για παροχή κάλυψης σύμφωνα με τον Περί Υποχρεωτικής Ασφάλισης της Ευθύνης των Εργοδοτών Νόμο (του 1989 και του 2014).</w:t>
            </w:r>
          </w:p>
        </w:tc>
      </w:tr>
      <w:tr w:rsidR="007422AB" w:rsidRPr="00903F89" w14:paraId="282D5C25" w14:textId="77777777" w:rsidTr="007422AB">
        <w:tc>
          <w:tcPr>
            <w:tcW w:w="2421" w:type="dxa"/>
            <w:gridSpan w:val="3"/>
          </w:tcPr>
          <w:p w14:paraId="005E6025" w14:textId="77777777" w:rsidR="004434DE" w:rsidRPr="00903F89" w:rsidRDefault="004434DE" w:rsidP="00903F89">
            <w:pPr>
              <w:jc w:val="both"/>
              <w:rPr>
                <w:rFonts w:cs="Arial"/>
                <w:b/>
                <w:sz w:val="20"/>
                <w:szCs w:val="20"/>
                <w:u w:val="single"/>
              </w:rPr>
            </w:pPr>
          </w:p>
        </w:tc>
        <w:tc>
          <w:tcPr>
            <w:tcW w:w="6067" w:type="dxa"/>
            <w:gridSpan w:val="8"/>
          </w:tcPr>
          <w:p w14:paraId="3F9B1720" w14:textId="77777777" w:rsidR="004434DE" w:rsidRPr="00903F89" w:rsidRDefault="004434DE" w:rsidP="00903F89">
            <w:pPr>
              <w:jc w:val="both"/>
              <w:rPr>
                <w:rFonts w:cs="Arial"/>
                <w:sz w:val="20"/>
                <w:szCs w:val="20"/>
              </w:rPr>
            </w:pPr>
          </w:p>
        </w:tc>
        <w:tc>
          <w:tcPr>
            <w:tcW w:w="2285" w:type="dxa"/>
            <w:gridSpan w:val="4"/>
          </w:tcPr>
          <w:p w14:paraId="3BD2FC7F" w14:textId="77777777" w:rsidR="004434DE" w:rsidRPr="00903F89" w:rsidRDefault="004434DE" w:rsidP="00903F89">
            <w:pPr>
              <w:jc w:val="both"/>
              <w:rPr>
                <w:rFonts w:cs="Arial"/>
                <w:b/>
                <w:sz w:val="20"/>
                <w:szCs w:val="20"/>
                <w:u w:val="single"/>
              </w:rPr>
            </w:pPr>
          </w:p>
        </w:tc>
      </w:tr>
      <w:tr w:rsidR="007422AB" w:rsidRPr="00903F89" w14:paraId="23230BC6" w14:textId="77777777" w:rsidTr="007422AB">
        <w:tc>
          <w:tcPr>
            <w:tcW w:w="10773" w:type="dxa"/>
            <w:gridSpan w:val="15"/>
            <w:shd w:val="clear" w:color="auto" w:fill="auto"/>
          </w:tcPr>
          <w:p w14:paraId="6E2F2ECB" w14:textId="58207503" w:rsidR="004434DE" w:rsidRPr="00903F89" w:rsidRDefault="004434DE" w:rsidP="00903F89">
            <w:pPr>
              <w:jc w:val="both"/>
              <w:rPr>
                <w:rFonts w:eastAsia="Arial" w:cs="Arial"/>
                <w:b/>
                <w:bCs/>
                <w:sz w:val="20"/>
                <w:szCs w:val="20"/>
                <w:u w:val="single"/>
              </w:rPr>
            </w:pPr>
            <w:r w:rsidRPr="00903F89">
              <w:rPr>
                <w:rFonts w:cs="Arial"/>
                <w:sz w:val="20"/>
                <w:szCs w:val="20"/>
              </w:rPr>
              <w:t xml:space="preserve">Η πρόνοια προορίζεται να καλύψει το κόστος Ασφάλισης Άμισθων </w:t>
            </w:r>
            <w:proofErr w:type="spellStart"/>
            <w:r w:rsidRPr="00903F89">
              <w:rPr>
                <w:rFonts w:cs="Arial"/>
                <w:sz w:val="20"/>
                <w:szCs w:val="20"/>
              </w:rPr>
              <w:t>Εργοδοτούμενων</w:t>
            </w:r>
            <w:proofErr w:type="spellEnd"/>
            <w:r w:rsidRPr="00903F89">
              <w:rPr>
                <w:rFonts w:cs="Arial"/>
                <w:sz w:val="20"/>
                <w:szCs w:val="20"/>
              </w:rPr>
              <w:t xml:space="preserve"> από κεντρικούς πόρους στο πλαίσιο του παρόντος άρθρου (</w:t>
            </w:r>
            <w:r w:rsidR="00A85AF3" w:rsidRPr="00903F89">
              <w:rPr>
                <w:rFonts w:cs="Arial"/>
                <w:sz w:val="20"/>
                <w:szCs w:val="20"/>
              </w:rPr>
              <w:t>Απόφαση Επιτροπής Προσωπικού και Κανονισμών</w:t>
            </w:r>
            <w:r w:rsidR="00A85AF3">
              <w:rPr>
                <w:rFonts w:cs="Arial"/>
                <w:sz w:val="20"/>
                <w:szCs w:val="20"/>
              </w:rPr>
              <w:t xml:space="preserve"> του Συμβουλίου</w:t>
            </w:r>
            <w:bookmarkStart w:id="15" w:name="_Hlk87948983"/>
            <w:r w:rsidRPr="00903F89">
              <w:rPr>
                <w:rFonts w:cs="Arial"/>
                <w:sz w:val="20"/>
                <w:szCs w:val="20"/>
              </w:rPr>
              <w:t>, 279</w:t>
            </w:r>
            <w:r w:rsidRPr="00903F89">
              <w:rPr>
                <w:rFonts w:cs="Arial"/>
                <w:sz w:val="20"/>
                <w:szCs w:val="20"/>
                <w:vertAlign w:val="superscript"/>
              </w:rPr>
              <w:t>η</w:t>
            </w:r>
            <w:r w:rsidRPr="00903F89">
              <w:rPr>
                <w:rFonts w:cs="Arial"/>
                <w:sz w:val="20"/>
                <w:szCs w:val="20"/>
              </w:rPr>
              <w:t xml:space="preserve"> Συνεδρία,</w:t>
            </w:r>
            <w:bookmarkEnd w:id="15"/>
            <w:r w:rsidRPr="00903F89">
              <w:rPr>
                <w:rFonts w:cs="Arial"/>
                <w:sz w:val="20"/>
                <w:szCs w:val="20"/>
              </w:rPr>
              <w:t xml:space="preserve"> ημερ. 23/07/2015).</w:t>
            </w:r>
          </w:p>
        </w:tc>
      </w:tr>
      <w:tr w:rsidR="007422AB" w:rsidRPr="00903F89" w14:paraId="124FE6B7" w14:textId="77777777" w:rsidTr="007422AB">
        <w:tc>
          <w:tcPr>
            <w:tcW w:w="2421" w:type="dxa"/>
            <w:gridSpan w:val="3"/>
          </w:tcPr>
          <w:p w14:paraId="551BF3DE" w14:textId="77777777" w:rsidR="004434DE" w:rsidRPr="00903F89" w:rsidRDefault="004434DE" w:rsidP="00903F89">
            <w:pPr>
              <w:jc w:val="both"/>
              <w:rPr>
                <w:rFonts w:cs="Arial"/>
                <w:b/>
                <w:sz w:val="20"/>
                <w:szCs w:val="20"/>
                <w:u w:val="single"/>
              </w:rPr>
            </w:pPr>
          </w:p>
        </w:tc>
        <w:tc>
          <w:tcPr>
            <w:tcW w:w="6067" w:type="dxa"/>
            <w:gridSpan w:val="8"/>
            <w:shd w:val="clear" w:color="auto" w:fill="auto"/>
          </w:tcPr>
          <w:p w14:paraId="2C6774C6" w14:textId="77777777" w:rsidR="004434DE" w:rsidRPr="00903F89" w:rsidRDefault="004434DE" w:rsidP="00903F89">
            <w:pPr>
              <w:jc w:val="both"/>
              <w:rPr>
                <w:rFonts w:cs="Arial"/>
                <w:sz w:val="20"/>
                <w:szCs w:val="20"/>
              </w:rPr>
            </w:pPr>
          </w:p>
        </w:tc>
        <w:tc>
          <w:tcPr>
            <w:tcW w:w="2285" w:type="dxa"/>
            <w:gridSpan w:val="4"/>
          </w:tcPr>
          <w:p w14:paraId="17F7A3B4" w14:textId="77777777" w:rsidR="004434DE" w:rsidRPr="00903F89" w:rsidRDefault="004434DE" w:rsidP="00903F89">
            <w:pPr>
              <w:jc w:val="both"/>
              <w:rPr>
                <w:rFonts w:cs="Arial"/>
                <w:b/>
                <w:sz w:val="20"/>
                <w:szCs w:val="20"/>
                <w:u w:val="single"/>
              </w:rPr>
            </w:pPr>
          </w:p>
        </w:tc>
      </w:tr>
      <w:tr w:rsidR="007422AB" w:rsidRPr="00903F89" w14:paraId="6FA86C95" w14:textId="77777777" w:rsidTr="007422AB">
        <w:tc>
          <w:tcPr>
            <w:tcW w:w="10773" w:type="dxa"/>
            <w:gridSpan w:val="15"/>
            <w:shd w:val="clear" w:color="auto" w:fill="auto"/>
          </w:tcPr>
          <w:p w14:paraId="72819119" w14:textId="3ADFAB2E" w:rsidR="004434DE" w:rsidRPr="00903F89" w:rsidRDefault="004434DE" w:rsidP="00903F89">
            <w:pPr>
              <w:jc w:val="both"/>
              <w:rPr>
                <w:rFonts w:eastAsia="Arial" w:cs="Arial"/>
                <w:b/>
                <w:bCs/>
                <w:sz w:val="20"/>
                <w:szCs w:val="20"/>
                <w:u w:val="single"/>
              </w:rPr>
            </w:pPr>
            <w:r w:rsidRPr="00903F89">
              <w:rPr>
                <w:rFonts w:cs="Arial"/>
                <w:sz w:val="20"/>
                <w:szCs w:val="20"/>
              </w:rPr>
              <w:t xml:space="preserve">Η πρόνοια έλαβε υπόψη το ελάχιστο ποσό, για το οποίο υποχρεούται το Πανεπιστήμιο Κύπρου να ασφαλίσει την ευθύνη του έναντι των εργοδοτουμένων του για κάθε ατύχημα ή επαγγελματική ασθένεια σε σχέση με κάθε </w:t>
            </w:r>
            <w:proofErr w:type="spellStart"/>
            <w:r w:rsidRPr="00903F89">
              <w:rPr>
                <w:rFonts w:cs="Arial"/>
                <w:sz w:val="20"/>
                <w:szCs w:val="20"/>
              </w:rPr>
              <w:t>εργοδοτούμενο</w:t>
            </w:r>
            <w:proofErr w:type="spellEnd"/>
            <w:r w:rsidRPr="00903F89">
              <w:rPr>
                <w:rFonts w:cs="Arial"/>
                <w:sz w:val="20"/>
                <w:szCs w:val="20"/>
              </w:rPr>
              <w:t xml:space="preserve"> (που προνοείται στους κανονισμούς Περί Ασφάλισης Ευθύνης των Εργοδοτών</w:t>
            </w:r>
            <w:r w:rsidR="00C83B9A" w:rsidRPr="00903F89">
              <w:rPr>
                <w:rFonts w:cs="Arial"/>
                <w:sz w:val="20"/>
                <w:szCs w:val="20"/>
              </w:rPr>
              <w:t>,</w:t>
            </w:r>
            <w:r w:rsidRPr="00903F89">
              <w:rPr>
                <w:rFonts w:cs="Arial"/>
                <w:sz w:val="20"/>
                <w:szCs w:val="20"/>
              </w:rPr>
              <w:t xml:space="preserve"> Νόμο του 2011 (Ν.79(Ι)/2011), (ΚΠΔ 197/97).</w:t>
            </w:r>
          </w:p>
        </w:tc>
      </w:tr>
      <w:tr w:rsidR="007422AB" w:rsidRPr="00903F89" w14:paraId="4F1D7331" w14:textId="77777777" w:rsidTr="007422AB">
        <w:tc>
          <w:tcPr>
            <w:tcW w:w="10773" w:type="dxa"/>
            <w:gridSpan w:val="15"/>
            <w:shd w:val="clear" w:color="auto" w:fill="auto"/>
          </w:tcPr>
          <w:p w14:paraId="687E44AC" w14:textId="77777777" w:rsidR="004434DE" w:rsidRPr="00903F89" w:rsidRDefault="004434DE" w:rsidP="00903F89">
            <w:pPr>
              <w:jc w:val="both"/>
              <w:rPr>
                <w:rFonts w:cs="Arial"/>
                <w:sz w:val="20"/>
                <w:szCs w:val="20"/>
              </w:rPr>
            </w:pPr>
          </w:p>
        </w:tc>
      </w:tr>
      <w:tr w:rsidR="007422AB" w:rsidRPr="00903F89" w14:paraId="49BB1CB0" w14:textId="77777777" w:rsidTr="007422AB">
        <w:tc>
          <w:tcPr>
            <w:tcW w:w="10773" w:type="dxa"/>
            <w:gridSpan w:val="15"/>
            <w:shd w:val="clear" w:color="auto" w:fill="auto"/>
          </w:tcPr>
          <w:p w14:paraId="67D74D3D" w14:textId="4153D7BD" w:rsidR="004434DE" w:rsidRPr="00903F89" w:rsidRDefault="00243C89" w:rsidP="00903F89">
            <w:pPr>
              <w:shd w:val="clear" w:color="auto" w:fill="FFFFFF"/>
              <w:jc w:val="both"/>
              <w:rPr>
                <w:rFonts w:cs="Arial"/>
                <w:sz w:val="20"/>
                <w:szCs w:val="20"/>
              </w:rPr>
            </w:pPr>
            <w:bookmarkStart w:id="16" w:name="_Hlk72311329"/>
            <w:r w:rsidRPr="00903F89">
              <w:rPr>
                <w:rFonts w:cs="Arial"/>
                <w:sz w:val="20"/>
                <w:szCs w:val="20"/>
              </w:rPr>
              <w:t xml:space="preserve">Η πρόνοια προορίζεται να καλύψει το κόστος ασφάλισης Επαγγελματικής Ευθύνης των Ιατρών της Ιατρικής Σχολής του Πανεπιστημίου Κύπρου (Professional </w:t>
            </w:r>
            <w:proofErr w:type="spellStart"/>
            <w:r w:rsidRPr="00903F89">
              <w:rPr>
                <w:rFonts w:cs="Arial"/>
                <w:sz w:val="20"/>
                <w:szCs w:val="20"/>
              </w:rPr>
              <w:t>Indemnity</w:t>
            </w:r>
            <w:proofErr w:type="spellEnd"/>
            <w:r w:rsidRPr="00903F89">
              <w:rPr>
                <w:rFonts w:cs="Arial"/>
                <w:sz w:val="20"/>
                <w:szCs w:val="20"/>
              </w:rPr>
              <w:t xml:space="preserve"> Insurance) σύμφωνα με πρόνοιες συμφωνιών του Πανεπιστημίου Κύπρου</w:t>
            </w:r>
            <w:r w:rsidR="004434DE" w:rsidRPr="00903F89">
              <w:rPr>
                <w:rFonts w:cs="Arial"/>
                <w:sz w:val="20"/>
                <w:szCs w:val="20"/>
              </w:rPr>
              <w:t xml:space="preserve"> με άλλους οργανισμούς/ φορείς, όπως π.χ. το Συμφωνητικό Συνεργασίας μεταξύ </w:t>
            </w:r>
            <w:r w:rsidR="00D969FF" w:rsidRPr="00903F89">
              <w:rPr>
                <w:rFonts w:cs="Arial"/>
                <w:sz w:val="20"/>
                <w:szCs w:val="20"/>
              </w:rPr>
              <w:t>ΟΚΥπΥ</w:t>
            </w:r>
            <w:r w:rsidR="004434DE" w:rsidRPr="00903F89">
              <w:rPr>
                <w:rFonts w:cs="Arial"/>
                <w:sz w:val="20"/>
                <w:szCs w:val="20"/>
              </w:rPr>
              <w:t xml:space="preserve"> και Πανεπιστημίου Κύπρου για την Ιατρική Σχολή το οποίο προνοεί για την αξιοποίηση της τεχνογνωσίας των Πανεπιστημιακών Ιατρών ώστε αυτοί να εξασκούν τα κλινικά τους καθήκοντα σε δημόσια Νοσηλευτήρια.  </w:t>
            </w:r>
            <w:bookmarkEnd w:id="16"/>
          </w:p>
        </w:tc>
      </w:tr>
      <w:tr w:rsidR="007422AB" w:rsidRPr="00903F89" w14:paraId="4372DD00" w14:textId="77777777" w:rsidTr="007422AB">
        <w:tc>
          <w:tcPr>
            <w:tcW w:w="10773" w:type="dxa"/>
            <w:gridSpan w:val="15"/>
          </w:tcPr>
          <w:p w14:paraId="0A218834" w14:textId="77777777" w:rsidR="004434DE" w:rsidRPr="00903F89" w:rsidRDefault="004434DE" w:rsidP="00903F89">
            <w:pPr>
              <w:jc w:val="both"/>
              <w:rPr>
                <w:rFonts w:cs="Arial"/>
                <w:sz w:val="20"/>
                <w:szCs w:val="20"/>
              </w:rPr>
            </w:pPr>
          </w:p>
        </w:tc>
      </w:tr>
      <w:tr w:rsidR="007422AB" w:rsidRPr="00903F89" w14:paraId="1E0777AA" w14:textId="77777777" w:rsidTr="007422AB">
        <w:tc>
          <w:tcPr>
            <w:tcW w:w="10773" w:type="dxa"/>
            <w:gridSpan w:val="15"/>
            <w:shd w:val="clear" w:color="auto" w:fill="auto"/>
          </w:tcPr>
          <w:p w14:paraId="2827E84C" w14:textId="65DBC0C8" w:rsidR="004434DE" w:rsidRPr="00903F89" w:rsidRDefault="004434DE" w:rsidP="00903F89">
            <w:pPr>
              <w:jc w:val="both"/>
              <w:rPr>
                <w:rFonts w:eastAsia="Arial" w:cs="Arial"/>
                <w:sz w:val="20"/>
                <w:szCs w:val="20"/>
              </w:rPr>
            </w:pPr>
            <w:r w:rsidRPr="00903F89">
              <w:rPr>
                <w:rFonts w:cs="Arial"/>
                <w:sz w:val="20"/>
                <w:szCs w:val="20"/>
              </w:rPr>
              <w:t xml:space="preserve">Η πρόνοια προορίζεται να καλύψει και δαπάνες που αφορούν στην ασφαλιστική κάλυψη Άμισθων Ερευνητών του Πανεπιστημίου Κύπρου.  Λαμβάνοντας υπόψη ότι δύναται να υπάρξουν μέχρι και </w:t>
            </w:r>
            <w:r w:rsidR="005216AB">
              <w:rPr>
                <w:rFonts w:cs="Arial"/>
                <w:sz w:val="20"/>
                <w:szCs w:val="20"/>
              </w:rPr>
              <w:t>σαράντα (</w:t>
            </w:r>
            <w:r w:rsidRPr="00903F89">
              <w:rPr>
                <w:rFonts w:cs="Arial"/>
                <w:sz w:val="20"/>
                <w:szCs w:val="20"/>
              </w:rPr>
              <w:t>40</w:t>
            </w:r>
            <w:r w:rsidR="005216AB">
              <w:rPr>
                <w:rFonts w:cs="Arial"/>
                <w:sz w:val="20"/>
                <w:szCs w:val="20"/>
              </w:rPr>
              <w:t>)</w:t>
            </w:r>
            <w:r w:rsidRPr="00903F89">
              <w:rPr>
                <w:rFonts w:cs="Arial"/>
                <w:sz w:val="20"/>
                <w:szCs w:val="20"/>
              </w:rPr>
              <w:t xml:space="preserve"> Άμισθοι Ερευνητές ανά έτος και μέχρι</w:t>
            </w:r>
            <w:r w:rsidR="005216AB">
              <w:rPr>
                <w:rFonts w:cs="Arial"/>
                <w:sz w:val="20"/>
                <w:szCs w:val="20"/>
              </w:rPr>
              <w:t xml:space="preserve"> σαράντα (</w:t>
            </w:r>
            <w:r w:rsidRPr="00903F89">
              <w:rPr>
                <w:rFonts w:cs="Arial"/>
                <w:sz w:val="20"/>
                <w:szCs w:val="20"/>
              </w:rPr>
              <w:t>40</w:t>
            </w:r>
            <w:r w:rsidR="005216AB">
              <w:rPr>
                <w:rFonts w:cs="Arial"/>
                <w:sz w:val="20"/>
                <w:szCs w:val="20"/>
              </w:rPr>
              <w:t>)</w:t>
            </w:r>
            <w:r w:rsidRPr="00903F89">
              <w:rPr>
                <w:rFonts w:cs="Arial"/>
                <w:sz w:val="20"/>
                <w:szCs w:val="20"/>
              </w:rPr>
              <w:t xml:space="preserve"> Άμισθοι Ερευνητές ανά έτος στο πλαίσιο του Προγράμματος «HORIZON 2020», πρόνοια ύψους €7.000 και €7.400 περιλήφθηκε αντίστοιχα για τους προαναφερόμενους σκοπούς. </w:t>
            </w:r>
          </w:p>
        </w:tc>
      </w:tr>
      <w:tr w:rsidR="007422AB" w:rsidRPr="00903F89" w14:paraId="467A6C42" w14:textId="77777777" w:rsidTr="007422AB">
        <w:tc>
          <w:tcPr>
            <w:tcW w:w="2421" w:type="dxa"/>
            <w:gridSpan w:val="3"/>
          </w:tcPr>
          <w:p w14:paraId="08D9F2E8" w14:textId="77777777" w:rsidR="004434DE" w:rsidRPr="00903F89" w:rsidRDefault="004434DE" w:rsidP="00903F89">
            <w:pPr>
              <w:jc w:val="both"/>
              <w:rPr>
                <w:rFonts w:cs="Arial"/>
                <w:b/>
                <w:sz w:val="20"/>
                <w:szCs w:val="20"/>
                <w:u w:val="single"/>
              </w:rPr>
            </w:pPr>
          </w:p>
        </w:tc>
        <w:tc>
          <w:tcPr>
            <w:tcW w:w="6067" w:type="dxa"/>
            <w:gridSpan w:val="8"/>
            <w:shd w:val="clear" w:color="auto" w:fill="auto"/>
          </w:tcPr>
          <w:p w14:paraId="2C486475" w14:textId="77777777" w:rsidR="004434DE" w:rsidRPr="00903F89" w:rsidRDefault="004434DE" w:rsidP="00903F89">
            <w:pPr>
              <w:jc w:val="both"/>
              <w:rPr>
                <w:rFonts w:cs="Arial"/>
                <w:sz w:val="20"/>
                <w:szCs w:val="20"/>
              </w:rPr>
            </w:pPr>
          </w:p>
        </w:tc>
        <w:tc>
          <w:tcPr>
            <w:tcW w:w="2285" w:type="dxa"/>
            <w:gridSpan w:val="4"/>
          </w:tcPr>
          <w:p w14:paraId="70429C7D" w14:textId="77777777" w:rsidR="004434DE" w:rsidRPr="00903F89" w:rsidRDefault="004434DE" w:rsidP="00903F89">
            <w:pPr>
              <w:jc w:val="both"/>
              <w:rPr>
                <w:rFonts w:cs="Arial"/>
                <w:b/>
                <w:sz w:val="20"/>
                <w:szCs w:val="20"/>
                <w:u w:val="single"/>
              </w:rPr>
            </w:pPr>
          </w:p>
        </w:tc>
      </w:tr>
      <w:tr w:rsidR="007422AB" w:rsidRPr="00903F89" w14:paraId="55C2DCC6" w14:textId="77777777" w:rsidTr="007422AB">
        <w:tc>
          <w:tcPr>
            <w:tcW w:w="10773" w:type="dxa"/>
            <w:gridSpan w:val="15"/>
            <w:shd w:val="clear" w:color="auto" w:fill="auto"/>
          </w:tcPr>
          <w:p w14:paraId="04AC0184" w14:textId="7A6CFFF5" w:rsidR="004434DE" w:rsidRPr="00903F89" w:rsidRDefault="004434DE" w:rsidP="00903F89">
            <w:pPr>
              <w:jc w:val="both"/>
              <w:rPr>
                <w:rFonts w:eastAsia="Arial" w:cs="Arial"/>
                <w:sz w:val="20"/>
                <w:szCs w:val="20"/>
              </w:rPr>
            </w:pPr>
            <w:r w:rsidRPr="00903F89">
              <w:rPr>
                <w:rFonts w:cs="Arial"/>
                <w:sz w:val="20"/>
                <w:szCs w:val="20"/>
              </w:rPr>
              <w:t xml:space="preserve">Σημειώνεται ότι, η συνολική περίοδος εργοδότησης των άμισθων σε ένα έτος δεν ξεπερνά τα πενήντα (50) άτομα πλήρους απασχόλησης (εναλλακτικά μπορούν να </w:t>
            </w:r>
            <w:proofErr w:type="spellStart"/>
            <w:r w:rsidRPr="00903F89">
              <w:rPr>
                <w:rFonts w:cs="Arial"/>
                <w:sz w:val="20"/>
                <w:szCs w:val="20"/>
              </w:rPr>
              <w:t>εργοδοτούνται</w:t>
            </w:r>
            <w:proofErr w:type="spellEnd"/>
            <w:r w:rsidRPr="00903F89">
              <w:rPr>
                <w:rFonts w:cs="Arial"/>
                <w:sz w:val="20"/>
                <w:szCs w:val="20"/>
              </w:rPr>
              <w:t xml:space="preserve"> </w:t>
            </w:r>
            <w:r w:rsidR="005216AB">
              <w:rPr>
                <w:rFonts w:cs="Arial"/>
                <w:sz w:val="20"/>
                <w:szCs w:val="20"/>
              </w:rPr>
              <w:t>εκατόν (</w:t>
            </w:r>
            <w:r w:rsidRPr="00903F89">
              <w:rPr>
                <w:rFonts w:cs="Arial"/>
                <w:sz w:val="20"/>
                <w:szCs w:val="20"/>
              </w:rPr>
              <w:t>100</w:t>
            </w:r>
            <w:r w:rsidR="005216AB">
              <w:rPr>
                <w:rFonts w:cs="Arial"/>
                <w:sz w:val="20"/>
                <w:szCs w:val="20"/>
              </w:rPr>
              <w:t>)</w:t>
            </w:r>
            <w:r w:rsidRPr="00903F89">
              <w:rPr>
                <w:rFonts w:cs="Arial"/>
                <w:sz w:val="20"/>
                <w:szCs w:val="20"/>
              </w:rPr>
              <w:t xml:space="preserve"> άτομα εξαμηνιαίας περιόδου ασφάλισης) (</w:t>
            </w:r>
            <w:r w:rsidR="00A85AF3" w:rsidRPr="00903F89">
              <w:rPr>
                <w:rFonts w:cs="Arial"/>
                <w:sz w:val="20"/>
                <w:szCs w:val="20"/>
              </w:rPr>
              <w:t>Απόφαση Επιτροπής Προσωπικού και Κανονισμών</w:t>
            </w:r>
            <w:r w:rsidR="00A85AF3">
              <w:rPr>
                <w:rFonts w:cs="Arial"/>
                <w:sz w:val="20"/>
                <w:szCs w:val="20"/>
              </w:rPr>
              <w:t xml:space="preserve"> του Συμβουλίου</w:t>
            </w:r>
            <w:bookmarkStart w:id="17" w:name="_Hlk87949003"/>
            <w:bookmarkStart w:id="18" w:name="_Hlk87949060"/>
            <w:r w:rsidRPr="00903F89">
              <w:rPr>
                <w:rFonts w:cs="Arial"/>
                <w:sz w:val="20"/>
                <w:szCs w:val="20"/>
              </w:rPr>
              <w:t>, 279</w:t>
            </w:r>
            <w:r w:rsidRPr="00903F89">
              <w:rPr>
                <w:rFonts w:cs="Arial"/>
                <w:sz w:val="20"/>
                <w:szCs w:val="20"/>
                <w:vertAlign w:val="superscript"/>
              </w:rPr>
              <w:t>η</w:t>
            </w:r>
            <w:r w:rsidRPr="00903F89">
              <w:rPr>
                <w:rFonts w:cs="Arial"/>
                <w:sz w:val="20"/>
                <w:szCs w:val="20"/>
              </w:rPr>
              <w:t xml:space="preserve"> Συνεδρία</w:t>
            </w:r>
            <w:bookmarkEnd w:id="17"/>
            <w:r w:rsidRPr="00903F89">
              <w:rPr>
                <w:rFonts w:cs="Arial"/>
                <w:sz w:val="20"/>
                <w:szCs w:val="20"/>
              </w:rPr>
              <w:t xml:space="preserve">, ημερ. 23/07/2015). </w:t>
            </w:r>
            <w:bookmarkEnd w:id="18"/>
          </w:p>
        </w:tc>
      </w:tr>
      <w:tr w:rsidR="007422AB" w:rsidRPr="00903F89" w14:paraId="5A430DF8" w14:textId="77777777" w:rsidTr="007422AB">
        <w:tc>
          <w:tcPr>
            <w:tcW w:w="2421" w:type="dxa"/>
            <w:gridSpan w:val="3"/>
          </w:tcPr>
          <w:p w14:paraId="1EAC0DE8" w14:textId="77777777" w:rsidR="004434DE" w:rsidRPr="00903F89" w:rsidRDefault="004434DE" w:rsidP="00903F89">
            <w:pPr>
              <w:jc w:val="both"/>
              <w:rPr>
                <w:rFonts w:cs="Arial"/>
                <w:b/>
                <w:sz w:val="20"/>
                <w:szCs w:val="20"/>
                <w:u w:val="single"/>
              </w:rPr>
            </w:pPr>
          </w:p>
        </w:tc>
        <w:tc>
          <w:tcPr>
            <w:tcW w:w="6067" w:type="dxa"/>
            <w:gridSpan w:val="8"/>
            <w:shd w:val="clear" w:color="auto" w:fill="auto"/>
          </w:tcPr>
          <w:p w14:paraId="499E436A" w14:textId="77777777" w:rsidR="004434DE" w:rsidRPr="00903F89" w:rsidRDefault="004434DE" w:rsidP="00903F89">
            <w:pPr>
              <w:jc w:val="both"/>
              <w:rPr>
                <w:rFonts w:cs="Arial"/>
                <w:sz w:val="20"/>
                <w:szCs w:val="20"/>
              </w:rPr>
            </w:pPr>
          </w:p>
        </w:tc>
        <w:tc>
          <w:tcPr>
            <w:tcW w:w="2285" w:type="dxa"/>
            <w:gridSpan w:val="4"/>
          </w:tcPr>
          <w:p w14:paraId="578D13F2" w14:textId="77777777" w:rsidR="004434DE" w:rsidRPr="00903F89" w:rsidRDefault="004434DE" w:rsidP="00903F89">
            <w:pPr>
              <w:jc w:val="both"/>
              <w:rPr>
                <w:rFonts w:cs="Arial"/>
                <w:b/>
                <w:sz w:val="20"/>
                <w:szCs w:val="20"/>
                <w:u w:val="single"/>
              </w:rPr>
            </w:pPr>
          </w:p>
        </w:tc>
      </w:tr>
      <w:tr w:rsidR="007422AB" w:rsidRPr="00903F89" w14:paraId="75215415" w14:textId="77777777" w:rsidTr="007422AB">
        <w:tc>
          <w:tcPr>
            <w:tcW w:w="10773" w:type="dxa"/>
            <w:gridSpan w:val="15"/>
            <w:shd w:val="clear" w:color="auto" w:fill="auto"/>
          </w:tcPr>
          <w:p w14:paraId="337D9DF3" w14:textId="61FD2FA9" w:rsidR="004434DE" w:rsidRPr="00903F89" w:rsidRDefault="004434DE" w:rsidP="00903F89">
            <w:pPr>
              <w:jc w:val="both"/>
              <w:rPr>
                <w:rFonts w:eastAsia="Arial" w:cs="Arial"/>
                <w:b/>
                <w:bCs/>
                <w:sz w:val="20"/>
                <w:szCs w:val="20"/>
                <w:u w:val="single"/>
              </w:rPr>
            </w:pPr>
            <w:r w:rsidRPr="00903F89">
              <w:rPr>
                <w:rFonts w:cs="Arial"/>
                <w:sz w:val="20"/>
                <w:szCs w:val="20"/>
              </w:rPr>
              <w:t xml:space="preserve">Η πρόνοια προορίζεται να καλύψει δαπάνες που αφορούν στην Ασφάλιση Ευθύνης Εργοδότη για τους Άμισθους Εργοδοτούμενους σε Προγράμματα </w:t>
            </w:r>
            <w:r w:rsidRPr="00903F89">
              <w:rPr>
                <w:rFonts w:cs="Arial"/>
                <w:sz w:val="20"/>
                <w:szCs w:val="20"/>
                <w:lang w:val="en-US"/>
              </w:rPr>
              <w:t>Erasmus</w:t>
            </w:r>
            <w:r w:rsidRPr="00903F89">
              <w:rPr>
                <w:rFonts w:cs="Arial"/>
                <w:sz w:val="20"/>
                <w:szCs w:val="20"/>
              </w:rPr>
              <w:t xml:space="preserve">+ (συμβόλαια εθελοντισμού - </w:t>
            </w:r>
            <w:proofErr w:type="spellStart"/>
            <w:r w:rsidRPr="00903F89">
              <w:rPr>
                <w:rFonts w:cs="Arial"/>
                <w:sz w:val="20"/>
                <w:szCs w:val="20"/>
              </w:rPr>
              <w:t>Volunteering</w:t>
            </w:r>
            <w:proofErr w:type="spellEnd"/>
            <w:r w:rsidRPr="00903F89">
              <w:rPr>
                <w:rFonts w:cs="Arial"/>
                <w:sz w:val="20"/>
                <w:szCs w:val="20"/>
              </w:rPr>
              <w:t xml:space="preserve"> Agreement) (</w:t>
            </w:r>
            <w:r w:rsidR="00A85AF3" w:rsidRPr="00903F89">
              <w:rPr>
                <w:rFonts w:cs="Arial"/>
                <w:sz w:val="20"/>
                <w:szCs w:val="20"/>
              </w:rPr>
              <w:t>Απόφαση Επιτροπής Προσωπικού και Κανονισμών</w:t>
            </w:r>
            <w:r w:rsidR="00A85AF3">
              <w:rPr>
                <w:rFonts w:cs="Arial"/>
                <w:sz w:val="20"/>
                <w:szCs w:val="20"/>
              </w:rPr>
              <w:t xml:space="preserve"> του Συμβουλίου</w:t>
            </w:r>
            <w:bookmarkStart w:id="19" w:name="_Hlk87949036"/>
            <w:r w:rsidRPr="00903F89">
              <w:rPr>
                <w:rFonts w:cs="Arial"/>
                <w:sz w:val="20"/>
                <w:szCs w:val="20"/>
              </w:rPr>
              <w:t>, 284</w:t>
            </w:r>
            <w:r w:rsidRPr="00903F89">
              <w:rPr>
                <w:rFonts w:cs="Arial"/>
                <w:sz w:val="20"/>
                <w:szCs w:val="20"/>
                <w:vertAlign w:val="superscript"/>
              </w:rPr>
              <w:t>η</w:t>
            </w:r>
            <w:r w:rsidRPr="00903F89">
              <w:rPr>
                <w:rFonts w:cs="Arial"/>
                <w:sz w:val="20"/>
                <w:szCs w:val="20"/>
              </w:rPr>
              <w:t xml:space="preserve"> Συνεδρία, ημερ. 27/01/2016</w:t>
            </w:r>
            <w:bookmarkEnd w:id="19"/>
            <w:r w:rsidRPr="00903F89">
              <w:rPr>
                <w:rFonts w:cs="Arial"/>
                <w:sz w:val="20"/>
                <w:szCs w:val="20"/>
              </w:rPr>
              <w:t>).</w:t>
            </w:r>
          </w:p>
        </w:tc>
      </w:tr>
      <w:tr w:rsidR="007422AB" w:rsidRPr="00903F89" w14:paraId="64A1ECA7" w14:textId="77777777" w:rsidTr="007422AB">
        <w:tc>
          <w:tcPr>
            <w:tcW w:w="10773" w:type="dxa"/>
            <w:gridSpan w:val="15"/>
            <w:shd w:val="clear" w:color="auto" w:fill="auto"/>
          </w:tcPr>
          <w:p w14:paraId="1C96EA29" w14:textId="77777777" w:rsidR="004434DE" w:rsidRPr="00903F89" w:rsidRDefault="004434DE" w:rsidP="00903F89">
            <w:pPr>
              <w:jc w:val="both"/>
              <w:rPr>
                <w:rFonts w:cs="Arial"/>
                <w:sz w:val="20"/>
                <w:szCs w:val="20"/>
              </w:rPr>
            </w:pPr>
          </w:p>
        </w:tc>
      </w:tr>
      <w:tr w:rsidR="007422AB" w:rsidRPr="00903F89" w14:paraId="54FA28EE" w14:textId="77777777" w:rsidTr="007422AB">
        <w:tc>
          <w:tcPr>
            <w:tcW w:w="10773" w:type="dxa"/>
            <w:gridSpan w:val="15"/>
            <w:shd w:val="clear" w:color="auto" w:fill="auto"/>
          </w:tcPr>
          <w:p w14:paraId="3A1F11C9" w14:textId="2F2FA51D" w:rsidR="00236C74" w:rsidRPr="00903F89" w:rsidRDefault="004434DE" w:rsidP="00903F89">
            <w:pPr>
              <w:jc w:val="both"/>
              <w:rPr>
                <w:rFonts w:cs="Arial"/>
                <w:sz w:val="20"/>
                <w:szCs w:val="20"/>
              </w:rPr>
            </w:pPr>
            <w:r w:rsidRPr="00903F89">
              <w:rPr>
                <w:rFonts w:cs="Arial"/>
                <w:sz w:val="20"/>
                <w:szCs w:val="20"/>
              </w:rPr>
              <w:t>Η πρόνοια δύναται να καλύψει δαπάνες που προκύπτουν από υποχρεώσεις από συνάψεις συμβολαίων παροχής υπηρεσιών για έξοδα ασφάλισης επαγγελματικής ευθύνης των ατόμων του Διαπιστευμένου εργαστηρίου Ηλεκτρομαγνητικών και Καινοτόμων Εφαρμογών του Τμήματος Ηλεκτρολόγων Μηχανικών και Μηχανικών Υπολογιστών.</w:t>
            </w:r>
          </w:p>
        </w:tc>
      </w:tr>
      <w:tr w:rsidR="007422AB" w:rsidRPr="00903F89" w14:paraId="09E7AA63" w14:textId="77777777" w:rsidTr="007422AB">
        <w:tc>
          <w:tcPr>
            <w:tcW w:w="2421" w:type="dxa"/>
            <w:gridSpan w:val="3"/>
          </w:tcPr>
          <w:p w14:paraId="15311F01" w14:textId="77777777" w:rsidR="004434DE" w:rsidRPr="00903F89" w:rsidRDefault="004434DE" w:rsidP="00903F89">
            <w:pPr>
              <w:jc w:val="both"/>
              <w:rPr>
                <w:rFonts w:cs="Arial"/>
                <w:b/>
                <w:sz w:val="20"/>
                <w:szCs w:val="20"/>
                <w:u w:val="single"/>
              </w:rPr>
            </w:pPr>
          </w:p>
        </w:tc>
        <w:tc>
          <w:tcPr>
            <w:tcW w:w="6067" w:type="dxa"/>
            <w:gridSpan w:val="8"/>
          </w:tcPr>
          <w:p w14:paraId="187F14D3" w14:textId="77777777" w:rsidR="004434DE" w:rsidRPr="00903F89" w:rsidRDefault="004434DE" w:rsidP="00903F89">
            <w:pPr>
              <w:jc w:val="both"/>
              <w:rPr>
                <w:rFonts w:cs="Arial"/>
                <w:sz w:val="20"/>
                <w:szCs w:val="20"/>
              </w:rPr>
            </w:pPr>
          </w:p>
        </w:tc>
        <w:tc>
          <w:tcPr>
            <w:tcW w:w="2285" w:type="dxa"/>
            <w:gridSpan w:val="4"/>
          </w:tcPr>
          <w:p w14:paraId="5E4EA39D" w14:textId="77777777" w:rsidR="004434DE" w:rsidRPr="00903F89" w:rsidRDefault="004434DE" w:rsidP="00903F89">
            <w:pPr>
              <w:jc w:val="both"/>
              <w:rPr>
                <w:rFonts w:cs="Arial"/>
                <w:b/>
                <w:sz w:val="20"/>
                <w:szCs w:val="20"/>
                <w:u w:val="single"/>
              </w:rPr>
            </w:pPr>
          </w:p>
        </w:tc>
      </w:tr>
      <w:tr w:rsidR="007422AB" w:rsidRPr="00903F89" w14:paraId="0C1AE169" w14:textId="77777777" w:rsidTr="007422AB">
        <w:tc>
          <w:tcPr>
            <w:tcW w:w="10773" w:type="dxa"/>
            <w:gridSpan w:val="15"/>
          </w:tcPr>
          <w:p w14:paraId="2ABF688E" w14:textId="44F96339" w:rsidR="004434DE" w:rsidRPr="00903F89" w:rsidRDefault="004434DE" w:rsidP="00903F89">
            <w:pPr>
              <w:jc w:val="both"/>
              <w:rPr>
                <w:rFonts w:eastAsia="Arial" w:cs="Arial"/>
                <w:b/>
                <w:bCs/>
                <w:sz w:val="20"/>
                <w:szCs w:val="20"/>
                <w:u w:val="single"/>
                <w:lang w:val="en-US"/>
              </w:rPr>
            </w:pPr>
            <w:bookmarkStart w:id="20" w:name="_Hlk88555191"/>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137 – Ταμείο Συντάξεων/Φιλοδωρημάτων – €</w:t>
            </w:r>
            <w:r w:rsidR="009C4525" w:rsidRPr="00903F89">
              <w:rPr>
                <w:rFonts w:cs="Arial"/>
                <w:b/>
                <w:bCs/>
                <w:sz w:val="20"/>
                <w:szCs w:val="20"/>
                <w:u w:val="single"/>
              </w:rPr>
              <w:t>812.20</w:t>
            </w:r>
            <w:r w:rsidR="006A39F9">
              <w:rPr>
                <w:rFonts w:cs="Arial"/>
                <w:b/>
                <w:bCs/>
                <w:sz w:val="20"/>
                <w:szCs w:val="20"/>
                <w:u w:val="single"/>
              </w:rPr>
              <w:t>0</w:t>
            </w:r>
          </w:p>
        </w:tc>
      </w:tr>
      <w:tr w:rsidR="007422AB" w:rsidRPr="00903F89" w14:paraId="7F625E4F" w14:textId="77777777" w:rsidTr="007422AB">
        <w:tc>
          <w:tcPr>
            <w:tcW w:w="2187" w:type="dxa"/>
            <w:gridSpan w:val="2"/>
          </w:tcPr>
          <w:p w14:paraId="2D2376F2" w14:textId="77777777" w:rsidR="004434DE" w:rsidRPr="00903F89" w:rsidRDefault="004434DE" w:rsidP="00903F89">
            <w:pPr>
              <w:jc w:val="both"/>
              <w:rPr>
                <w:rFonts w:cs="Arial"/>
                <w:b/>
                <w:sz w:val="20"/>
                <w:szCs w:val="20"/>
                <w:u w:val="single"/>
              </w:rPr>
            </w:pPr>
          </w:p>
        </w:tc>
        <w:tc>
          <w:tcPr>
            <w:tcW w:w="4187" w:type="dxa"/>
            <w:gridSpan w:val="8"/>
          </w:tcPr>
          <w:p w14:paraId="4496F7B5" w14:textId="77777777" w:rsidR="004434DE" w:rsidRPr="00903F89" w:rsidRDefault="004434DE" w:rsidP="00903F89">
            <w:pPr>
              <w:jc w:val="both"/>
              <w:rPr>
                <w:rFonts w:cs="Arial"/>
                <w:sz w:val="20"/>
                <w:szCs w:val="20"/>
              </w:rPr>
            </w:pPr>
          </w:p>
        </w:tc>
        <w:tc>
          <w:tcPr>
            <w:tcW w:w="4399" w:type="dxa"/>
            <w:gridSpan w:val="5"/>
          </w:tcPr>
          <w:p w14:paraId="6EA9B3C4" w14:textId="77777777" w:rsidR="004434DE" w:rsidRPr="00903F89" w:rsidRDefault="004434DE" w:rsidP="00903F89">
            <w:pPr>
              <w:jc w:val="both"/>
              <w:rPr>
                <w:rFonts w:cs="Arial"/>
                <w:b/>
                <w:sz w:val="20"/>
                <w:szCs w:val="20"/>
                <w:u w:val="single"/>
              </w:rPr>
            </w:pPr>
          </w:p>
        </w:tc>
      </w:tr>
      <w:tr w:rsidR="007422AB" w:rsidRPr="00903F89" w14:paraId="261B92AC" w14:textId="77777777" w:rsidTr="007422AB">
        <w:tc>
          <w:tcPr>
            <w:tcW w:w="10773" w:type="dxa"/>
            <w:gridSpan w:val="15"/>
          </w:tcPr>
          <w:p w14:paraId="093DE234" w14:textId="1C57FE3F" w:rsidR="004434DE" w:rsidRPr="00903F89" w:rsidRDefault="004434DE" w:rsidP="00903F89">
            <w:pPr>
              <w:jc w:val="both"/>
              <w:rPr>
                <w:rFonts w:eastAsia="Arial" w:cs="Arial"/>
                <w:b/>
                <w:bCs/>
                <w:sz w:val="20"/>
                <w:szCs w:val="20"/>
                <w:u w:val="single"/>
              </w:rPr>
            </w:pPr>
            <w:r w:rsidRPr="00903F89">
              <w:rPr>
                <w:rFonts w:cs="Arial"/>
                <w:sz w:val="20"/>
                <w:szCs w:val="20"/>
              </w:rPr>
              <w:t>Η πρόνοια αφορά στην καταβολή συνταξιοδοτικών ωφελημάτων (μηνιαία σύνταξη και εφάπαξ ποσό – φιλοδώρημα) για το Ακαδημαϊκό και Άλλο Προσωπικό (πχ. Καθηγητές, Αναπληρωτές Καθηγητές, Επίκουρους Καθηγητές, Λέκτορες και Ειδικό Εκπαιδευτικό Προσωπικό).</w:t>
            </w:r>
          </w:p>
        </w:tc>
      </w:tr>
      <w:tr w:rsidR="007422AB" w:rsidRPr="00903F89" w14:paraId="729158F5" w14:textId="77777777" w:rsidTr="007422AB">
        <w:tc>
          <w:tcPr>
            <w:tcW w:w="2187" w:type="dxa"/>
            <w:gridSpan w:val="2"/>
          </w:tcPr>
          <w:p w14:paraId="6A299565" w14:textId="77777777" w:rsidR="004434DE" w:rsidRPr="00903F89" w:rsidRDefault="004434DE" w:rsidP="00903F89">
            <w:pPr>
              <w:jc w:val="both"/>
              <w:rPr>
                <w:rFonts w:cs="Arial"/>
                <w:b/>
                <w:sz w:val="20"/>
                <w:szCs w:val="20"/>
                <w:u w:val="single"/>
              </w:rPr>
            </w:pPr>
          </w:p>
        </w:tc>
        <w:tc>
          <w:tcPr>
            <w:tcW w:w="4187" w:type="dxa"/>
            <w:gridSpan w:val="8"/>
          </w:tcPr>
          <w:p w14:paraId="58552F23" w14:textId="77777777" w:rsidR="004434DE" w:rsidRPr="00903F89" w:rsidRDefault="004434DE" w:rsidP="00903F89">
            <w:pPr>
              <w:jc w:val="both"/>
              <w:rPr>
                <w:rFonts w:cs="Arial"/>
                <w:sz w:val="20"/>
                <w:szCs w:val="20"/>
              </w:rPr>
            </w:pPr>
          </w:p>
        </w:tc>
        <w:tc>
          <w:tcPr>
            <w:tcW w:w="4399" w:type="dxa"/>
            <w:gridSpan w:val="5"/>
          </w:tcPr>
          <w:p w14:paraId="56FE3DAF" w14:textId="77777777" w:rsidR="004434DE" w:rsidRPr="00903F89" w:rsidRDefault="004434DE" w:rsidP="00903F89">
            <w:pPr>
              <w:jc w:val="both"/>
              <w:rPr>
                <w:rFonts w:cs="Arial"/>
                <w:b/>
                <w:sz w:val="20"/>
                <w:szCs w:val="20"/>
                <w:u w:val="single"/>
              </w:rPr>
            </w:pPr>
          </w:p>
        </w:tc>
      </w:tr>
      <w:tr w:rsidR="007422AB" w:rsidRPr="00903F89" w14:paraId="3F3976B6" w14:textId="77777777" w:rsidTr="007422AB">
        <w:tc>
          <w:tcPr>
            <w:tcW w:w="10773" w:type="dxa"/>
            <w:gridSpan w:val="15"/>
          </w:tcPr>
          <w:p w14:paraId="6CACE0D0" w14:textId="77AF65B5" w:rsidR="004434DE" w:rsidRPr="00903F89" w:rsidRDefault="004434DE" w:rsidP="00903F89">
            <w:pPr>
              <w:jc w:val="both"/>
              <w:rPr>
                <w:rFonts w:eastAsia="Arial" w:cs="Arial"/>
                <w:b/>
                <w:bCs/>
                <w:sz w:val="20"/>
                <w:szCs w:val="20"/>
                <w:u w:val="single"/>
              </w:rPr>
            </w:pPr>
            <w:r w:rsidRPr="00903F89">
              <w:rPr>
                <w:rFonts w:cs="Arial"/>
                <w:sz w:val="20"/>
                <w:szCs w:val="20"/>
              </w:rPr>
              <w:t>Σημειώνεται ότι:</w:t>
            </w:r>
          </w:p>
        </w:tc>
      </w:tr>
      <w:tr w:rsidR="007422AB" w:rsidRPr="00903F89" w14:paraId="23BED167" w14:textId="77777777" w:rsidTr="007422AB">
        <w:tc>
          <w:tcPr>
            <w:tcW w:w="2187" w:type="dxa"/>
            <w:gridSpan w:val="2"/>
          </w:tcPr>
          <w:p w14:paraId="60177F6E" w14:textId="77777777" w:rsidR="004434DE" w:rsidRPr="00903F89" w:rsidRDefault="004434DE" w:rsidP="00903F89">
            <w:pPr>
              <w:jc w:val="both"/>
              <w:rPr>
                <w:rFonts w:cs="Arial"/>
                <w:b/>
                <w:sz w:val="20"/>
                <w:szCs w:val="20"/>
                <w:u w:val="single"/>
              </w:rPr>
            </w:pPr>
          </w:p>
        </w:tc>
        <w:tc>
          <w:tcPr>
            <w:tcW w:w="4187" w:type="dxa"/>
            <w:gridSpan w:val="8"/>
          </w:tcPr>
          <w:p w14:paraId="0080877D" w14:textId="77777777" w:rsidR="004434DE" w:rsidRPr="00903F89" w:rsidRDefault="004434DE" w:rsidP="00903F89">
            <w:pPr>
              <w:tabs>
                <w:tab w:val="left" w:pos="426"/>
              </w:tabs>
              <w:jc w:val="both"/>
              <w:rPr>
                <w:rFonts w:cs="Arial"/>
                <w:sz w:val="20"/>
                <w:szCs w:val="20"/>
              </w:rPr>
            </w:pPr>
          </w:p>
        </w:tc>
        <w:tc>
          <w:tcPr>
            <w:tcW w:w="4399" w:type="dxa"/>
            <w:gridSpan w:val="5"/>
          </w:tcPr>
          <w:p w14:paraId="5DDA88CC" w14:textId="77777777" w:rsidR="004434DE" w:rsidRPr="00903F89" w:rsidRDefault="004434DE" w:rsidP="00903F89">
            <w:pPr>
              <w:jc w:val="both"/>
              <w:rPr>
                <w:rFonts w:cs="Arial"/>
                <w:b/>
                <w:sz w:val="20"/>
                <w:szCs w:val="20"/>
                <w:u w:val="single"/>
              </w:rPr>
            </w:pPr>
          </w:p>
        </w:tc>
      </w:tr>
      <w:tr w:rsidR="007422AB" w:rsidRPr="00903F89" w14:paraId="37EA5623" w14:textId="77777777" w:rsidTr="007422AB">
        <w:tc>
          <w:tcPr>
            <w:tcW w:w="10773" w:type="dxa"/>
            <w:gridSpan w:val="15"/>
            <w:shd w:val="clear" w:color="auto" w:fill="auto"/>
          </w:tcPr>
          <w:p w14:paraId="246775F8" w14:textId="56A919C5" w:rsidR="0047086D" w:rsidRPr="006E5981" w:rsidRDefault="004434DE" w:rsidP="006E5981">
            <w:pPr>
              <w:numPr>
                <w:ilvl w:val="0"/>
                <w:numId w:val="47"/>
              </w:numPr>
              <w:ind w:left="605" w:right="54" w:hanging="605"/>
              <w:jc w:val="both"/>
              <w:rPr>
                <w:rFonts w:eastAsia="Arial" w:cs="Arial"/>
                <w:sz w:val="20"/>
                <w:szCs w:val="20"/>
              </w:rPr>
            </w:pPr>
            <w:r w:rsidRPr="00903F89">
              <w:rPr>
                <w:rFonts w:cs="Arial"/>
                <w:sz w:val="20"/>
                <w:szCs w:val="20"/>
              </w:rPr>
              <w:t>ο τρόπος υπολογισμού των σχετικών συντάξεων γίνεται σύμφωνα με</w:t>
            </w:r>
            <w:r w:rsidR="0047086D" w:rsidRPr="00903F89">
              <w:rPr>
                <w:rFonts w:cs="Arial"/>
                <w:sz w:val="20"/>
                <w:szCs w:val="20"/>
              </w:rPr>
              <w:t>:</w:t>
            </w:r>
          </w:p>
          <w:p w14:paraId="304E71EF" w14:textId="77777777" w:rsidR="006E5981" w:rsidRPr="00903F89" w:rsidRDefault="006E5981" w:rsidP="006E5981">
            <w:pPr>
              <w:ind w:left="605" w:right="54"/>
              <w:jc w:val="both"/>
              <w:rPr>
                <w:rFonts w:eastAsia="Arial" w:cs="Arial"/>
                <w:sz w:val="20"/>
                <w:szCs w:val="20"/>
              </w:rPr>
            </w:pPr>
          </w:p>
          <w:p w14:paraId="67CBEEC5" w14:textId="4C75AFB8" w:rsidR="0047086D" w:rsidRDefault="006E5981" w:rsidP="006E5981">
            <w:pPr>
              <w:pStyle w:val="ListParagraph"/>
              <w:ind w:left="605" w:right="54" w:hanging="605"/>
              <w:jc w:val="both"/>
              <w:rPr>
                <w:rFonts w:cs="Arial"/>
                <w:sz w:val="20"/>
                <w:szCs w:val="20"/>
              </w:rPr>
            </w:pPr>
            <w:r>
              <w:rPr>
                <w:rFonts w:cs="Arial"/>
                <w:sz w:val="20"/>
                <w:szCs w:val="20"/>
              </w:rPr>
              <w:tab/>
            </w:r>
            <w:r w:rsidR="004434DE" w:rsidRPr="006E5981">
              <w:rPr>
                <w:rFonts w:cs="Arial"/>
                <w:sz w:val="20"/>
                <w:szCs w:val="20"/>
              </w:rPr>
              <w:t xml:space="preserve">(α) τις διατάξεις του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 του 2012, </w:t>
            </w:r>
            <w:r>
              <w:rPr>
                <w:rFonts w:cs="Arial"/>
                <w:sz w:val="20"/>
                <w:szCs w:val="20"/>
              </w:rPr>
              <w:t>και</w:t>
            </w:r>
          </w:p>
          <w:p w14:paraId="59E31423" w14:textId="77777777" w:rsidR="006E5981" w:rsidRPr="006E5981" w:rsidRDefault="006E5981" w:rsidP="006E5981">
            <w:pPr>
              <w:pStyle w:val="ListParagraph"/>
              <w:ind w:left="605" w:right="54" w:hanging="605"/>
              <w:jc w:val="both"/>
              <w:rPr>
                <w:rFonts w:cs="Arial"/>
                <w:sz w:val="20"/>
                <w:szCs w:val="20"/>
              </w:rPr>
            </w:pPr>
          </w:p>
          <w:p w14:paraId="29FB975D" w14:textId="19FE8C8D" w:rsidR="004434DE" w:rsidRPr="006E5981" w:rsidRDefault="006E5981" w:rsidP="006E5981">
            <w:pPr>
              <w:pStyle w:val="ListParagraph"/>
              <w:ind w:left="605" w:right="54" w:hanging="605"/>
              <w:jc w:val="both"/>
              <w:rPr>
                <w:rFonts w:eastAsia="Arial" w:cs="Arial"/>
                <w:sz w:val="20"/>
                <w:szCs w:val="20"/>
              </w:rPr>
            </w:pPr>
            <w:r>
              <w:rPr>
                <w:rFonts w:cs="Arial"/>
                <w:sz w:val="20"/>
                <w:szCs w:val="20"/>
              </w:rPr>
              <w:tab/>
            </w:r>
            <w:r w:rsidR="004434DE" w:rsidRPr="006E5981">
              <w:rPr>
                <w:rFonts w:cs="Arial"/>
                <w:sz w:val="20"/>
                <w:szCs w:val="20"/>
              </w:rPr>
              <w:t>(β) τους περί Πανεπιστημίου Κύπρου (Συντάξεις Ακαδημαϊκού Προσωπικού) Κανονισμούς του 1991 και 2017, και</w:t>
            </w:r>
          </w:p>
          <w:p w14:paraId="1DAD2BF0" w14:textId="77777777" w:rsidR="004434DE" w:rsidRPr="00903F89" w:rsidRDefault="004434DE" w:rsidP="006E5981">
            <w:pPr>
              <w:ind w:left="605" w:right="54" w:hanging="605"/>
              <w:jc w:val="both"/>
              <w:rPr>
                <w:rFonts w:eastAsia="Arial" w:cs="Arial"/>
                <w:sz w:val="20"/>
                <w:szCs w:val="20"/>
              </w:rPr>
            </w:pPr>
          </w:p>
          <w:p w14:paraId="48A68933" w14:textId="4385B344" w:rsidR="004434DE" w:rsidRPr="00903F89" w:rsidRDefault="004434DE" w:rsidP="006E5981">
            <w:pPr>
              <w:numPr>
                <w:ilvl w:val="0"/>
                <w:numId w:val="47"/>
              </w:numPr>
              <w:ind w:left="605" w:right="54" w:hanging="605"/>
              <w:jc w:val="both"/>
              <w:rPr>
                <w:rFonts w:eastAsia="Arial" w:cs="Arial"/>
                <w:sz w:val="20"/>
                <w:szCs w:val="20"/>
              </w:rPr>
            </w:pPr>
            <w:r w:rsidRPr="00903F89">
              <w:rPr>
                <w:rFonts w:cs="Arial"/>
                <w:sz w:val="20"/>
                <w:szCs w:val="20"/>
              </w:rPr>
              <w:t>σύμφωνα με τους περί Πανεπιστημίου Κύπρου (Συντάξεις Ακαδημαϊκού Προσωπικού) Κανονισμούς του 1991 και 2017, η συνταξιοδότηση του μόνιμου ακαδημαϊκού προσωπικού μπορεί να γίνει αφού συμπληρώσει το 62</w:t>
            </w:r>
            <w:r w:rsidRPr="00903F89">
              <w:rPr>
                <w:rFonts w:cs="Arial"/>
                <w:sz w:val="20"/>
                <w:szCs w:val="20"/>
                <w:vertAlign w:val="superscript"/>
              </w:rPr>
              <w:t>ο</w:t>
            </w:r>
            <w:r w:rsidRPr="00903F89">
              <w:rPr>
                <w:rFonts w:cs="Arial"/>
                <w:sz w:val="20"/>
                <w:szCs w:val="20"/>
              </w:rPr>
              <w:t xml:space="preserve"> έτος της ηλικίας του.  Τα μέλη του ακαδημαϊκού προσωπικού αφυπηρετούν υποχρεωτικά κατά τη λήξη του ακαδημαϊκού έτους εντός του οποίου συμπληρώνουν το 67</w:t>
            </w:r>
            <w:r w:rsidRPr="00903F89">
              <w:rPr>
                <w:rFonts w:cs="Arial"/>
                <w:sz w:val="20"/>
                <w:szCs w:val="20"/>
                <w:vertAlign w:val="superscript"/>
              </w:rPr>
              <w:t>ο</w:t>
            </w:r>
            <w:r w:rsidRPr="00903F89">
              <w:rPr>
                <w:rFonts w:cs="Arial"/>
                <w:sz w:val="20"/>
                <w:szCs w:val="20"/>
              </w:rPr>
              <w:t xml:space="preserve"> έτος της ηλικίας τους.</w:t>
            </w:r>
          </w:p>
        </w:tc>
      </w:tr>
      <w:tr w:rsidR="007422AB" w:rsidRPr="00903F89" w14:paraId="6D3E0B46" w14:textId="77777777" w:rsidTr="007422AB">
        <w:tc>
          <w:tcPr>
            <w:tcW w:w="2187" w:type="dxa"/>
            <w:gridSpan w:val="2"/>
          </w:tcPr>
          <w:p w14:paraId="2D2CB646" w14:textId="77777777" w:rsidR="004434DE" w:rsidRPr="00903F89" w:rsidRDefault="004434DE" w:rsidP="00903F89">
            <w:pPr>
              <w:jc w:val="both"/>
              <w:rPr>
                <w:rFonts w:cs="Arial"/>
                <w:b/>
                <w:sz w:val="20"/>
                <w:szCs w:val="20"/>
                <w:u w:val="single"/>
              </w:rPr>
            </w:pPr>
          </w:p>
        </w:tc>
        <w:tc>
          <w:tcPr>
            <w:tcW w:w="4187" w:type="dxa"/>
            <w:gridSpan w:val="8"/>
          </w:tcPr>
          <w:p w14:paraId="27596769" w14:textId="77777777" w:rsidR="004434DE" w:rsidRPr="00903F89" w:rsidRDefault="004434DE" w:rsidP="00903F89">
            <w:pPr>
              <w:jc w:val="both"/>
              <w:rPr>
                <w:rFonts w:cs="Arial"/>
                <w:sz w:val="20"/>
                <w:szCs w:val="20"/>
              </w:rPr>
            </w:pPr>
          </w:p>
        </w:tc>
        <w:tc>
          <w:tcPr>
            <w:tcW w:w="4399" w:type="dxa"/>
            <w:gridSpan w:val="5"/>
          </w:tcPr>
          <w:p w14:paraId="2BE0E1AA" w14:textId="77777777" w:rsidR="004434DE" w:rsidRPr="00903F89" w:rsidRDefault="004434DE" w:rsidP="00903F89">
            <w:pPr>
              <w:jc w:val="both"/>
              <w:rPr>
                <w:rFonts w:cs="Arial"/>
                <w:b/>
                <w:sz w:val="20"/>
                <w:szCs w:val="20"/>
                <w:u w:val="single"/>
              </w:rPr>
            </w:pPr>
          </w:p>
        </w:tc>
      </w:tr>
      <w:tr w:rsidR="007422AB" w:rsidRPr="00903F89" w14:paraId="34F03541" w14:textId="77777777" w:rsidTr="007422AB">
        <w:tc>
          <w:tcPr>
            <w:tcW w:w="10773" w:type="dxa"/>
            <w:gridSpan w:val="15"/>
          </w:tcPr>
          <w:p w14:paraId="688AEE98" w14:textId="7C4AB2D5" w:rsidR="004434DE" w:rsidRPr="008A7323" w:rsidRDefault="008A7323" w:rsidP="00903F89">
            <w:pPr>
              <w:jc w:val="both"/>
              <w:rPr>
                <w:rFonts w:cs="Arial"/>
                <w:sz w:val="20"/>
                <w:szCs w:val="20"/>
              </w:rPr>
            </w:pPr>
            <w:r w:rsidRPr="008A7323">
              <w:rPr>
                <w:rFonts w:cs="Arial"/>
                <w:sz w:val="20"/>
                <w:szCs w:val="20"/>
              </w:rPr>
              <w:t>Η πρόνοια προορίζεται να καλύψει τις ετήσιες συντάξεις των μελών του Ακαδημαϊκού και Άλλου Προσωπικού που έχουν ήδη συνταξιοδοτηθεί, την ετήσια σύνταξη και εφάπαξ ποσό σε μέλη που αναμένεται να συνταξιοδοτηθούν εντός του 2022, καθώς και την καταβολή των συνταξιοδοτικών ωφελημάτων για μέλη του προσωπικού τα οποία ενδέχεται να αιτηθούν πρόωρης αφυπηρέτησης.</w:t>
            </w:r>
            <w:r>
              <w:t xml:space="preserve"> </w:t>
            </w:r>
            <w:r w:rsidRPr="008A7323">
              <w:rPr>
                <w:rFonts w:cs="Arial"/>
                <w:sz w:val="20"/>
                <w:szCs w:val="20"/>
              </w:rPr>
              <w:t>Περιλαμβάνεται ενδεικτική πρόνοια για την παραχώρηση φιλοδωρήματος σε μέλη Ακαδημαϊκού Προσωπικού που αποχωρούν από το Πανεπιστήμιο Κύπρου όπως αυτό προνοείται στη σχετική Νομοθεσία του Πανεπιστημίου Κύπρου.</w:t>
            </w:r>
          </w:p>
        </w:tc>
      </w:tr>
      <w:tr w:rsidR="007422AB" w:rsidRPr="00903F89" w14:paraId="7299B10F" w14:textId="77777777" w:rsidTr="007422AB">
        <w:tc>
          <w:tcPr>
            <w:tcW w:w="2187" w:type="dxa"/>
            <w:gridSpan w:val="2"/>
          </w:tcPr>
          <w:p w14:paraId="2A46261F" w14:textId="77777777" w:rsidR="004434DE" w:rsidRPr="00903F89" w:rsidRDefault="004434DE" w:rsidP="00903F89">
            <w:pPr>
              <w:jc w:val="both"/>
              <w:rPr>
                <w:rFonts w:cs="Arial"/>
                <w:b/>
                <w:sz w:val="20"/>
                <w:szCs w:val="20"/>
                <w:u w:val="single"/>
              </w:rPr>
            </w:pPr>
          </w:p>
        </w:tc>
        <w:tc>
          <w:tcPr>
            <w:tcW w:w="4187" w:type="dxa"/>
            <w:gridSpan w:val="8"/>
          </w:tcPr>
          <w:p w14:paraId="60313EDD" w14:textId="77777777" w:rsidR="004434DE" w:rsidRPr="00903F89" w:rsidRDefault="004434DE" w:rsidP="00903F89">
            <w:pPr>
              <w:jc w:val="both"/>
              <w:rPr>
                <w:rFonts w:cs="Arial"/>
                <w:sz w:val="20"/>
                <w:szCs w:val="20"/>
              </w:rPr>
            </w:pPr>
          </w:p>
        </w:tc>
        <w:tc>
          <w:tcPr>
            <w:tcW w:w="4399" w:type="dxa"/>
            <w:gridSpan w:val="5"/>
          </w:tcPr>
          <w:p w14:paraId="5C4588B0" w14:textId="77777777" w:rsidR="004434DE" w:rsidRPr="00903F89" w:rsidRDefault="004434DE" w:rsidP="00903F89">
            <w:pPr>
              <w:jc w:val="both"/>
              <w:rPr>
                <w:rFonts w:cs="Arial"/>
                <w:b/>
                <w:sz w:val="20"/>
                <w:szCs w:val="20"/>
                <w:u w:val="single"/>
              </w:rPr>
            </w:pPr>
          </w:p>
        </w:tc>
      </w:tr>
      <w:tr w:rsidR="007422AB" w:rsidRPr="00903F89" w14:paraId="0B7465EB" w14:textId="77777777" w:rsidTr="007422AB">
        <w:tc>
          <w:tcPr>
            <w:tcW w:w="10773" w:type="dxa"/>
            <w:gridSpan w:val="15"/>
          </w:tcPr>
          <w:p w14:paraId="384A0A28" w14:textId="4103F196" w:rsidR="004434DE" w:rsidRPr="00903F89" w:rsidRDefault="004434DE" w:rsidP="00903F89">
            <w:pPr>
              <w:jc w:val="both"/>
              <w:rPr>
                <w:rFonts w:eastAsia="Arial" w:cs="Arial"/>
                <w:b/>
                <w:bCs/>
                <w:sz w:val="20"/>
                <w:szCs w:val="20"/>
                <w:u w:val="single"/>
              </w:rPr>
            </w:pPr>
            <w:r w:rsidRPr="00903F89">
              <w:rPr>
                <w:rFonts w:cs="Arial"/>
                <w:sz w:val="20"/>
                <w:szCs w:val="20"/>
              </w:rPr>
              <w:t>Σημειώνεται επίσης ότι, σύμφωνα με τον Περί Πανεπιστημίου Κύπρου Νόμο, το Συμβούλιο μπορεί ύστερα από συνεννόηση με τη Σύγκλητο να εκδίδει Κανονισμούς για ή αναφορικά με τη ρύθμιση του θέματος παροχής συντάξεων είτε με την ίδρυση ταμείου είτε με την προσχώρηση σε ταμείο που διοικείται από άλλους.</w:t>
            </w:r>
          </w:p>
        </w:tc>
      </w:tr>
      <w:bookmarkEnd w:id="20"/>
      <w:tr w:rsidR="007422AB" w:rsidRPr="00903F89" w14:paraId="19FD19FA" w14:textId="77777777" w:rsidTr="007422AB">
        <w:tc>
          <w:tcPr>
            <w:tcW w:w="10773" w:type="dxa"/>
            <w:gridSpan w:val="15"/>
          </w:tcPr>
          <w:p w14:paraId="3A102F8D" w14:textId="39F8D3DA" w:rsidR="0098754E" w:rsidRPr="00903F89" w:rsidRDefault="0098754E" w:rsidP="00903F89">
            <w:pPr>
              <w:jc w:val="both"/>
              <w:rPr>
                <w:rFonts w:cs="Arial"/>
                <w:sz w:val="20"/>
                <w:szCs w:val="20"/>
              </w:rPr>
            </w:pPr>
          </w:p>
        </w:tc>
      </w:tr>
      <w:tr w:rsidR="007422AB" w:rsidRPr="00903F89" w14:paraId="41DBB18B" w14:textId="77777777" w:rsidTr="007422AB">
        <w:tc>
          <w:tcPr>
            <w:tcW w:w="10773" w:type="dxa"/>
            <w:gridSpan w:val="15"/>
          </w:tcPr>
          <w:p w14:paraId="57E68726" w14:textId="21981ACD" w:rsidR="004434DE" w:rsidRPr="00903F89" w:rsidRDefault="00E822A2" w:rsidP="00903F89">
            <w:pPr>
              <w:jc w:val="both"/>
              <w:rPr>
                <w:rFonts w:eastAsia="Arial" w:cs="Arial"/>
                <w:b/>
                <w:bCs/>
                <w:sz w:val="20"/>
                <w:szCs w:val="20"/>
                <w:u w:val="single"/>
              </w:rPr>
            </w:pPr>
            <w:r w:rsidRPr="00903F89">
              <w:rPr>
                <w:rFonts w:cs="Arial"/>
                <w:b/>
                <w:bCs/>
                <w:sz w:val="20"/>
                <w:szCs w:val="20"/>
                <w:u w:val="single"/>
              </w:rPr>
              <w:t>Άρθρο</w:t>
            </w:r>
            <w:r w:rsidR="004434DE" w:rsidRPr="00903F89">
              <w:rPr>
                <w:rFonts w:cs="Arial"/>
                <w:b/>
                <w:bCs/>
                <w:sz w:val="20"/>
                <w:szCs w:val="20"/>
                <w:u w:val="single"/>
              </w:rPr>
              <w:t xml:space="preserve"> </w:t>
            </w:r>
            <w:r w:rsidR="0007111E" w:rsidRPr="00903F89">
              <w:rPr>
                <w:rFonts w:cs="Arial"/>
                <w:b/>
                <w:bCs/>
                <w:sz w:val="20"/>
                <w:szCs w:val="20"/>
                <w:u w:val="single"/>
              </w:rPr>
              <w:t>11-</w:t>
            </w:r>
            <w:r w:rsidR="004434DE" w:rsidRPr="00903F89">
              <w:rPr>
                <w:rFonts w:cs="Arial"/>
                <w:b/>
                <w:bCs/>
                <w:sz w:val="20"/>
                <w:szCs w:val="20"/>
                <w:u w:val="single"/>
              </w:rPr>
              <w:t>139 – Καταβολή Συνεισφορών προς Σχέδιο Συντάξεων και Φιλοδωρημάτων – €10</w:t>
            </w:r>
          </w:p>
        </w:tc>
      </w:tr>
      <w:tr w:rsidR="007422AB" w:rsidRPr="00903F89" w14:paraId="0A38438B" w14:textId="77777777" w:rsidTr="007422AB">
        <w:tc>
          <w:tcPr>
            <w:tcW w:w="1951" w:type="dxa"/>
          </w:tcPr>
          <w:p w14:paraId="28E4B3F3" w14:textId="77777777" w:rsidR="004434DE" w:rsidRPr="00903F89" w:rsidRDefault="004434DE" w:rsidP="00903F89">
            <w:pPr>
              <w:jc w:val="both"/>
              <w:rPr>
                <w:rFonts w:cs="Arial"/>
                <w:b/>
                <w:sz w:val="20"/>
                <w:szCs w:val="20"/>
                <w:u w:val="single"/>
              </w:rPr>
            </w:pPr>
          </w:p>
        </w:tc>
        <w:tc>
          <w:tcPr>
            <w:tcW w:w="4208" w:type="dxa"/>
            <w:gridSpan w:val="8"/>
          </w:tcPr>
          <w:p w14:paraId="68D84B0A" w14:textId="77777777" w:rsidR="004434DE" w:rsidRPr="00903F89" w:rsidRDefault="004434DE" w:rsidP="00903F89">
            <w:pPr>
              <w:jc w:val="both"/>
              <w:rPr>
                <w:rFonts w:cs="Arial"/>
                <w:sz w:val="20"/>
                <w:szCs w:val="20"/>
              </w:rPr>
            </w:pPr>
          </w:p>
        </w:tc>
        <w:tc>
          <w:tcPr>
            <w:tcW w:w="4614" w:type="dxa"/>
            <w:gridSpan w:val="6"/>
          </w:tcPr>
          <w:p w14:paraId="4CC3AFB3" w14:textId="77777777" w:rsidR="004434DE" w:rsidRPr="00903F89" w:rsidRDefault="004434DE" w:rsidP="00903F89">
            <w:pPr>
              <w:jc w:val="both"/>
              <w:rPr>
                <w:rFonts w:cs="Arial"/>
                <w:b/>
                <w:sz w:val="20"/>
                <w:szCs w:val="20"/>
                <w:u w:val="single"/>
              </w:rPr>
            </w:pPr>
          </w:p>
        </w:tc>
      </w:tr>
      <w:tr w:rsidR="007422AB" w:rsidRPr="00903F89" w14:paraId="6A8F560D" w14:textId="77777777" w:rsidTr="007422AB">
        <w:tc>
          <w:tcPr>
            <w:tcW w:w="10773" w:type="dxa"/>
            <w:gridSpan w:val="15"/>
          </w:tcPr>
          <w:p w14:paraId="72CAD662" w14:textId="2A96E577" w:rsidR="004434DE" w:rsidRPr="00903F89" w:rsidRDefault="004434DE" w:rsidP="00903F89">
            <w:pPr>
              <w:jc w:val="both"/>
              <w:rPr>
                <w:rFonts w:eastAsia="Arial" w:cs="Arial"/>
                <w:b/>
                <w:bCs/>
                <w:sz w:val="20"/>
                <w:szCs w:val="20"/>
                <w:u w:val="single"/>
              </w:rPr>
            </w:pPr>
            <w:r w:rsidRPr="00903F89">
              <w:rPr>
                <w:rFonts w:cs="Arial"/>
                <w:sz w:val="20"/>
                <w:szCs w:val="20"/>
              </w:rPr>
              <w:t>Σύμφωνα με τον περί Πανεπιστημίου Κύπρου Νόμο144/89, Άρθρο 32(1) (</w:t>
            </w:r>
            <w:proofErr w:type="spellStart"/>
            <w:r w:rsidRPr="00903F89">
              <w:rPr>
                <w:rFonts w:cs="Arial"/>
                <w:sz w:val="20"/>
                <w:szCs w:val="20"/>
              </w:rPr>
              <w:t>ιδ</w:t>
            </w:r>
            <w:proofErr w:type="spellEnd"/>
            <w:r w:rsidRPr="00903F89">
              <w:rPr>
                <w:rFonts w:cs="Arial"/>
                <w:sz w:val="20"/>
                <w:szCs w:val="20"/>
              </w:rPr>
              <w:t>), το Συμβούλιο μπορεί ύστερα από συνεννόηση με τη Σύγκλητο να εκδίδει Κανονισμούς για ή αναφορικά με τη ρύθμιση του θέματος παροχής συντάξεων είτε με την ίδρυση ταμείου είτε με την προσχώρηση σε ταμείο που διοικείται από άλλους.  Σ</w:t>
            </w:r>
            <w:r w:rsidR="00CE4EFE">
              <w:rPr>
                <w:rFonts w:cs="Arial"/>
                <w:sz w:val="20"/>
                <w:szCs w:val="20"/>
              </w:rPr>
              <w:t>ε</w:t>
            </w:r>
            <w:r w:rsidRPr="00903F89">
              <w:rPr>
                <w:rFonts w:cs="Arial"/>
                <w:sz w:val="20"/>
                <w:szCs w:val="20"/>
              </w:rPr>
              <w:t xml:space="preserve"> εκθέσεις της Ελεγκτικής Υπηρεσίας επισημαίνεται ετησίως ότι, το Πανεπιστήμιο Κύπρου έπρεπε να ιδρύσει Ταμείο Συντάξεων.  </w:t>
            </w:r>
          </w:p>
        </w:tc>
      </w:tr>
      <w:tr w:rsidR="007422AB" w:rsidRPr="00903F89" w14:paraId="435720FD" w14:textId="77777777" w:rsidTr="007422AB">
        <w:tc>
          <w:tcPr>
            <w:tcW w:w="1951" w:type="dxa"/>
          </w:tcPr>
          <w:p w14:paraId="16C8C650" w14:textId="77777777" w:rsidR="004434DE" w:rsidRPr="00903F89" w:rsidRDefault="004434DE" w:rsidP="00903F89">
            <w:pPr>
              <w:jc w:val="both"/>
              <w:rPr>
                <w:rFonts w:cs="Arial"/>
                <w:b/>
                <w:sz w:val="20"/>
                <w:szCs w:val="20"/>
                <w:u w:val="single"/>
              </w:rPr>
            </w:pPr>
          </w:p>
        </w:tc>
        <w:tc>
          <w:tcPr>
            <w:tcW w:w="4208" w:type="dxa"/>
            <w:gridSpan w:val="8"/>
          </w:tcPr>
          <w:p w14:paraId="2F6CBA1D" w14:textId="77777777" w:rsidR="004434DE" w:rsidRPr="00903F89" w:rsidRDefault="004434DE" w:rsidP="00903F89">
            <w:pPr>
              <w:jc w:val="both"/>
              <w:rPr>
                <w:rFonts w:cs="Arial"/>
                <w:sz w:val="20"/>
                <w:szCs w:val="20"/>
              </w:rPr>
            </w:pPr>
          </w:p>
        </w:tc>
        <w:tc>
          <w:tcPr>
            <w:tcW w:w="4614" w:type="dxa"/>
            <w:gridSpan w:val="6"/>
          </w:tcPr>
          <w:p w14:paraId="792CB636" w14:textId="77777777" w:rsidR="004434DE" w:rsidRPr="00903F89" w:rsidRDefault="004434DE" w:rsidP="00903F89">
            <w:pPr>
              <w:jc w:val="both"/>
              <w:rPr>
                <w:rFonts w:cs="Arial"/>
                <w:b/>
                <w:sz w:val="20"/>
                <w:szCs w:val="20"/>
                <w:u w:val="single"/>
              </w:rPr>
            </w:pPr>
          </w:p>
        </w:tc>
      </w:tr>
      <w:tr w:rsidR="007422AB" w:rsidRPr="00903F89" w14:paraId="4FE13F58" w14:textId="77777777" w:rsidTr="007422AB">
        <w:tc>
          <w:tcPr>
            <w:tcW w:w="10773" w:type="dxa"/>
            <w:gridSpan w:val="15"/>
          </w:tcPr>
          <w:p w14:paraId="28409001" w14:textId="68068329" w:rsidR="004434DE" w:rsidRPr="00903F89" w:rsidRDefault="004434DE" w:rsidP="00903F89">
            <w:pPr>
              <w:jc w:val="both"/>
              <w:rPr>
                <w:rFonts w:eastAsia="Arial" w:cs="Arial"/>
                <w:b/>
                <w:bCs/>
                <w:sz w:val="20"/>
                <w:szCs w:val="20"/>
                <w:u w:val="single"/>
              </w:rPr>
            </w:pPr>
            <w:r w:rsidRPr="00903F89">
              <w:rPr>
                <w:rFonts w:cs="Arial"/>
                <w:sz w:val="20"/>
                <w:szCs w:val="20"/>
              </w:rPr>
              <w:t xml:space="preserve">Παρά τις προσπάθειες που έχουν καταβληθεί για την ίδρυση του σχετικού Ταμείου η ίδρυση του ακόμη εκκρεμεί λόγω της μη έγκρισης του από το κράτος.  Οι συντάξεις και τα φιλοδωρήματα του προσωπικού του Πανεπιστημίου καταβάλλονται μέσω του Προϋπολογισμού του και συγκεκριμένα στο πλαίσιο του Άρθρου </w:t>
            </w:r>
            <w:r w:rsidR="00ED518A" w:rsidRPr="00903F89">
              <w:rPr>
                <w:rFonts w:cs="Arial"/>
                <w:sz w:val="20"/>
                <w:szCs w:val="20"/>
              </w:rPr>
              <w:t>11-</w:t>
            </w:r>
            <w:r w:rsidRPr="00903F89">
              <w:rPr>
                <w:rFonts w:cs="Arial"/>
                <w:sz w:val="20"/>
                <w:szCs w:val="20"/>
              </w:rPr>
              <w:t xml:space="preserve">137 «Ταμείο Συντάξεων και Φιλοδωρημάτων».  </w:t>
            </w:r>
          </w:p>
        </w:tc>
      </w:tr>
      <w:tr w:rsidR="007422AB" w:rsidRPr="00903F89" w14:paraId="6464D1F9" w14:textId="77777777" w:rsidTr="007422AB">
        <w:tc>
          <w:tcPr>
            <w:tcW w:w="1951" w:type="dxa"/>
          </w:tcPr>
          <w:p w14:paraId="2BAE6B21" w14:textId="77777777" w:rsidR="004434DE" w:rsidRPr="00903F89" w:rsidRDefault="004434DE" w:rsidP="00903F89">
            <w:pPr>
              <w:jc w:val="both"/>
              <w:rPr>
                <w:rFonts w:cs="Arial"/>
                <w:b/>
                <w:sz w:val="20"/>
                <w:szCs w:val="20"/>
                <w:u w:val="single"/>
              </w:rPr>
            </w:pPr>
          </w:p>
        </w:tc>
        <w:tc>
          <w:tcPr>
            <w:tcW w:w="4208" w:type="dxa"/>
            <w:gridSpan w:val="8"/>
          </w:tcPr>
          <w:p w14:paraId="5D509732" w14:textId="77777777" w:rsidR="004434DE" w:rsidRPr="00903F89" w:rsidRDefault="004434DE" w:rsidP="00903F89">
            <w:pPr>
              <w:jc w:val="both"/>
              <w:rPr>
                <w:rFonts w:cs="Arial"/>
                <w:sz w:val="20"/>
                <w:szCs w:val="20"/>
              </w:rPr>
            </w:pPr>
          </w:p>
        </w:tc>
        <w:tc>
          <w:tcPr>
            <w:tcW w:w="4614" w:type="dxa"/>
            <w:gridSpan w:val="6"/>
          </w:tcPr>
          <w:p w14:paraId="77C53A91" w14:textId="77777777" w:rsidR="004434DE" w:rsidRPr="00903F89" w:rsidRDefault="004434DE" w:rsidP="00903F89">
            <w:pPr>
              <w:jc w:val="both"/>
              <w:rPr>
                <w:rFonts w:cs="Arial"/>
                <w:b/>
                <w:sz w:val="20"/>
                <w:szCs w:val="20"/>
                <w:u w:val="single"/>
              </w:rPr>
            </w:pPr>
          </w:p>
        </w:tc>
      </w:tr>
      <w:tr w:rsidR="007422AB" w:rsidRPr="00903F89" w14:paraId="162D19F1" w14:textId="77777777" w:rsidTr="007422AB">
        <w:tc>
          <w:tcPr>
            <w:tcW w:w="10773" w:type="dxa"/>
            <w:gridSpan w:val="15"/>
          </w:tcPr>
          <w:p w14:paraId="16F027A1" w14:textId="5099A943" w:rsidR="004434DE" w:rsidRPr="00903F89" w:rsidRDefault="004434DE" w:rsidP="00903F89">
            <w:pPr>
              <w:jc w:val="both"/>
              <w:rPr>
                <w:rFonts w:eastAsia="Arial" w:cs="Arial"/>
                <w:b/>
                <w:bCs/>
                <w:sz w:val="20"/>
                <w:szCs w:val="20"/>
                <w:u w:val="single"/>
              </w:rPr>
            </w:pPr>
            <w:r w:rsidRPr="00903F89">
              <w:rPr>
                <w:rFonts w:cs="Arial"/>
                <w:sz w:val="20"/>
                <w:szCs w:val="20"/>
              </w:rPr>
              <w:t xml:space="preserve">Σύμφωνα με την αναλογιστική μελέτη για το Πανεπιστήμιο Κύπρου που ετοίμασε ο αναλογιστικός οίκος </w:t>
            </w:r>
            <w:proofErr w:type="spellStart"/>
            <w:r w:rsidRPr="00903F89">
              <w:rPr>
                <w:rFonts w:cs="Arial"/>
                <w:sz w:val="20"/>
                <w:szCs w:val="20"/>
              </w:rPr>
              <w:t>Muhanna</w:t>
            </w:r>
            <w:proofErr w:type="spellEnd"/>
            <w:r w:rsidRPr="00903F89">
              <w:rPr>
                <w:rFonts w:cs="Arial"/>
                <w:sz w:val="20"/>
                <w:szCs w:val="20"/>
              </w:rPr>
              <w:t xml:space="preserve"> &amp; Co με ημερομηνία αναφοράς την 31</w:t>
            </w:r>
            <w:r w:rsidRPr="00903F89">
              <w:rPr>
                <w:rFonts w:cs="Arial"/>
                <w:sz w:val="20"/>
                <w:szCs w:val="20"/>
                <w:vertAlign w:val="superscript"/>
              </w:rPr>
              <w:t>η</w:t>
            </w:r>
            <w:r w:rsidRPr="00903F89">
              <w:rPr>
                <w:rFonts w:cs="Arial"/>
                <w:sz w:val="20"/>
                <w:szCs w:val="20"/>
              </w:rPr>
              <w:t xml:space="preserve"> Δεκεμβρίου 201</w:t>
            </w:r>
            <w:r w:rsidR="00F372CD" w:rsidRPr="00F372CD">
              <w:rPr>
                <w:rFonts w:cs="Arial"/>
                <w:sz w:val="20"/>
                <w:szCs w:val="20"/>
              </w:rPr>
              <w:t>9</w:t>
            </w:r>
            <w:r w:rsidRPr="00903F89">
              <w:rPr>
                <w:rFonts w:cs="Arial"/>
                <w:sz w:val="20"/>
                <w:szCs w:val="20"/>
              </w:rPr>
              <w:t>, η εκτίμηση του κόστους των συνταξιοδοτικών παροχών του Σχεδίου Συντάξεων και Χορηγημάτων («Σχέδιο») του Πανεπιστημίου Κύπρου κατά τις 31/12/201</w:t>
            </w:r>
            <w:r w:rsidR="00F372CD" w:rsidRPr="00F372CD">
              <w:rPr>
                <w:rFonts w:cs="Arial"/>
                <w:sz w:val="20"/>
                <w:szCs w:val="20"/>
              </w:rPr>
              <w:t>9</w:t>
            </w:r>
            <w:r w:rsidRPr="00903F89">
              <w:rPr>
                <w:rFonts w:cs="Arial"/>
                <w:sz w:val="20"/>
                <w:szCs w:val="20"/>
              </w:rPr>
              <w:t xml:space="preserve"> για το Ακαδημαϊκό Προσωπικό ανέρχεται σε €</w:t>
            </w:r>
            <w:r w:rsidR="00F372CD" w:rsidRPr="00F372CD">
              <w:rPr>
                <w:rFonts w:cs="Arial"/>
                <w:sz w:val="20"/>
                <w:szCs w:val="20"/>
              </w:rPr>
              <w:t>103.373.003.</w:t>
            </w:r>
            <w:r w:rsidRPr="00903F89">
              <w:rPr>
                <w:rFonts w:cs="Arial"/>
                <w:sz w:val="20"/>
                <w:szCs w:val="20"/>
              </w:rPr>
              <w:t xml:space="preserve"> Το σχετικό ποσό προκύπτει με βάση τον αριθμό και τα στοιχεία των μελών του προσωπικού του Πανεπιστημίου Κύπρου, και τις παραδοχές του αναλογιστικού οίκου που έγιναν κατά την ετοιμασία της μελέτης.</w:t>
            </w:r>
          </w:p>
        </w:tc>
      </w:tr>
      <w:tr w:rsidR="007422AB" w:rsidRPr="00903F89" w14:paraId="26DA7CFD" w14:textId="77777777" w:rsidTr="007422AB">
        <w:tc>
          <w:tcPr>
            <w:tcW w:w="1951" w:type="dxa"/>
          </w:tcPr>
          <w:p w14:paraId="2A34B431" w14:textId="77777777" w:rsidR="004434DE" w:rsidRPr="00903F89" w:rsidRDefault="004434DE" w:rsidP="00903F89">
            <w:pPr>
              <w:jc w:val="both"/>
              <w:rPr>
                <w:rFonts w:cs="Arial"/>
                <w:b/>
                <w:sz w:val="20"/>
                <w:szCs w:val="20"/>
                <w:u w:val="single"/>
              </w:rPr>
            </w:pPr>
          </w:p>
        </w:tc>
        <w:tc>
          <w:tcPr>
            <w:tcW w:w="4208" w:type="dxa"/>
            <w:gridSpan w:val="8"/>
          </w:tcPr>
          <w:p w14:paraId="42F179FE" w14:textId="77777777" w:rsidR="004434DE" w:rsidRPr="00903F89" w:rsidRDefault="004434DE" w:rsidP="00903F89">
            <w:pPr>
              <w:jc w:val="both"/>
              <w:rPr>
                <w:rFonts w:cs="Arial"/>
                <w:sz w:val="20"/>
                <w:szCs w:val="20"/>
              </w:rPr>
            </w:pPr>
          </w:p>
        </w:tc>
        <w:tc>
          <w:tcPr>
            <w:tcW w:w="4614" w:type="dxa"/>
            <w:gridSpan w:val="6"/>
          </w:tcPr>
          <w:p w14:paraId="44E1D5F9" w14:textId="77777777" w:rsidR="004434DE" w:rsidRPr="00903F89" w:rsidRDefault="004434DE" w:rsidP="00903F89">
            <w:pPr>
              <w:jc w:val="both"/>
              <w:rPr>
                <w:rFonts w:cs="Arial"/>
                <w:b/>
                <w:sz w:val="20"/>
                <w:szCs w:val="20"/>
                <w:u w:val="single"/>
              </w:rPr>
            </w:pPr>
          </w:p>
        </w:tc>
      </w:tr>
      <w:tr w:rsidR="007422AB" w:rsidRPr="00903F89" w14:paraId="4C280A54" w14:textId="77777777" w:rsidTr="007422AB">
        <w:tc>
          <w:tcPr>
            <w:tcW w:w="10773" w:type="dxa"/>
            <w:gridSpan w:val="15"/>
          </w:tcPr>
          <w:p w14:paraId="2259052B" w14:textId="5C922C82" w:rsidR="004434DE" w:rsidRPr="00903F89" w:rsidRDefault="004434DE" w:rsidP="00903F89">
            <w:pPr>
              <w:jc w:val="both"/>
              <w:rPr>
                <w:rFonts w:eastAsia="Arial" w:cs="Arial"/>
                <w:b/>
                <w:bCs/>
                <w:sz w:val="20"/>
                <w:szCs w:val="20"/>
                <w:u w:val="single"/>
              </w:rPr>
            </w:pPr>
            <w:r w:rsidRPr="00903F89">
              <w:rPr>
                <w:rFonts w:cs="Arial"/>
                <w:sz w:val="20"/>
                <w:szCs w:val="20"/>
              </w:rPr>
              <w:t>Η πρόνοια του άρθρου καθορίστηκε στο παρόν στάδιο ενδεικτικά σε €10 μέχρι να ληφθούν υποδείξεις για περαιτέρω χειρισμό του θέματος.</w:t>
            </w:r>
          </w:p>
        </w:tc>
      </w:tr>
      <w:tr w:rsidR="007422AB" w:rsidRPr="00903F89" w14:paraId="094D0696" w14:textId="77777777" w:rsidTr="007422AB">
        <w:tc>
          <w:tcPr>
            <w:tcW w:w="1951" w:type="dxa"/>
          </w:tcPr>
          <w:p w14:paraId="7FDC8AFB" w14:textId="77777777" w:rsidR="004434DE" w:rsidRPr="00903F89" w:rsidRDefault="004434DE" w:rsidP="00903F89">
            <w:pPr>
              <w:jc w:val="both"/>
              <w:rPr>
                <w:rFonts w:cs="Arial"/>
                <w:sz w:val="20"/>
                <w:szCs w:val="20"/>
              </w:rPr>
            </w:pPr>
          </w:p>
        </w:tc>
        <w:tc>
          <w:tcPr>
            <w:tcW w:w="4208" w:type="dxa"/>
            <w:gridSpan w:val="8"/>
          </w:tcPr>
          <w:p w14:paraId="4ACCC4B5" w14:textId="77777777" w:rsidR="004434DE" w:rsidRPr="00903F89" w:rsidRDefault="004434DE" w:rsidP="00903F89">
            <w:pPr>
              <w:jc w:val="both"/>
              <w:rPr>
                <w:rFonts w:cs="Arial"/>
                <w:sz w:val="20"/>
                <w:szCs w:val="20"/>
              </w:rPr>
            </w:pPr>
          </w:p>
        </w:tc>
        <w:tc>
          <w:tcPr>
            <w:tcW w:w="4614" w:type="dxa"/>
            <w:gridSpan w:val="6"/>
          </w:tcPr>
          <w:p w14:paraId="2CA3219B" w14:textId="77777777" w:rsidR="004434DE" w:rsidRPr="00903F89" w:rsidRDefault="004434DE" w:rsidP="00903F89">
            <w:pPr>
              <w:jc w:val="both"/>
              <w:rPr>
                <w:rFonts w:cs="Arial"/>
                <w:sz w:val="20"/>
                <w:szCs w:val="20"/>
              </w:rPr>
            </w:pPr>
          </w:p>
        </w:tc>
      </w:tr>
      <w:tr w:rsidR="007422AB" w:rsidRPr="00903F89" w14:paraId="3E0E1CA8" w14:textId="77777777" w:rsidTr="007422AB">
        <w:tc>
          <w:tcPr>
            <w:tcW w:w="10773" w:type="dxa"/>
            <w:gridSpan w:val="15"/>
          </w:tcPr>
          <w:p w14:paraId="4604B7DB" w14:textId="4F376036" w:rsidR="004434DE" w:rsidRPr="00903F89" w:rsidRDefault="004434DE" w:rsidP="00903F89">
            <w:pPr>
              <w:ind w:right="460"/>
              <w:jc w:val="both"/>
              <w:rPr>
                <w:rFonts w:cs="Arial"/>
                <w:b/>
                <w:bCs/>
                <w:i/>
                <w:iCs/>
                <w:sz w:val="20"/>
                <w:szCs w:val="20"/>
                <w:u w:val="single"/>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140 –</w:t>
            </w:r>
            <w:r w:rsidRPr="00903F89">
              <w:rPr>
                <w:rFonts w:cs="Arial"/>
                <w:b/>
                <w:bCs/>
                <w:i/>
                <w:iCs/>
                <w:sz w:val="20"/>
                <w:szCs w:val="20"/>
                <w:u w:val="single"/>
              </w:rPr>
              <w:t xml:space="preserve"> </w:t>
            </w:r>
            <w:r w:rsidRPr="00903F89">
              <w:rPr>
                <w:rFonts w:cs="Arial"/>
                <w:b/>
                <w:bCs/>
                <w:sz w:val="20"/>
                <w:szCs w:val="20"/>
                <w:u w:val="single"/>
              </w:rPr>
              <w:t>Γενικό Σχέδιο Υγείας  – €</w:t>
            </w:r>
            <w:r w:rsidR="00B613A0" w:rsidRPr="00903F89">
              <w:rPr>
                <w:rFonts w:cs="Arial"/>
                <w:b/>
                <w:bCs/>
                <w:sz w:val="20"/>
                <w:szCs w:val="20"/>
                <w:u w:val="single"/>
              </w:rPr>
              <w:t>891.2</w:t>
            </w:r>
            <w:r w:rsidR="006A39F9">
              <w:rPr>
                <w:rFonts w:cs="Arial"/>
                <w:b/>
                <w:bCs/>
                <w:sz w:val="20"/>
                <w:szCs w:val="20"/>
                <w:u w:val="single"/>
              </w:rPr>
              <w:t>10</w:t>
            </w:r>
          </w:p>
        </w:tc>
      </w:tr>
      <w:tr w:rsidR="007422AB" w:rsidRPr="00903F89" w14:paraId="2AECF6CE" w14:textId="77777777" w:rsidTr="007422AB">
        <w:tc>
          <w:tcPr>
            <w:tcW w:w="1951" w:type="dxa"/>
          </w:tcPr>
          <w:p w14:paraId="627A856B" w14:textId="77777777" w:rsidR="004434DE" w:rsidRPr="00903F89" w:rsidRDefault="004434DE" w:rsidP="00903F89">
            <w:pPr>
              <w:jc w:val="both"/>
              <w:rPr>
                <w:rFonts w:cs="Arial"/>
                <w:sz w:val="20"/>
                <w:szCs w:val="20"/>
              </w:rPr>
            </w:pPr>
          </w:p>
        </w:tc>
        <w:tc>
          <w:tcPr>
            <w:tcW w:w="4208" w:type="dxa"/>
            <w:gridSpan w:val="8"/>
          </w:tcPr>
          <w:p w14:paraId="115D3510" w14:textId="77777777" w:rsidR="004434DE" w:rsidRPr="00903F89" w:rsidRDefault="004434DE" w:rsidP="00903F89">
            <w:pPr>
              <w:jc w:val="both"/>
              <w:rPr>
                <w:rFonts w:cs="Arial"/>
                <w:sz w:val="20"/>
                <w:szCs w:val="20"/>
              </w:rPr>
            </w:pPr>
          </w:p>
        </w:tc>
        <w:tc>
          <w:tcPr>
            <w:tcW w:w="4614" w:type="dxa"/>
            <w:gridSpan w:val="6"/>
          </w:tcPr>
          <w:p w14:paraId="3FC95C76" w14:textId="77777777" w:rsidR="004434DE" w:rsidRPr="00903F89" w:rsidRDefault="004434DE" w:rsidP="00903F89">
            <w:pPr>
              <w:jc w:val="both"/>
              <w:rPr>
                <w:rFonts w:cs="Arial"/>
                <w:sz w:val="20"/>
                <w:szCs w:val="20"/>
              </w:rPr>
            </w:pPr>
          </w:p>
        </w:tc>
      </w:tr>
      <w:tr w:rsidR="007422AB" w:rsidRPr="00903F89" w14:paraId="3AB12FDE" w14:textId="77777777" w:rsidTr="007422AB">
        <w:tc>
          <w:tcPr>
            <w:tcW w:w="10773" w:type="dxa"/>
            <w:gridSpan w:val="15"/>
          </w:tcPr>
          <w:p w14:paraId="759D9D87" w14:textId="0DD76A0A" w:rsidR="004434DE" w:rsidRPr="00903F89" w:rsidRDefault="008A7323" w:rsidP="00903F89">
            <w:pPr>
              <w:jc w:val="both"/>
              <w:rPr>
                <w:rFonts w:cs="Arial"/>
                <w:sz w:val="20"/>
                <w:szCs w:val="20"/>
              </w:rPr>
            </w:pPr>
            <w:r>
              <w:rPr>
                <w:rFonts w:cs="Arial"/>
                <w:sz w:val="20"/>
                <w:szCs w:val="20"/>
              </w:rPr>
              <w:t>Η</w:t>
            </w:r>
            <w:r w:rsidR="00C4737C" w:rsidRPr="00903F89">
              <w:rPr>
                <w:rFonts w:cs="Arial"/>
                <w:sz w:val="20"/>
                <w:szCs w:val="20"/>
              </w:rPr>
              <w:t xml:space="preserve"> πρόνοια αφορά στη συνεισφορά του Πανεπιστημίου ως εργοδότη, ύψους 2,90% επί των ολικών αποδοχών του ακαδημαϊκού προσωπικού, σύμφωνα με το άρθρο 19 των «περί Γενικού Συστήματος Υγείας Νόμων του 2001-2017».</w:t>
            </w:r>
          </w:p>
        </w:tc>
      </w:tr>
      <w:tr w:rsidR="007422AB" w:rsidRPr="00903F89" w14:paraId="49446C8F" w14:textId="77777777" w:rsidTr="007422AB">
        <w:tc>
          <w:tcPr>
            <w:tcW w:w="10773" w:type="dxa"/>
            <w:gridSpan w:val="15"/>
          </w:tcPr>
          <w:p w14:paraId="683EB8CD" w14:textId="77777777" w:rsidR="004434DE" w:rsidRPr="00903F89" w:rsidRDefault="004434DE" w:rsidP="00903F89">
            <w:pPr>
              <w:jc w:val="both"/>
              <w:rPr>
                <w:rFonts w:cs="Arial"/>
                <w:sz w:val="20"/>
                <w:szCs w:val="20"/>
              </w:rPr>
            </w:pPr>
          </w:p>
        </w:tc>
      </w:tr>
      <w:tr w:rsidR="007422AB" w:rsidRPr="00903F89" w14:paraId="488123A0" w14:textId="77777777" w:rsidTr="007422AB">
        <w:tc>
          <w:tcPr>
            <w:tcW w:w="10773" w:type="dxa"/>
            <w:gridSpan w:val="15"/>
          </w:tcPr>
          <w:p w14:paraId="70DF7B11" w14:textId="497D5D09" w:rsidR="004434DE" w:rsidRPr="00903F89" w:rsidRDefault="007C4E94" w:rsidP="00903F89">
            <w:pPr>
              <w:jc w:val="both"/>
              <w:rPr>
                <w:rFonts w:cs="Arial"/>
                <w:sz w:val="20"/>
                <w:szCs w:val="20"/>
              </w:rPr>
            </w:pPr>
            <w:r w:rsidRPr="00903F89">
              <w:rPr>
                <w:rFonts w:cs="Arial"/>
                <w:sz w:val="20"/>
                <w:szCs w:val="20"/>
              </w:rPr>
              <w:t>Πρόνοιες</w:t>
            </w:r>
            <w:r w:rsidR="00F005D2" w:rsidRPr="00903F89">
              <w:rPr>
                <w:rFonts w:cs="Arial"/>
                <w:sz w:val="20"/>
                <w:szCs w:val="20"/>
              </w:rPr>
              <w:t xml:space="preserve"> που προορίζονται να καλύψουν δαπάνες που αφορούν στη συνεισφορά του Πανεπιστημίου στο Γενικό Σύστημα Υγείας για τις κατηγορίες άλλου ακαδημαϊκού προσωπικού </w:t>
            </w:r>
            <w:r w:rsidRPr="00903F89">
              <w:rPr>
                <w:rFonts w:cs="Arial"/>
                <w:sz w:val="20"/>
                <w:szCs w:val="20"/>
              </w:rPr>
              <w:t xml:space="preserve">περιλαμβάνονται στα </w:t>
            </w:r>
            <w:r w:rsidR="00F005D2" w:rsidRPr="00903F89">
              <w:rPr>
                <w:rFonts w:cs="Arial"/>
                <w:sz w:val="20"/>
                <w:szCs w:val="20"/>
              </w:rPr>
              <w:t xml:space="preserve">αντίστοιχα </w:t>
            </w:r>
            <w:r w:rsidRPr="00903F89">
              <w:rPr>
                <w:rFonts w:cs="Arial"/>
                <w:sz w:val="20"/>
                <w:szCs w:val="20"/>
              </w:rPr>
              <w:t xml:space="preserve">Άρθρα </w:t>
            </w:r>
            <w:r w:rsidR="00D37576" w:rsidRPr="00903F89">
              <w:rPr>
                <w:rFonts w:cs="Arial"/>
                <w:sz w:val="20"/>
                <w:szCs w:val="20"/>
              </w:rPr>
              <w:t>11-</w:t>
            </w:r>
            <w:r w:rsidRPr="00903F89">
              <w:rPr>
                <w:rFonts w:cs="Arial"/>
                <w:sz w:val="20"/>
                <w:szCs w:val="20"/>
              </w:rPr>
              <w:t>102 «Συνεργάτες Καθηγητές/</w:t>
            </w:r>
            <w:r w:rsidR="00F005D2" w:rsidRPr="00903F89">
              <w:rPr>
                <w:rFonts w:cs="Arial"/>
                <w:sz w:val="20"/>
                <w:szCs w:val="20"/>
              </w:rPr>
              <w:t xml:space="preserve"> </w:t>
            </w:r>
            <w:r w:rsidRPr="00903F89">
              <w:rPr>
                <w:rFonts w:cs="Arial"/>
                <w:sz w:val="20"/>
                <w:szCs w:val="20"/>
              </w:rPr>
              <w:t>Επιστημονικοί Συνεργάτες, Μεταπτυχιακοί Συνεργάτες, Μεταδιδακτορικοί και Άλλοι Ερευνητές», 1</w:t>
            </w:r>
            <w:r w:rsidR="00D37576" w:rsidRPr="00903F89">
              <w:rPr>
                <w:rFonts w:cs="Arial"/>
                <w:sz w:val="20"/>
                <w:szCs w:val="20"/>
              </w:rPr>
              <w:t>1-1</w:t>
            </w:r>
            <w:r w:rsidRPr="00903F89">
              <w:rPr>
                <w:rFonts w:cs="Arial"/>
                <w:sz w:val="20"/>
                <w:szCs w:val="20"/>
              </w:rPr>
              <w:t>03 «Επισκέπτες Ακαδημαϊκοί/ Επισκέπτες Καθηγητές Σύντομης Διάρκειας»,</w:t>
            </w:r>
            <w:r w:rsidR="00640DB6" w:rsidRPr="00903F89">
              <w:rPr>
                <w:rFonts w:cs="Arial"/>
                <w:sz w:val="20"/>
                <w:szCs w:val="20"/>
              </w:rPr>
              <w:t xml:space="preserve"> και </w:t>
            </w:r>
            <w:r w:rsidRPr="00903F89">
              <w:rPr>
                <w:rFonts w:cs="Arial"/>
                <w:sz w:val="20"/>
                <w:szCs w:val="20"/>
              </w:rPr>
              <w:t>104 «Ειδικοί Επιστήμονες»</w:t>
            </w:r>
            <w:r w:rsidR="00640DB6" w:rsidRPr="00903F89">
              <w:rPr>
                <w:rFonts w:cs="Arial"/>
                <w:sz w:val="20"/>
                <w:szCs w:val="20"/>
              </w:rPr>
              <w:t>.</w:t>
            </w:r>
          </w:p>
        </w:tc>
      </w:tr>
      <w:tr w:rsidR="007422AB" w:rsidRPr="00903F89" w14:paraId="5EB7998B" w14:textId="77777777" w:rsidTr="007422AB">
        <w:tc>
          <w:tcPr>
            <w:tcW w:w="10773" w:type="dxa"/>
            <w:gridSpan w:val="15"/>
          </w:tcPr>
          <w:p w14:paraId="1C255196" w14:textId="77777777" w:rsidR="009C4525" w:rsidRPr="00903F89" w:rsidRDefault="009C4525" w:rsidP="00903F89">
            <w:pPr>
              <w:jc w:val="both"/>
              <w:rPr>
                <w:rFonts w:cs="Arial"/>
                <w:sz w:val="20"/>
                <w:szCs w:val="20"/>
              </w:rPr>
            </w:pPr>
          </w:p>
        </w:tc>
      </w:tr>
      <w:tr w:rsidR="007422AB" w:rsidRPr="00903F89" w14:paraId="44D76327" w14:textId="77777777" w:rsidTr="007422AB">
        <w:trPr>
          <w:gridAfter w:val="1"/>
          <w:wAfter w:w="235" w:type="dxa"/>
        </w:trPr>
        <w:tc>
          <w:tcPr>
            <w:tcW w:w="10538" w:type="dxa"/>
            <w:gridSpan w:val="14"/>
          </w:tcPr>
          <w:p w14:paraId="19F0C58D" w14:textId="027F6205" w:rsidR="00C36472" w:rsidRPr="00903F89" w:rsidRDefault="00C36472" w:rsidP="00903F89">
            <w:pPr>
              <w:jc w:val="both"/>
              <w:rPr>
                <w:rFonts w:eastAsia="Arial" w:cs="Arial"/>
                <w:b/>
                <w:bCs/>
                <w:sz w:val="20"/>
                <w:szCs w:val="20"/>
                <w:u w:val="single"/>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150 </w:t>
            </w:r>
            <w:r w:rsidRPr="00903F89">
              <w:rPr>
                <w:rFonts w:eastAsia="Arial" w:cs="Arial"/>
                <w:b/>
                <w:bCs/>
                <w:sz w:val="20"/>
                <w:szCs w:val="20"/>
                <w:u w:val="single"/>
              </w:rPr>
              <w:t>–</w:t>
            </w:r>
            <w:r w:rsidRPr="00903F89">
              <w:rPr>
                <w:rFonts w:cs="Arial"/>
                <w:b/>
                <w:bCs/>
                <w:sz w:val="20"/>
                <w:szCs w:val="20"/>
                <w:u w:val="single"/>
              </w:rPr>
              <w:t xml:space="preserve"> </w:t>
            </w:r>
            <w:bookmarkStart w:id="21" w:name="_Hlk42250172"/>
            <w:r w:rsidRPr="00903F89">
              <w:rPr>
                <w:rFonts w:cs="Arial"/>
                <w:b/>
                <w:bCs/>
                <w:sz w:val="20"/>
                <w:szCs w:val="20"/>
                <w:u w:val="single"/>
              </w:rPr>
              <w:t>Διαρθρωτικά</w:t>
            </w:r>
            <w:bookmarkEnd w:id="21"/>
            <w:r w:rsidRPr="00903F89">
              <w:rPr>
                <w:rFonts w:cs="Arial"/>
                <w:b/>
                <w:bCs/>
                <w:sz w:val="20"/>
                <w:szCs w:val="20"/>
                <w:u w:val="single"/>
              </w:rPr>
              <w:t xml:space="preserve"> Προγράμματα και Σχέδια </w:t>
            </w:r>
            <w:r w:rsidRPr="00903F89">
              <w:rPr>
                <w:rFonts w:eastAsia="Arial" w:cs="Arial"/>
                <w:b/>
                <w:bCs/>
                <w:sz w:val="20"/>
                <w:szCs w:val="20"/>
                <w:u w:val="single"/>
              </w:rPr>
              <w:t>–</w:t>
            </w:r>
            <w:r w:rsidRPr="00903F89">
              <w:rPr>
                <w:rFonts w:cs="Arial"/>
                <w:b/>
                <w:bCs/>
                <w:sz w:val="20"/>
                <w:szCs w:val="20"/>
                <w:u w:val="single"/>
              </w:rPr>
              <w:t xml:space="preserve"> €</w:t>
            </w:r>
            <w:r w:rsidR="009C4525" w:rsidRPr="00903F89">
              <w:rPr>
                <w:rFonts w:cs="Arial"/>
                <w:b/>
                <w:bCs/>
                <w:sz w:val="20"/>
                <w:szCs w:val="20"/>
                <w:u w:val="single"/>
              </w:rPr>
              <w:t>0</w:t>
            </w:r>
          </w:p>
        </w:tc>
      </w:tr>
      <w:tr w:rsidR="007422AB" w:rsidRPr="00903F89" w14:paraId="0468CAB5" w14:textId="77777777" w:rsidTr="007422AB">
        <w:trPr>
          <w:gridAfter w:val="1"/>
          <w:wAfter w:w="235" w:type="dxa"/>
        </w:trPr>
        <w:tc>
          <w:tcPr>
            <w:tcW w:w="1951" w:type="dxa"/>
          </w:tcPr>
          <w:p w14:paraId="749CC049" w14:textId="77777777" w:rsidR="00C36472" w:rsidRPr="00903F89" w:rsidRDefault="00C36472" w:rsidP="00903F89">
            <w:pPr>
              <w:jc w:val="both"/>
              <w:rPr>
                <w:rFonts w:cs="Arial"/>
                <w:b/>
                <w:sz w:val="20"/>
                <w:szCs w:val="20"/>
                <w:u w:val="single"/>
              </w:rPr>
            </w:pPr>
          </w:p>
        </w:tc>
        <w:tc>
          <w:tcPr>
            <w:tcW w:w="4208" w:type="dxa"/>
            <w:gridSpan w:val="8"/>
          </w:tcPr>
          <w:p w14:paraId="3C89ACE7" w14:textId="77777777" w:rsidR="00C36472" w:rsidRPr="00903F89" w:rsidRDefault="00C36472" w:rsidP="00903F89">
            <w:pPr>
              <w:jc w:val="both"/>
              <w:rPr>
                <w:rFonts w:cs="Arial"/>
                <w:sz w:val="20"/>
                <w:szCs w:val="20"/>
              </w:rPr>
            </w:pPr>
          </w:p>
        </w:tc>
        <w:tc>
          <w:tcPr>
            <w:tcW w:w="4379" w:type="dxa"/>
            <w:gridSpan w:val="5"/>
          </w:tcPr>
          <w:p w14:paraId="08BAE17A" w14:textId="77777777" w:rsidR="00C36472" w:rsidRPr="00903F89" w:rsidRDefault="00C36472" w:rsidP="00903F89">
            <w:pPr>
              <w:jc w:val="both"/>
              <w:rPr>
                <w:rFonts w:cs="Arial"/>
                <w:b/>
                <w:sz w:val="20"/>
                <w:szCs w:val="20"/>
                <w:u w:val="single"/>
              </w:rPr>
            </w:pPr>
          </w:p>
        </w:tc>
      </w:tr>
      <w:tr w:rsidR="007422AB" w:rsidRPr="00903F89" w14:paraId="307D0AF7" w14:textId="77777777" w:rsidTr="007422AB">
        <w:trPr>
          <w:gridAfter w:val="1"/>
          <w:wAfter w:w="235" w:type="dxa"/>
        </w:trPr>
        <w:tc>
          <w:tcPr>
            <w:tcW w:w="10538" w:type="dxa"/>
            <w:gridSpan w:val="14"/>
          </w:tcPr>
          <w:p w14:paraId="18D4A2FA" w14:textId="1C2C6840" w:rsidR="00CC782F" w:rsidRPr="00903F89" w:rsidRDefault="00130787" w:rsidP="00903F89">
            <w:pPr>
              <w:pStyle w:val="Heading8"/>
              <w:outlineLvl w:val="7"/>
              <w:rPr>
                <w:rFonts w:ascii="Arial" w:eastAsia="Arial" w:hAnsi="Arial" w:cs="Arial"/>
                <w:b w:val="0"/>
                <w:sz w:val="20"/>
                <w:szCs w:val="20"/>
                <w:u w:val="none"/>
              </w:rPr>
            </w:pPr>
            <w:bookmarkStart w:id="22" w:name="_Hlk55213710"/>
            <w:r w:rsidRPr="00130787">
              <w:rPr>
                <w:rFonts w:ascii="Arial" w:eastAsia="Arial" w:hAnsi="Arial" w:cs="Arial"/>
                <w:b w:val="0"/>
                <w:sz w:val="20"/>
                <w:szCs w:val="20"/>
                <w:u w:val="none"/>
              </w:rPr>
              <w:t xml:space="preserve">Κατάργηση </w:t>
            </w:r>
            <w:r w:rsidR="00C7404B">
              <w:rPr>
                <w:rFonts w:ascii="Arial" w:eastAsia="Arial" w:hAnsi="Arial" w:cs="Arial"/>
                <w:b w:val="0"/>
                <w:sz w:val="20"/>
                <w:szCs w:val="20"/>
                <w:u w:val="none"/>
              </w:rPr>
              <w:t>ά</w:t>
            </w:r>
            <w:r w:rsidRPr="00130787">
              <w:rPr>
                <w:rFonts w:ascii="Arial" w:eastAsia="Arial" w:hAnsi="Arial" w:cs="Arial"/>
                <w:b w:val="0"/>
                <w:sz w:val="20"/>
                <w:szCs w:val="20"/>
                <w:u w:val="none"/>
              </w:rPr>
              <w:t>ρθρου. Οι δαπάνες για το 2022 εμφανίζονται στο Άρθρο 602</w:t>
            </w:r>
            <w:r w:rsidR="00C7404B">
              <w:rPr>
                <w:rFonts w:ascii="Arial" w:eastAsia="Arial" w:hAnsi="Arial" w:cs="Arial"/>
                <w:b w:val="0"/>
                <w:sz w:val="20"/>
                <w:szCs w:val="20"/>
                <w:u w:val="none"/>
              </w:rPr>
              <w:t>,</w:t>
            </w:r>
            <w:r w:rsidRPr="00130787">
              <w:rPr>
                <w:rFonts w:ascii="Arial" w:eastAsia="Arial" w:hAnsi="Arial" w:cs="Arial"/>
                <w:b w:val="0"/>
                <w:sz w:val="20"/>
                <w:szCs w:val="20"/>
                <w:u w:val="none"/>
              </w:rPr>
              <w:t xml:space="preserve"> με τίτλο «Διαρθρωτικά Προγράμματα και Σχέδια», στην Υποομάδα 601 «Δαπάνες Συγχρηματοδοτούμενες από Κοινοτικούς Πόρους»).</w:t>
            </w:r>
          </w:p>
        </w:tc>
      </w:tr>
      <w:bookmarkEnd w:id="22"/>
      <w:tr w:rsidR="007422AB" w:rsidRPr="00903F89" w14:paraId="54112044" w14:textId="77777777" w:rsidTr="007422AB">
        <w:trPr>
          <w:gridAfter w:val="1"/>
          <w:wAfter w:w="235" w:type="dxa"/>
        </w:trPr>
        <w:tc>
          <w:tcPr>
            <w:tcW w:w="10538" w:type="dxa"/>
            <w:gridSpan w:val="14"/>
          </w:tcPr>
          <w:p w14:paraId="1C2860AA" w14:textId="2CA43CC2" w:rsidR="0098754E" w:rsidRPr="00903F89" w:rsidRDefault="0098754E" w:rsidP="00903F89">
            <w:pPr>
              <w:jc w:val="both"/>
              <w:rPr>
                <w:rFonts w:cs="Arial"/>
                <w:sz w:val="20"/>
                <w:szCs w:val="20"/>
              </w:rPr>
            </w:pPr>
          </w:p>
        </w:tc>
      </w:tr>
      <w:tr w:rsidR="007422AB" w:rsidRPr="00903F89" w14:paraId="4B04F146" w14:textId="77777777" w:rsidTr="007422AB">
        <w:trPr>
          <w:gridAfter w:val="1"/>
          <w:wAfter w:w="235" w:type="dxa"/>
        </w:trPr>
        <w:tc>
          <w:tcPr>
            <w:tcW w:w="10538" w:type="dxa"/>
            <w:gridSpan w:val="14"/>
          </w:tcPr>
          <w:p w14:paraId="639E4D36" w14:textId="6BDFFEFA" w:rsidR="00C36472" w:rsidRPr="00903F89" w:rsidRDefault="00C36472" w:rsidP="00903F89">
            <w:pPr>
              <w:jc w:val="both"/>
              <w:rPr>
                <w:rFonts w:eastAsia="Arial" w:cs="Arial"/>
                <w:b/>
                <w:bCs/>
                <w:sz w:val="20"/>
                <w:szCs w:val="20"/>
                <w:u w:val="single"/>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151 </w:t>
            </w:r>
            <w:r w:rsidRPr="00903F89">
              <w:rPr>
                <w:rFonts w:eastAsia="Arial" w:cs="Arial"/>
                <w:b/>
                <w:bCs/>
                <w:sz w:val="20"/>
                <w:szCs w:val="20"/>
                <w:u w:val="single"/>
              </w:rPr>
              <w:t xml:space="preserve">– </w:t>
            </w:r>
            <w:r w:rsidRPr="00903F89">
              <w:rPr>
                <w:rFonts w:cs="Arial"/>
                <w:b/>
                <w:bCs/>
                <w:sz w:val="20"/>
                <w:szCs w:val="20"/>
                <w:u w:val="single"/>
              </w:rPr>
              <w:t xml:space="preserve">Έργα και Σχέδια Συγχρηματοδοτούμενα από Κοινοτικούς Πόρους (Δαπάνες από Χρηματοδότηση Πανεπιστημίου) </w:t>
            </w:r>
            <w:r w:rsidRPr="00903F89">
              <w:rPr>
                <w:rFonts w:eastAsia="Arial" w:cs="Arial"/>
                <w:b/>
                <w:bCs/>
                <w:sz w:val="20"/>
                <w:szCs w:val="20"/>
                <w:u w:val="single"/>
                <w:shd w:val="clear" w:color="auto" w:fill="FFFFFF" w:themeFill="background1"/>
              </w:rPr>
              <w:t>–</w:t>
            </w:r>
            <w:r w:rsidRPr="00903F89">
              <w:rPr>
                <w:rFonts w:cs="Arial"/>
                <w:b/>
                <w:bCs/>
                <w:sz w:val="20"/>
                <w:szCs w:val="20"/>
                <w:u w:val="single"/>
                <w:shd w:val="clear" w:color="auto" w:fill="FFFFFF" w:themeFill="background1"/>
              </w:rPr>
              <w:t xml:space="preserve"> €</w:t>
            </w:r>
            <w:r w:rsidR="009C4525" w:rsidRPr="00903F89">
              <w:rPr>
                <w:rFonts w:cs="Arial"/>
                <w:b/>
                <w:bCs/>
                <w:sz w:val="20"/>
                <w:szCs w:val="20"/>
                <w:u w:val="single"/>
                <w:shd w:val="clear" w:color="auto" w:fill="FFFFFF" w:themeFill="background1"/>
              </w:rPr>
              <w:t>0</w:t>
            </w:r>
          </w:p>
        </w:tc>
      </w:tr>
      <w:tr w:rsidR="007422AB" w:rsidRPr="00903F89" w14:paraId="6F36383B" w14:textId="77777777" w:rsidTr="007422AB">
        <w:trPr>
          <w:gridAfter w:val="1"/>
          <w:wAfter w:w="235" w:type="dxa"/>
        </w:trPr>
        <w:tc>
          <w:tcPr>
            <w:tcW w:w="10538" w:type="dxa"/>
            <w:gridSpan w:val="14"/>
          </w:tcPr>
          <w:p w14:paraId="4C8D9912" w14:textId="77777777" w:rsidR="00C36472" w:rsidRPr="00903F89" w:rsidRDefault="00C36472" w:rsidP="00903F89">
            <w:pPr>
              <w:jc w:val="both"/>
              <w:rPr>
                <w:rFonts w:cs="Arial"/>
                <w:sz w:val="20"/>
                <w:szCs w:val="20"/>
              </w:rPr>
            </w:pPr>
          </w:p>
        </w:tc>
      </w:tr>
      <w:tr w:rsidR="007422AB" w:rsidRPr="00903F89" w14:paraId="1212D2E6" w14:textId="77777777" w:rsidTr="007422AB">
        <w:trPr>
          <w:gridAfter w:val="1"/>
          <w:wAfter w:w="235" w:type="dxa"/>
        </w:trPr>
        <w:tc>
          <w:tcPr>
            <w:tcW w:w="10538" w:type="dxa"/>
            <w:gridSpan w:val="14"/>
            <w:shd w:val="clear" w:color="auto" w:fill="FFFFFF" w:themeFill="background1"/>
          </w:tcPr>
          <w:p w14:paraId="0ADE6D46" w14:textId="0BB8A21A" w:rsidR="00C36472" w:rsidRPr="00903F89" w:rsidRDefault="00130787" w:rsidP="00903F89">
            <w:pPr>
              <w:ind w:left="34"/>
              <w:jc w:val="both"/>
              <w:rPr>
                <w:rFonts w:eastAsia="Arial" w:cs="Arial"/>
                <w:sz w:val="20"/>
                <w:szCs w:val="20"/>
              </w:rPr>
            </w:pPr>
            <w:r w:rsidRPr="00130787">
              <w:rPr>
                <w:rFonts w:cs="Arial"/>
                <w:sz w:val="20"/>
                <w:szCs w:val="20"/>
              </w:rPr>
              <w:t xml:space="preserve">Κατάργηση </w:t>
            </w:r>
            <w:r w:rsidR="00C7404B">
              <w:rPr>
                <w:rFonts w:cs="Arial"/>
                <w:sz w:val="20"/>
                <w:szCs w:val="20"/>
              </w:rPr>
              <w:t>ά</w:t>
            </w:r>
            <w:r w:rsidRPr="00130787">
              <w:rPr>
                <w:rFonts w:cs="Arial"/>
                <w:sz w:val="20"/>
                <w:szCs w:val="20"/>
              </w:rPr>
              <w:t>ρθρου. Οι δαπάνες για το 2022 εμφανίζονται στο Άρθρο 621</w:t>
            </w:r>
            <w:r w:rsidR="00C7404B">
              <w:rPr>
                <w:rFonts w:cs="Arial"/>
                <w:sz w:val="20"/>
                <w:szCs w:val="20"/>
              </w:rPr>
              <w:t>,</w:t>
            </w:r>
            <w:r w:rsidRPr="00130787">
              <w:rPr>
                <w:rFonts w:cs="Arial"/>
                <w:sz w:val="20"/>
                <w:szCs w:val="20"/>
              </w:rPr>
              <w:t xml:space="preserve"> με τίτλο «Έργα και Σχέδια Συγχρηματοδοτούμενα από Πανεπιστήμιο Κύπρου) - ΚΟΙΟΣ», στην Υποομάδα 620 «Δαπάνες Συγχρηματοδοτούμενες από Πανεπιστήμιο Κύπρου»).</w:t>
            </w:r>
          </w:p>
        </w:tc>
      </w:tr>
    </w:tbl>
    <w:p w14:paraId="42E372F9" w14:textId="77777777" w:rsidR="00B1212B" w:rsidRDefault="00B1212B">
      <w:r>
        <w:br w:type="page"/>
      </w: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226"/>
        <w:gridCol w:w="223"/>
        <w:gridCol w:w="9"/>
        <w:gridCol w:w="338"/>
        <w:gridCol w:w="229"/>
        <w:gridCol w:w="81"/>
        <w:gridCol w:w="151"/>
        <w:gridCol w:w="226"/>
        <w:gridCol w:w="58"/>
        <w:gridCol w:w="391"/>
        <w:gridCol w:w="118"/>
        <w:gridCol w:w="339"/>
        <w:gridCol w:w="862"/>
        <w:gridCol w:w="444"/>
        <w:gridCol w:w="12"/>
        <w:gridCol w:w="222"/>
        <w:gridCol w:w="226"/>
        <w:gridCol w:w="153"/>
        <w:gridCol w:w="73"/>
        <w:gridCol w:w="145"/>
        <w:gridCol w:w="213"/>
        <w:gridCol w:w="623"/>
        <w:gridCol w:w="424"/>
        <w:gridCol w:w="421"/>
        <w:gridCol w:w="379"/>
        <w:gridCol w:w="615"/>
      </w:tblGrid>
      <w:tr w:rsidR="007422AB" w:rsidRPr="00903F89" w14:paraId="293AB65E" w14:textId="77777777" w:rsidTr="00B1212B">
        <w:tc>
          <w:tcPr>
            <w:tcW w:w="10538" w:type="dxa"/>
            <w:gridSpan w:val="27"/>
            <w:shd w:val="clear" w:color="auto" w:fill="FFFFFF" w:themeFill="background1"/>
          </w:tcPr>
          <w:p w14:paraId="77B30103" w14:textId="0B45C0A0" w:rsidR="00C36472" w:rsidRPr="00903F89" w:rsidRDefault="00C36472" w:rsidP="00903F89">
            <w:pPr>
              <w:ind w:left="34"/>
              <w:jc w:val="both"/>
              <w:rPr>
                <w:rFonts w:cs="Arial"/>
                <w:sz w:val="20"/>
                <w:szCs w:val="20"/>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153 </w:t>
            </w:r>
            <w:r w:rsidRPr="00903F89">
              <w:rPr>
                <w:rFonts w:eastAsia="Arial" w:cs="Arial"/>
                <w:b/>
                <w:bCs/>
                <w:sz w:val="20"/>
                <w:szCs w:val="20"/>
                <w:u w:val="single"/>
              </w:rPr>
              <w:t xml:space="preserve">– </w:t>
            </w:r>
            <w:r w:rsidRPr="00903F89">
              <w:rPr>
                <w:rFonts w:cs="Arial"/>
                <w:b/>
                <w:bCs/>
                <w:sz w:val="20"/>
                <w:szCs w:val="20"/>
                <w:u w:val="single"/>
              </w:rPr>
              <w:t>Αντιμισθία</w:t>
            </w:r>
            <w:r w:rsidRPr="00903F89">
              <w:rPr>
                <w:rFonts w:eastAsia="Arial" w:cs="Arial"/>
                <w:b/>
                <w:bCs/>
                <w:sz w:val="20"/>
                <w:szCs w:val="20"/>
                <w:u w:val="single"/>
                <w:shd w:val="clear" w:color="auto" w:fill="FFFFFF" w:themeFill="background1"/>
              </w:rPr>
              <w:t>–</w:t>
            </w:r>
            <w:r w:rsidRPr="00903F89">
              <w:rPr>
                <w:rFonts w:cs="Arial"/>
                <w:b/>
                <w:bCs/>
                <w:sz w:val="20"/>
                <w:szCs w:val="20"/>
                <w:u w:val="single"/>
                <w:shd w:val="clear" w:color="auto" w:fill="FFFFFF" w:themeFill="background1"/>
              </w:rPr>
              <w:t xml:space="preserve"> €10</w:t>
            </w:r>
          </w:p>
        </w:tc>
      </w:tr>
      <w:tr w:rsidR="007422AB" w:rsidRPr="00903F89" w14:paraId="4550FB38" w14:textId="77777777" w:rsidTr="00B1212B">
        <w:tc>
          <w:tcPr>
            <w:tcW w:w="10538" w:type="dxa"/>
            <w:gridSpan w:val="27"/>
            <w:shd w:val="clear" w:color="auto" w:fill="FFFFFF" w:themeFill="background1"/>
          </w:tcPr>
          <w:p w14:paraId="51E124E3" w14:textId="77777777" w:rsidR="00C36472" w:rsidRPr="00903F89" w:rsidRDefault="00C36472" w:rsidP="00903F89">
            <w:pPr>
              <w:ind w:left="34"/>
              <w:jc w:val="both"/>
              <w:rPr>
                <w:rFonts w:cs="Arial"/>
                <w:b/>
                <w:bCs/>
                <w:sz w:val="20"/>
                <w:szCs w:val="20"/>
                <w:u w:val="single"/>
              </w:rPr>
            </w:pPr>
          </w:p>
        </w:tc>
      </w:tr>
      <w:tr w:rsidR="007422AB" w:rsidRPr="00903F89" w14:paraId="1642E5E2" w14:textId="77777777" w:rsidTr="00B1212B">
        <w:trPr>
          <w:trHeight w:val="252"/>
        </w:trPr>
        <w:tc>
          <w:tcPr>
            <w:tcW w:w="10538" w:type="dxa"/>
            <w:gridSpan w:val="27"/>
            <w:shd w:val="clear" w:color="auto" w:fill="FFFFFF" w:themeFill="background1"/>
          </w:tcPr>
          <w:p w14:paraId="430E4A3D" w14:textId="50836EB4" w:rsidR="00C36472" w:rsidRPr="00903F89" w:rsidRDefault="00C36472" w:rsidP="00903F89">
            <w:pPr>
              <w:ind w:left="34"/>
              <w:jc w:val="both"/>
              <w:rPr>
                <w:rFonts w:cs="Arial"/>
                <w:bCs/>
                <w:sz w:val="20"/>
                <w:szCs w:val="20"/>
              </w:rPr>
            </w:pPr>
            <w:r w:rsidRPr="00903F89">
              <w:rPr>
                <w:rFonts w:cs="Arial"/>
                <w:sz w:val="20"/>
                <w:szCs w:val="20"/>
              </w:rPr>
              <w:t>Το άρθρο δημιουργήθηκε με τον Περί Προϋπολογισμού του Πανεπιστημίου Κύπρου για το 2019, Νόμο του 2019, ώστε να είναι δυνατή η καταβολή ποσών προς άλλους οργανισμούς (απολαβών περιλαμβανομένου και των υπερωριών), από τους οποίους αποσπάστηκε προσωπικό το οποίο υπηρετεί στο Πανεπιστήμιο Κύπρου, σύμφωνα με τις πρόνοιες του Περί Απόσπασης Υπαλλήλων της Δημόσιας Υπηρεσίας και των Οργανισμών Δημοσίου Δικαίου Νόμο του 2017 (Ν.47(Ι)/2017).</w:t>
            </w:r>
          </w:p>
        </w:tc>
      </w:tr>
      <w:tr w:rsidR="007422AB" w:rsidRPr="00903F89" w14:paraId="152BED97" w14:textId="77777777" w:rsidTr="00B1212B">
        <w:tc>
          <w:tcPr>
            <w:tcW w:w="10538" w:type="dxa"/>
            <w:gridSpan w:val="27"/>
            <w:shd w:val="clear" w:color="auto" w:fill="auto"/>
          </w:tcPr>
          <w:p w14:paraId="6A7B3EFA" w14:textId="640FEB14" w:rsidR="00C36472" w:rsidRPr="00903F89" w:rsidRDefault="00C36472" w:rsidP="00903F89">
            <w:pPr>
              <w:jc w:val="both"/>
              <w:rPr>
                <w:rFonts w:eastAsia="Arial" w:cs="Arial"/>
                <w:sz w:val="20"/>
                <w:szCs w:val="20"/>
              </w:rPr>
            </w:pPr>
          </w:p>
        </w:tc>
      </w:tr>
      <w:tr w:rsidR="007422AB" w:rsidRPr="00903F89" w14:paraId="13DC5F94" w14:textId="77777777" w:rsidTr="00B1212B">
        <w:tc>
          <w:tcPr>
            <w:tcW w:w="10538" w:type="dxa"/>
            <w:gridSpan w:val="27"/>
            <w:shd w:val="clear" w:color="auto" w:fill="auto"/>
          </w:tcPr>
          <w:p w14:paraId="0EDB7321" w14:textId="0DFB71A6" w:rsidR="00C36472" w:rsidRPr="00903F89" w:rsidRDefault="00C36472" w:rsidP="00903F89">
            <w:pPr>
              <w:ind w:left="34"/>
              <w:jc w:val="both"/>
              <w:rPr>
                <w:rFonts w:eastAsia="Arial" w:cs="Arial"/>
                <w:sz w:val="20"/>
                <w:szCs w:val="20"/>
              </w:rPr>
            </w:pPr>
            <w:r w:rsidRPr="00903F89">
              <w:rPr>
                <w:rFonts w:cs="Arial"/>
                <w:b/>
                <w:bCs/>
                <w:sz w:val="20"/>
                <w:szCs w:val="20"/>
                <w:u w:val="single"/>
              </w:rPr>
              <w:t xml:space="preserve">Άρθρο </w:t>
            </w:r>
            <w:r w:rsidR="0007111E" w:rsidRPr="00903F89">
              <w:rPr>
                <w:rFonts w:cs="Arial"/>
                <w:b/>
                <w:bCs/>
                <w:sz w:val="20"/>
                <w:szCs w:val="20"/>
                <w:u w:val="single"/>
              </w:rPr>
              <w:t>11-</w:t>
            </w:r>
            <w:r w:rsidRPr="00903F89">
              <w:rPr>
                <w:rFonts w:cs="Arial"/>
                <w:b/>
                <w:bCs/>
                <w:sz w:val="20"/>
                <w:szCs w:val="20"/>
                <w:u w:val="single"/>
              </w:rPr>
              <w:t xml:space="preserve">154 </w:t>
            </w:r>
            <w:r w:rsidRPr="00903F89">
              <w:rPr>
                <w:rFonts w:eastAsia="Arial" w:cs="Arial"/>
                <w:b/>
                <w:bCs/>
                <w:sz w:val="20"/>
                <w:szCs w:val="20"/>
                <w:u w:val="single"/>
              </w:rPr>
              <w:t xml:space="preserve">– </w:t>
            </w:r>
            <w:r w:rsidRPr="00903F89">
              <w:rPr>
                <w:rFonts w:cs="Arial"/>
                <w:b/>
                <w:bCs/>
                <w:sz w:val="20"/>
                <w:szCs w:val="20"/>
                <w:u w:val="single"/>
              </w:rPr>
              <w:t>Έργα και Σχέδια Συγχρηματοδοτούμενα από Κοινοτικούς Πόρους (Δαπάνες από Χρηματοδότηση Πανεπιστημίου) - BIOBANK - Biobanking and the Cyprus Human Genome Project</w:t>
            </w:r>
            <w:r w:rsidRPr="00903F89">
              <w:rPr>
                <w:rFonts w:eastAsia="Arial" w:cs="Arial"/>
                <w:b/>
                <w:bCs/>
                <w:sz w:val="20"/>
                <w:szCs w:val="20"/>
                <w:u w:val="single"/>
                <w:shd w:val="clear" w:color="auto" w:fill="FFFFFF" w:themeFill="background1"/>
              </w:rPr>
              <w:t>–</w:t>
            </w:r>
            <w:r w:rsidRPr="00903F89">
              <w:rPr>
                <w:rFonts w:cs="Arial"/>
                <w:b/>
                <w:bCs/>
                <w:sz w:val="20"/>
                <w:szCs w:val="20"/>
                <w:u w:val="single"/>
                <w:shd w:val="clear" w:color="auto" w:fill="FFFFFF" w:themeFill="background1"/>
              </w:rPr>
              <w:t xml:space="preserve"> €</w:t>
            </w:r>
            <w:r w:rsidR="009C4525" w:rsidRPr="00903F89">
              <w:rPr>
                <w:rFonts w:cs="Arial"/>
                <w:b/>
                <w:bCs/>
                <w:sz w:val="20"/>
                <w:szCs w:val="20"/>
                <w:u w:val="single"/>
                <w:shd w:val="clear" w:color="auto" w:fill="FFFFFF" w:themeFill="background1"/>
              </w:rPr>
              <w:t>0</w:t>
            </w:r>
          </w:p>
        </w:tc>
      </w:tr>
      <w:tr w:rsidR="007422AB" w:rsidRPr="00903F89" w14:paraId="62AD23F4" w14:textId="77777777" w:rsidTr="00B1212B">
        <w:tc>
          <w:tcPr>
            <w:tcW w:w="10538" w:type="dxa"/>
            <w:gridSpan w:val="27"/>
            <w:shd w:val="clear" w:color="auto" w:fill="auto"/>
          </w:tcPr>
          <w:p w14:paraId="0E5EB75D" w14:textId="77777777" w:rsidR="00C36472" w:rsidRPr="00903F89" w:rsidRDefault="00C36472" w:rsidP="00903F89">
            <w:pPr>
              <w:ind w:left="34"/>
              <w:jc w:val="both"/>
              <w:rPr>
                <w:rFonts w:eastAsia="Arial" w:cs="Arial"/>
                <w:sz w:val="20"/>
                <w:szCs w:val="20"/>
              </w:rPr>
            </w:pPr>
          </w:p>
        </w:tc>
      </w:tr>
      <w:tr w:rsidR="007422AB" w:rsidRPr="00903F89" w14:paraId="0B2ADDDC" w14:textId="77777777" w:rsidTr="00B1212B">
        <w:tc>
          <w:tcPr>
            <w:tcW w:w="10538" w:type="dxa"/>
            <w:gridSpan w:val="27"/>
            <w:shd w:val="clear" w:color="auto" w:fill="auto"/>
          </w:tcPr>
          <w:p w14:paraId="4A6E7928" w14:textId="0598AA83" w:rsidR="00C36472" w:rsidRPr="00903F89" w:rsidRDefault="00130787" w:rsidP="00903F89">
            <w:pPr>
              <w:ind w:left="34"/>
              <w:jc w:val="both"/>
              <w:rPr>
                <w:rFonts w:eastAsia="Arial" w:cs="Arial"/>
                <w:strike/>
                <w:sz w:val="20"/>
                <w:szCs w:val="20"/>
              </w:rPr>
            </w:pPr>
            <w:r w:rsidRPr="00130787">
              <w:rPr>
                <w:rFonts w:cs="Arial"/>
                <w:sz w:val="20"/>
                <w:szCs w:val="20"/>
              </w:rPr>
              <w:t xml:space="preserve">Κατάργηση </w:t>
            </w:r>
            <w:r w:rsidR="00C7404B">
              <w:rPr>
                <w:rFonts w:cs="Arial"/>
                <w:sz w:val="20"/>
                <w:szCs w:val="20"/>
              </w:rPr>
              <w:t>ά</w:t>
            </w:r>
            <w:r w:rsidRPr="00130787">
              <w:rPr>
                <w:rFonts w:cs="Arial"/>
                <w:sz w:val="20"/>
                <w:szCs w:val="20"/>
              </w:rPr>
              <w:t>ρθρου. Οι δαπάνες για το 2022 εμφανίζονται στο Άρθρο 622</w:t>
            </w:r>
            <w:r w:rsidR="00C7404B">
              <w:rPr>
                <w:rFonts w:cs="Arial"/>
                <w:sz w:val="20"/>
                <w:szCs w:val="20"/>
              </w:rPr>
              <w:t>,</w:t>
            </w:r>
            <w:r w:rsidRPr="00130787">
              <w:rPr>
                <w:rFonts w:cs="Arial"/>
                <w:sz w:val="20"/>
                <w:szCs w:val="20"/>
              </w:rPr>
              <w:t xml:space="preserve"> με τίτλο «Έργα και Σχέδια Συγχρηματοδοτούμενα από Πανεπιστήμιο Κύπρου) - BIOBANK - Biobanking and the Cyprus Human Genome Project», στην Υποομάδα 620 «Δαπάνες Συγχρηματοδοτούμενες από Πανεπιστήμιο Κύπρου»).</w:t>
            </w:r>
          </w:p>
        </w:tc>
      </w:tr>
      <w:tr w:rsidR="007422AB" w:rsidRPr="00903F89" w14:paraId="0223B6E0" w14:textId="77777777" w:rsidTr="00B1212B">
        <w:tc>
          <w:tcPr>
            <w:tcW w:w="10538" w:type="dxa"/>
            <w:gridSpan w:val="27"/>
            <w:shd w:val="clear" w:color="auto" w:fill="FFFFFF" w:themeFill="background1"/>
          </w:tcPr>
          <w:p w14:paraId="212E23E4" w14:textId="77CC05D4" w:rsidR="00C36472" w:rsidRPr="00903F89" w:rsidRDefault="00C36472" w:rsidP="00903F89">
            <w:pPr>
              <w:jc w:val="both"/>
              <w:rPr>
                <w:rFonts w:eastAsia="Arial" w:cs="Arial"/>
                <w:sz w:val="20"/>
                <w:szCs w:val="20"/>
              </w:rPr>
            </w:pPr>
          </w:p>
        </w:tc>
      </w:tr>
      <w:tr w:rsidR="007422AB" w:rsidRPr="00903F89" w14:paraId="4FCEF4BD" w14:textId="77777777" w:rsidTr="00B1212B">
        <w:tc>
          <w:tcPr>
            <w:tcW w:w="10538" w:type="dxa"/>
            <w:gridSpan w:val="27"/>
            <w:shd w:val="clear" w:color="auto" w:fill="FFFFFF" w:themeFill="background1"/>
          </w:tcPr>
          <w:p w14:paraId="120E75EE" w14:textId="376D7B1C" w:rsidR="00C36472" w:rsidRPr="00903F89" w:rsidRDefault="0007111E" w:rsidP="00903F89">
            <w:pPr>
              <w:pStyle w:val="Heading8"/>
              <w:outlineLvl w:val="7"/>
              <w:rPr>
                <w:rFonts w:ascii="Arial" w:eastAsia="Arial" w:hAnsi="Arial" w:cs="Arial"/>
                <w:sz w:val="20"/>
                <w:szCs w:val="20"/>
                <w:u w:val="single"/>
              </w:rPr>
            </w:pPr>
            <w:r w:rsidRPr="00903F89">
              <w:rPr>
                <w:rFonts w:ascii="Arial" w:eastAsia="Arial" w:hAnsi="Arial" w:cs="Arial"/>
                <w:sz w:val="20"/>
                <w:szCs w:val="20"/>
                <w:u w:val="single"/>
              </w:rPr>
              <w:t>Υποομάδα 12</w:t>
            </w:r>
            <w:r w:rsidR="00C36472" w:rsidRPr="00903F89">
              <w:rPr>
                <w:rFonts w:ascii="Arial" w:eastAsia="Arial" w:hAnsi="Arial" w:cs="Arial"/>
                <w:sz w:val="20"/>
                <w:szCs w:val="20"/>
                <w:u w:val="single"/>
              </w:rPr>
              <w:t xml:space="preserve"> – </w:t>
            </w:r>
            <w:r w:rsidRPr="00903F89">
              <w:rPr>
                <w:rFonts w:ascii="Arial" w:eastAsia="Arial" w:hAnsi="Arial" w:cs="Arial"/>
                <w:sz w:val="20"/>
                <w:szCs w:val="20"/>
                <w:u w:val="single"/>
              </w:rPr>
              <w:t xml:space="preserve">Τρέχουσες Δαπάνες </w:t>
            </w:r>
            <w:r w:rsidR="00C36472" w:rsidRPr="00903F89">
              <w:rPr>
                <w:rFonts w:ascii="Arial" w:eastAsia="Arial" w:hAnsi="Arial" w:cs="Arial"/>
                <w:sz w:val="20"/>
                <w:szCs w:val="20"/>
                <w:u w:val="single"/>
              </w:rPr>
              <w:t>Διοικητικού και Άλλου Προσωπικού</w:t>
            </w:r>
          </w:p>
        </w:tc>
      </w:tr>
      <w:tr w:rsidR="007422AB" w:rsidRPr="00903F89" w14:paraId="4C620098" w14:textId="77777777" w:rsidTr="00B1212B">
        <w:tc>
          <w:tcPr>
            <w:tcW w:w="3337" w:type="dxa"/>
            <w:shd w:val="clear" w:color="auto" w:fill="FFFFFF" w:themeFill="background1"/>
          </w:tcPr>
          <w:p w14:paraId="64476521" w14:textId="77777777" w:rsidR="00C36472" w:rsidRPr="00903F89" w:rsidRDefault="00C36472" w:rsidP="00903F89">
            <w:pPr>
              <w:pStyle w:val="Heading8"/>
              <w:outlineLvl w:val="7"/>
              <w:rPr>
                <w:rFonts w:ascii="Arial" w:hAnsi="Arial" w:cs="Arial"/>
                <w:sz w:val="20"/>
                <w:szCs w:val="20"/>
                <w:u w:val="single"/>
              </w:rPr>
            </w:pPr>
          </w:p>
        </w:tc>
        <w:tc>
          <w:tcPr>
            <w:tcW w:w="3251" w:type="dxa"/>
            <w:gridSpan w:val="13"/>
            <w:shd w:val="clear" w:color="auto" w:fill="FFFFFF" w:themeFill="background1"/>
          </w:tcPr>
          <w:p w14:paraId="21FF9F99" w14:textId="77777777" w:rsidR="00C36472" w:rsidRPr="00903F89" w:rsidRDefault="00C36472" w:rsidP="00903F89">
            <w:pPr>
              <w:pStyle w:val="Heading8"/>
              <w:outlineLvl w:val="7"/>
              <w:rPr>
                <w:rFonts w:ascii="Arial" w:hAnsi="Arial" w:cs="Arial"/>
                <w:sz w:val="20"/>
                <w:szCs w:val="20"/>
                <w:u w:val="single"/>
              </w:rPr>
            </w:pPr>
          </w:p>
        </w:tc>
        <w:tc>
          <w:tcPr>
            <w:tcW w:w="3950" w:type="dxa"/>
            <w:gridSpan w:val="13"/>
            <w:shd w:val="clear" w:color="auto" w:fill="FFFFFF" w:themeFill="background1"/>
          </w:tcPr>
          <w:p w14:paraId="669A66AE" w14:textId="77777777" w:rsidR="00C36472" w:rsidRPr="00903F89" w:rsidRDefault="00C36472" w:rsidP="00903F89">
            <w:pPr>
              <w:pStyle w:val="Heading8"/>
              <w:outlineLvl w:val="7"/>
              <w:rPr>
                <w:rFonts w:ascii="Arial" w:hAnsi="Arial" w:cs="Arial"/>
                <w:sz w:val="20"/>
                <w:szCs w:val="20"/>
                <w:u w:val="single"/>
              </w:rPr>
            </w:pPr>
          </w:p>
        </w:tc>
      </w:tr>
      <w:tr w:rsidR="007422AB" w:rsidRPr="00903F89" w14:paraId="62BFB103" w14:textId="77777777" w:rsidTr="00B1212B">
        <w:trPr>
          <w:trHeight w:val="80"/>
        </w:trPr>
        <w:tc>
          <w:tcPr>
            <w:tcW w:w="10538" w:type="dxa"/>
            <w:gridSpan w:val="27"/>
            <w:shd w:val="clear" w:color="auto" w:fill="FFFFFF" w:themeFill="background1"/>
          </w:tcPr>
          <w:p w14:paraId="42F2414B" w14:textId="32C3B05A" w:rsidR="00C36472" w:rsidRPr="00903F89" w:rsidRDefault="00C36472" w:rsidP="00903F89">
            <w:pPr>
              <w:pStyle w:val="Heading8"/>
              <w:outlineLvl w:val="7"/>
              <w:rPr>
                <w:rFonts w:ascii="Arial" w:eastAsia="Arial" w:hAnsi="Arial" w:cs="Arial"/>
                <w:sz w:val="20"/>
                <w:szCs w:val="20"/>
                <w:u w:val="single"/>
                <w:lang w:val="en-US"/>
              </w:rPr>
            </w:pPr>
            <w:r w:rsidRPr="00903F89">
              <w:rPr>
                <w:rFonts w:ascii="Arial" w:eastAsia="Arial" w:hAnsi="Arial" w:cs="Arial"/>
                <w:sz w:val="20"/>
                <w:szCs w:val="20"/>
                <w:u w:val="single"/>
              </w:rPr>
              <w:t xml:space="preserve">Άρθρο </w:t>
            </w:r>
            <w:r w:rsidR="0007111E" w:rsidRPr="00903F89">
              <w:rPr>
                <w:rFonts w:ascii="Arial" w:eastAsia="Arial" w:hAnsi="Arial" w:cs="Arial"/>
                <w:sz w:val="20"/>
                <w:szCs w:val="20"/>
                <w:u w:val="single"/>
              </w:rPr>
              <w:t>12-</w:t>
            </w:r>
            <w:r w:rsidRPr="00903F89">
              <w:rPr>
                <w:rFonts w:ascii="Arial" w:eastAsia="Arial" w:hAnsi="Arial" w:cs="Arial"/>
                <w:sz w:val="20"/>
                <w:szCs w:val="20"/>
                <w:u w:val="single"/>
              </w:rPr>
              <w:t xml:space="preserve">101 – Βασικοί Μισθοί </w:t>
            </w:r>
            <w:r w:rsidRPr="00903F89">
              <w:rPr>
                <w:rFonts w:ascii="Arial" w:eastAsia="Arial" w:hAnsi="Arial" w:cs="Arial"/>
                <w:sz w:val="20"/>
                <w:szCs w:val="20"/>
                <w:u w:val="single"/>
                <w:shd w:val="clear" w:color="auto" w:fill="FFFFFF" w:themeFill="background1"/>
              </w:rPr>
              <w:t>– €</w:t>
            </w:r>
            <w:r w:rsidR="006A39F9" w:rsidRPr="006A39F9">
              <w:rPr>
                <w:rFonts w:ascii="Arial" w:eastAsia="Arial" w:hAnsi="Arial" w:cs="Arial"/>
                <w:sz w:val="20"/>
                <w:szCs w:val="20"/>
                <w:u w:val="single"/>
                <w:shd w:val="clear" w:color="auto" w:fill="FFFFFF" w:themeFill="background1"/>
              </w:rPr>
              <w:t>11.820.602</w:t>
            </w:r>
          </w:p>
        </w:tc>
      </w:tr>
      <w:tr w:rsidR="007422AB" w:rsidRPr="00903F89" w14:paraId="6E48B087" w14:textId="77777777" w:rsidTr="00B1212B">
        <w:tc>
          <w:tcPr>
            <w:tcW w:w="3337" w:type="dxa"/>
          </w:tcPr>
          <w:p w14:paraId="6EF6A6F7" w14:textId="77777777" w:rsidR="00C36472" w:rsidRPr="00903F89" w:rsidRDefault="00C36472" w:rsidP="00903F89">
            <w:pPr>
              <w:pStyle w:val="Heading8"/>
              <w:outlineLvl w:val="7"/>
              <w:rPr>
                <w:rFonts w:ascii="Arial" w:hAnsi="Arial" w:cs="Arial"/>
                <w:sz w:val="20"/>
                <w:szCs w:val="20"/>
                <w:u w:val="single"/>
              </w:rPr>
            </w:pPr>
          </w:p>
        </w:tc>
        <w:tc>
          <w:tcPr>
            <w:tcW w:w="3251" w:type="dxa"/>
            <w:gridSpan w:val="13"/>
          </w:tcPr>
          <w:p w14:paraId="07703AA2" w14:textId="77777777" w:rsidR="00C36472" w:rsidRPr="00903F89" w:rsidRDefault="00C36472" w:rsidP="00903F89">
            <w:pPr>
              <w:pStyle w:val="Heading8"/>
              <w:outlineLvl w:val="7"/>
              <w:rPr>
                <w:rFonts w:ascii="Arial" w:hAnsi="Arial" w:cs="Arial"/>
                <w:sz w:val="20"/>
                <w:szCs w:val="20"/>
                <w:u w:val="single"/>
              </w:rPr>
            </w:pPr>
          </w:p>
        </w:tc>
        <w:tc>
          <w:tcPr>
            <w:tcW w:w="3950" w:type="dxa"/>
            <w:gridSpan w:val="13"/>
          </w:tcPr>
          <w:p w14:paraId="778617B7" w14:textId="77777777" w:rsidR="00C36472" w:rsidRPr="00903F89" w:rsidRDefault="00C36472" w:rsidP="00903F89">
            <w:pPr>
              <w:pStyle w:val="Heading8"/>
              <w:outlineLvl w:val="7"/>
              <w:rPr>
                <w:rFonts w:ascii="Arial" w:hAnsi="Arial" w:cs="Arial"/>
                <w:sz w:val="20"/>
                <w:szCs w:val="20"/>
                <w:u w:val="single"/>
              </w:rPr>
            </w:pPr>
          </w:p>
        </w:tc>
      </w:tr>
      <w:tr w:rsidR="00903F89" w:rsidRPr="00903F89" w14:paraId="1C34B2CB" w14:textId="77777777" w:rsidTr="00B1212B">
        <w:tc>
          <w:tcPr>
            <w:tcW w:w="10538" w:type="dxa"/>
            <w:gridSpan w:val="27"/>
          </w:tcPr>
          <w:p w14:paraId="0449BF18" w14:textId="45D80531" w:rsidR="00C36472" w:rsidRPr="00903F89" w:rsidRDefault="00C36472" w:rsidP="00903F89">
            <w:pPr>
              <w:jc w:val="both"/>
              <w:rPr>
                <w:rFonts w:eastAsia="Arial" w:cs="Arial"/>
                <w:sz w:val="20"/>
                <w:szCs w:val="20"/>
              </w:rPr>
            </w:pPr>
            <w:r w:rsidRPr="00903F89">
              <w:rPr>
                <w:rFonts w:cs="Arial"/>
                <w:sz w:val="20"/>
                <w:szCs w:val="20"/>
              </w:rPr>
              <w:t xml:space="preserve">Η πρόνοια αφορά στους βασικούς μισθούς για </w:t>
            </w:r>
            <w:r w:rsidR="007D0024" w:rsidRPr="00903F89">
              <w:rPr>
                <w:rFonts w:cs="Arial"/>
                <w:sz w:val="20"/>
                <w:szCs w:val="20"/>
              </w:rPr>
              <w:t>τετρακόσιες (</w:t>
            </w:r>
            <w:r w:rsidR="000749A6" w:rsidRPr="00903F89">
              <w:rPr>
                <w:rFonts w:cs="Arial"/>
                <w:sz w:val="20"/>
                <w:szCs w:val="20"/>
              </w:rPr>
              <w:t>4</w:t>
            </w:r>
            <w:r w:rsidR="00B613A0" w:rsidRPr="00903F89">
              <w:rPr>
                <w:rFonts w:cs="Arial"/>
                <w:sz w:val="20"/>
                <w:szCs w:val="20"/>
              </w:rPr>
              <w:t>0</w:t>
            </w:r>
            <w:r w:rsidR="00934277" w:rsidRPr="00903F89">
              <w:rPr>
                <w:rFonts w:cs="Arial"/>
                <w:sz w:val="20"/>
                <w:szCs w:val="20"/>
              </w:rPr>
              <w:t>0</w:t>
            </w:r>
            <w:r w:rsidR="007D0024" w:rsidRPr="00903F89">
              <w:rPr>
                <w:rFonts w:cs="Arial"/>
                <w:sz w:val="20"/>
                <w:szCs w:val="20"/>
              </w:rPr>
              <w:t>)</w:t>
            </w:r>
            <w:r w:rsidR="008033FB" w:rsidRPr="00903F89">
              <w:rPr>
                <w:rFonts w:cs="Arial"/>
                <w:sz w:val="20"/>
                <w:szCs w:val="20"/>
              </w:rPr>
              <w:t xml:space="preserve"> </w:t>
            </w:r>
            <w:r w:rsidRPr="00903F89">
              <w:rPr>
                <w:rFonts w:cs="Arial"/>
                <w:sz w:val="20"/>
                <w:szCs w:val="20"/>
              </w:rPr>
              <w:t>θέσεις διοικητικού προσωπικού</w:t>
            </w:r>
            <w:r w:rsidR="00D27B39" w:rsidRPr="00903F89">
              <w:rPr>
                <w:rFonts w:cs="Arial"/>
                <w:sz w:val="20"/>
                <w:szCs w:val="20"/>
              </w:rPr>
              <w:t xml:space="preserve">, </w:t>
            </w:r>
            <w:r w:rsidR="00934277" w:rsidRPr="00903F89">
              <w:rPr>
                <w:rFonts w:cs="Arial"/>
                <w:sz w:val="20"/>
                <w:szCs w:val="20"/>
              </w:rPr>
              <w:t xml:space="preserve">συν </w:t>
            </w:r>
            <w:r w:rsidR="00D27B39" w:rsidRPr="00903F89">
              <w:rPr>
                <w:rFonts w:cs="Arial"/>
                <w:sz w:val="20"/>
                <w:szCs w:val="20"/>
              </w:rPr>
              <w:t>μία</w:t>
            </w:r>
            <w:r w:rsidR="00934277" w:rsidRPr="00903F89">
              <w:rPr>
                <w:rFonts w:cs="Arial"/>
                <w:sz w:val="20"/>
                <w:szCs w:val="20"/>
              </w:rPr>
              <w:t xml:space="preserve"> (1)</w:t>
            </w:r>
            <w:r w:rsidR="00D27B39" w:rsidRPr="00903F89">
              <w:rPr>
                <w:rFonts w:cs="Arial"/>
                <w:sz w:val="20"/>
                <w:szCs w:val="20"/>
              </w:rPr>
              <w:t xml:space="preserve"> θέση </w:t>
            </w:r>
            <w:r w:rsidR="00934277" w:rsidRPr="00903F89">
              <w:rPr>
                <w:rFonts w:cs="Arial"/>
                <w:sz w:val="20"/>
                <w:szCs w:val="20"/>
              </w:rPr>
              <w:t xml:space="preserve">η οποία </w:t>
            </w:r>
            <w:r w:rsidR="00361CA0" w:rsidRPr="00903F89">
              <w:rPr>
                <w:rFonts w:cs="Arial"/>
                <w:sz w:val="20"/>
                <w:szCs w:val="20"/>
              </w:rPr>
              <w:t>λογίζεται ως υπεράριθμη θέση</w:t>
            </w:r>
            <w:r w:rsidR="00B613A0" w:rsidRPr="00903F89">
              <w:rPr>
                <w:rFonts w:cs="Arial"/>
                <w:sz w:val="20"/>
                <w:szCs w:val="20"/>
              </w:rPr>
              <w:t>.</w:t>
            </w:r>
            <w:r w:rsidR="00CE4EFE" w:rsidRPr="00903F89">
              <w:rPr>
                <w:rFonts w:eastAsia="Arial" w:cs="Arial"/>
                <w:sz w:val="20"/>
                <w:szCs w:val="20"/>
              </w:rPr>
              <w:t xml:space="preserve"> </w:t>
            </w:r>
          </w:p>
        </w:tc>
      </w:tr>
      <w:tr w:rsidR="00CE4EFE" w:rsidRPr="00903F89" w14:paraId="1E78963A" w14:textId="77777777" w:rsidTr="00B1212B">
        <w:tc>
          <w:tcPr>
            <w:tcW w:w="10538" w:type="dxa"/>
            <w:gridSpan w:val="27"/>
          </w:tcPr>
          <w:p w14:paraId="5D83A5B2" w14:textId="77777777" w:rsidR="00CE4EFE" w:rsidRPr="00903F89" w:rsidRDefault="00CE4EFE" w:rsidP="00903F89">
            <w:pPr>
              <w:jc w:val="both"/>
              <w:rPr>
                <w:rFonts w:cs="Arial"/>
                <w:sz w:val="20"/>
                <w:szCs w:val="20"/>
              </w:rPr>
            </w:pPr>
          </w:p>
        </w:tc>
      </w:tr>
      <w:tr w:rsidR="00903F89" w:rsidRPr="00903F89" w14:paraId="0566C890" w14:textId="77777777" w:rsidTr="00B1212B">
        <w:tc>
          <w:tcPr>
            <w:tcW w:w="10538" w:type="dxa"/>
            <w:gridSpan w:val="27"/>
          </w:tcPr>
          <w:p w14:paraId="720D5AF1" w14:textId="5EFBB373" w:rsidR="00C36472" w:rsidRPr="00903F89" w:rsidRDefault="00CE4EFE" w:rsidP="00903F89">
            <w:pPr>
              <w:jc w:val="both"/>
              <w:rPr>
                <w:rFonts w:cs="Arial"/>
                <w:sz w:val="20"/>
                <w:szCs w:val="20"/>
              </w:rPr>
            </w:pPr>
            <w:r w:rsidRPr="00903F89">
              <w:rPr>
                <w:rFonts w:eastAsia="Arial" w:cs="Arial"/>
                <w:sz w:val="20"/>
                <w:szCs w:val="20"/>
              </w:rPr>
              <w:t>Διευκρινίζεται ότι δεκαέξι (16) κενούμενες θέσεις που προέκυψαν σε χαμηλότερη βαθμίδα λόγω προαγωγής, αυτόματα καταργήθηκαν (εντός του 2021)</w:t>
            </w:r>
            <w:r>
              <w:rPr>
                <w:rFonts w:eastAsia="Arial" w:cs="Arial"/>
                <w:sz w:val="20"/>
                <w:szCs w:val="20"/>
              </w:rPr>
              <w:t>.</w:t>
            </w:r>
          </w:p>
        </w:tc>
      </w:tr>
      <w:tr w:rsidR="00CE4EFE" w:rsidRPr="00903F89" w14:paraId="5F6FCC41" w14:textId="77777777" w:rsidTr="00B1212B">
        <w:tc>
          <w:tcPr>
            <w:tcW w:w="10538" w:type="dxa"/>
            <w:gridSpan w:val="27"/>
          </w:tcPr>
          <w:p w14:paraId="7DA93554" w14:textId="77777777" w:rsidR="00CE4EFE" w:rsidRPr="00903F89" w:rsidRDefault="00CE4EFE" w:rsidP="00903F89">
            <w:pPr>
              <w:jc w:val="both"/>
              <w:rPr>
                <w:rFonts w:eastAsia="Arial" w:cs="Arial"/>
                <w:sz w:val="20"/>
                <w:szCs w:val="20"/>
              </w:rPr>
            </w:pPr>
          </w:p>
        </w:tc>
      </w:tr>
      <w:tr w:rsidR="007422AB" w:rsidRPr="00903F89" w14:paraId="690E6F71" w14:textId="77777777" w:rsidTr="00B1212B">
        <w:tc>
          <w:tcPr>
            <w:tcW w:w="10538" w:type="dxa"/>
            <w:gridSpan w:val="27"/>
            <w:shd w:val="clear" w:color="auto" w:fill="auto"/>
          </w:tcPr>
          <w:p w14:paraId="5C209559" w14:textId="66030B86" w:rsidR="00C36472" w:rsidRPr="00903F89" w:rsidRDefault="00C36472" w:rsidP="00903F89">
            <w:pPr>
              <w:pStyle w:val="NormalWeb"/>
              <w:tabs>
                <w:tab w:val="left" w:pos="625"/>
              </w:tabs>
              <w:spacing w:before="0" w:beforeAutospacing="0" w:after="0" w:afterAutospacing="0"/>
              <w:jc w:val="both"/>
              <w:rPr>
                <w:rFonts w:ascii="Arial" w:eastAsia="Arial" w:hAnsi="Arial" w:cs="Arial"/>
                <w:sz w:val="20"/>
                <w:szCs w:val="20"/>
              </w:rPr>
            </w:pPr>
            <w:r w:rsidRPr="00903F89">
              <w:rPr>
                <w:rFonts w:ascii="Arial" w:eastAsia="Arial" w:hAnsi="Arial" w:cs="Arial"/>
                <w:sz w:val="20"/>
                <w:szCs w:val="20"/>
              </w:rPr>
              <w:t>Κατά τη σύνταξη του Προϋπολογισμού του Πανεπιστημίου Κύπρου για το 202</w:t>
            </w:r>
            <w:r w:rsidR="00E41495" w:rsidRPr="00903F89">
              <w:rPr>
                <w:rFonts w:ascii="Arial" w:eastAsia="Arial" w:hAnsi="Arial" w:cs="Arial"/>
                <w:sz w:val="20"/>
                <w:szCs w:val="20"/>
              </w:rPr>
              <w:t>2</w:t>
            </w:r>
            <w:r w:rsidRPr="00903F89">
              <w:rPr>
                <w:rFonts w:ascii="Arial" w:eastAsia="Arial" w:hAnsi="Arial" w:cs="Arial"/>
                <w:sz w:val="20"/>
                <w:szCs w:val="20"/>
              </w:rPr>
              <w:t xml:space="preserve"> τριακόσια </w:t>
            </w:r>
            <w:r w:rsidR="00CA581E" w:rsidRPr="00903F89">
              <w:rPr>
                <w:rFonts w:ascii="Arial" w:eastAsia="Arial" w:hAnsi="Arial" w:cs="Arial"/>
                <w:sz w:val="20"/>
                <w:szCs w:val="20"/>
              </w:rPr>
              <w:t>εννέα</w:t>
            </w:r>
            <w:r w:rsidR="00361CA0" w:rsidRPr="00903F89">
              <w:rPr>
                <w:rFonts w:ascii="Arial" w:eastAsia="Arial" w:hAnsi="Arial" w:cs="Arial"/>
                <w:sz w:val="20"/>
                <w:szCs w:val="20"/>
              </w:rPr>
              <w:t xml:space="preserve"> </w:t>
            </w:r>
            <w:r w:rsidRPr="00903F89">
              <w:rPr>
                <w:rFonts w:ascii="Arial" w:eastAsia="Arial" w:hAnsi="Arial" w:cs="Arial"/>
                <w:sz w:val="20"/>
                <w:szCs w:val="20"/>
              </w:rPr>
              <w:t>(3</w:t>
            </w:r>
            <w:r w:rsidR="00F409D5" w:rsidRPr="00903F89">
              <w:rPr>
                <w:rFonts w:ascii="Arial" w:eastAsia="Arial" w:hAnsi="Arial" w:cs="Arial"/>
                <w:sz w:val="20"/>
                <w:szCs w:val="20"/>
              </w:rPr>
              <w:t>0</w:t>
            </w:r>
            <w:r w:rsidR="00CA581E" w:rsidRPr="00903F89">
              <w:rPr>
                <w:rFonts w:ascii="Arial" w:eastAsia="Arial" w:hAnsi="Arial" w:cs="Arial"/>
                <w:sz w:val="20"/>
                <w:szCs w:val="20"/>
              </w:rPr>
              <w:t>9</w:t>
            </w:r>
            <w:r w:rsidRPr="00903F89">
              <w:rPr>
                <w:rFonts w:ascii="Arial" w:eastAsia="Arial" w:hAnsi="Arial" w:cs="Arial"/>
                <w:sz w:val="20"/>
                <w:szCs w:val="20"/>
              </w:rPr>
              <w:t>) μέλη του Διοικητικού Προσωπικού αναμένεται να πληρούν θέση το 202</w:t>
            </w:r>
            <w:r w:rsidR="00E41495" w:rsidRPr="00903F89">
              <w:rPr>
                <w:rFonts w:ascii="Arial" w:eastAsia="Arial" w:hAnsi="Arial" w:cs="Arial"/>
                <w:sz w:val="20"/>
                <w:szCs w:val="20"/>
              </w:rPr>
              <w:t>2</w:t>
            </w:r>
            <w:r w:rsidRPr="00903F89">
              <w:rPr>
                <w:rFonts w:ascii="Arial" w:eastAsia="Arial" w:hAnsi="Arial" w:cs="Arial"/>
                <w:sz w:val="20"/>
                <w:szCs w:val="20"/>
              </w:rPr>
              <w:t>, έναντι τετρακόσιων</w:t>
            </w:r>
            <w:r w:rsidR="00770BFD" w:rsidRPr="00903F89">
              <w:rPr>
                <w:rFonts w:ascii="Arial" w:eastAsia="Arial" w:hAnsi="Arial" w:cs="Arial"/>
                <w:sz w:val="20"/>
                <w:szCs w:val="20"/>
              </w:rPr>
              <w:t xml:space="preserve"> </w:t>
            </w:r>
            <w:r w:rsidR="00CA581E" w:rsidRPr="00903F89">
              <w:rPr>
                <w:rFonts w:ascii="Arial" w:eastAsia="Arial" w:hAnsi="Arial" w:cs="Arial"/>
                <w:sz w:val="20"/>
                <w:szCs w:val="20"/>
              </w:rPr>
              <w:t xml:space="preserve">δύο </w:t>
            </w:r>
            <w:r w:rsidR="00177084" w:rsidRPr="00903F89">
              <w:rPr>
                <w:rFonts w:ascii="Arial" w:eastAsia="Arial" w:hAnsi="Arial" w:cs="Arial"/>
                <w:sz w:val="20"/>
                <w:szCs w:val="20"/>
              </w:rPr>
              <w:t>(4</w:t>
            </w:r>
            <w:r w:rsidR="008B3E67" w:rsidRPr="00903F89">
              <w:rPr>
                <w:rFonts w:ascii="Arial" w:eastAsia="Arial" w:hAnsi="Arial" w:cs="Arial"/>
                <w:sz w:val="20"/>
                <w:szCs w:val="20"/>
              </w:rPr>
              <w:t>0</w:t>
            </w:r>
            <w:r w:rsidR="00CA581E" w:rsidRPr="00903F89">
              <w:rPr>
                <w:rFonts w:ascii="Arial" w:eastAsia="Arial" w:hAnsi="Arial" w:cs="Arial"/>
                <w:sz w:val="20"/>
                <w:szCs w:val="20"/>
              </w:rPr>
              <w:t>2</w:t>
            </w:r>
            <w:r w:rsidR="00177084" w:rsidRPr="00903F89">
              <w:rPr>
                <w:rFonts w:ascii="Arial" w:eastAsia="Arial" w:hAnsi="Arial" w:cs="Arial"/>
                <w:sz w:val="20"/>
                <w:szCs w:val="20"/>
              </w:rPr>
              <w:t xml:space="preserve">) </w:t>
            </w:r>
            <w:r w:rsidR="008B3E67" w:rsidRPr="00903F89">
              <w:rPr>
                <w:rFonts w:ascii="Arial" w:eastAsia="Arial" w:hAnsi="Arial" w:cs="Arial"/>
                <w:sz w:val="20"/>
                <w:szCs w:val="20"/>
              </w:rPr>
              <w:t xml:space="preserve">εγκεκριμένων θέσεων </w:t>
            </w:r>
            <w:r w:rsidRPr="00903F89">
              <w:rPr>
                <w:rFonts w:ascii="Arial" w:eastAsia="Arial" w:hAnsi="Arial" w:cs="Arial"/>
                <w:sz w:val="20"/>
                <w:szCs w:val="20"/>
              </w:rPr>
              <w:t>Διοικητικού Προσωπικού</w:t>
            </w:r>
            <w:r w:rsidR="00D27B39" w:rsidRPr="00903F89">
              <w:rPr>
                <w:rFonts w:ascii="Arial" w:eastAsia="Arial" w:hAnsi="Arial" w:cs="Arial"/>
                <w:sz w:val="20"/>
                <w:szCs w:val="20"/>
              </w:rPr>
              <w:t xml:space="preserve"> (</w:t>
            </w:r>
            <w:r w:rsidR="00F409D5" w:rsidRPr="00903F89">
              <w:rPr>
                <w:rFonts w:ascii="Arial" w:eastAsia="Arial" w:hAnsi="Arial" w:cs="Arial"/>
                <w:sz w:val="20"/>
                <w:szCs w:val="20"/>
              </w:rPr>
              <w:t>συν μ</w:t>
            </w:r>
            <w:r w:rsidR="00D27B39" w:rsidRPr="00903F89">
              <w:rPr>
                <w:rFonts w:ascii="Arial" w:eastAsia="Arial" w:hAnsi="Arial" w:cs="Arial"/>
                <w:sz w:val="20"/>
                <w:szCs w:val="20"/>
              </w:rPr>
              <w:t>ία</w:t>
            </w:r>
            <w:r w:rsidR="007D0024" w:rsidRPr="00903F89">
              <w:rPr>
                <w:rFonts w:ascii="Arial" w:eastAsia="Arial" w:hAnsi="Arial" w:cs="Arial"/>
                <w:sz w:val="20"/>
                <w:szCs w:val="20"/>
              </w:rPr>
              <w:t xml:space="preserve"> (1)</w:t>
            </w:r>
            <w:r w:rsidR="00D27B39" w:rsidRPr="00903F89">
              <w:rPr>
                <w:rFonts w:ascii="Arial" w:eastAsia="Arial" w:hAnsi="Arial" w:cs="Arial"/>
                <w:sz w:val="20"/>
                <w:szCs w:val="20"/>
              </w:rPr>
              <w:t xml:space="preserve"> θέση </w:t>
            </w:r>
            <w:r w:rsidR="00F409D5" w:rsidRPr="00903F89">
              <w:rPr>
                <w:rFonts w:ascii="Arial" w:eastAsia="Arial" w:hAnsi="Arial" w:cs="Arial"/>
                <w:sz w:val="20"/>
                <w:szCs w:val="20"/>
              </w:rPr>
              <w:t xml:space="preserve">η οποία </w:t>
            </w:r>
            <w:r w:rsidR="00D27B39" w:rsidRPr="00903F89">
              <w:rPr>
                <w:rFonts w:ascii="Arial" w:eastAsia="Arial" w:hAnsi="Arial" w:cs="Arial"/>
                <w:sz w:val="20"/>
                <w:szCs w:val="20"/>
              </w:rPr>
              <w:t>λογίζεται ως υπεράριθμη θέση)</w:t>
            </w:r>
            <w:r w:rsidR="00CE4EFE">
              <w:rPr>
                <w:rFonts w:ascii="Arial" w:eastAsia="Arial" w:hAnsi="Arial" w:cs="Arial"/>
                <w:sz w:val="20"/>
                <w:szCs w:val="20"/>
              </w:rPr>
              <w:t xml:space="preserve">, </w:t>
            </w:r>
            <w:r w:rsidR="00D27B39" w:rsidRPr="00903F89">
              <w:rPr>
                <w:rFonts w:ascii="Arial" w:eastAsia="Arial" w:hAnsi="Arial" w:cs="Arial"/>
                <w:sz w:val="20"/>
                <w:szCs w:val="20"/>
              </w:rPr>
              <w:t xml:space="preserve">ενώ </w:t>
            </w:r>
            <w:r w:rsidR="00CE4EFE">
              <w:rPr>
                <w:rFonts w:ascii="Arial" w:eastAsia="Arial" w:hAnsi="Arial" w:cs="Arial"/>
                <w:sz w:val="20"/>
                <w:szCs w:val="20"/>
              </w:rPr>
              <w:t xml:space="preserve">ταυτόχρονα </w:t>
            </w:r>
            <w:r w:rsidR="006D5EE4" w:rsidRPr="00903F89">
              <w:rPr>
                <w:rFonts w:ascii="Arial" w:eastAsia="Arial" w:hAnsi="Arial" w:cs="Arial"/>
                <w:sz w:val="20"/>
                <w:szCs w:val="20"/>
              </w:rPr>
              <w:t xml:space="preserve">δύο </w:t>
            </w:r>
            <w:r w:rsidR="003C2DD3" w:rsidRPr="00903F89">
              <w:rPr>
                <w:rFonts w:ascii="Arial" w:eastAsia="Arial" w:hAnsi="Arial" w:cs="Arial"/>
                <w:sz w:val="20"/>
                <w:szCs w:val="20"/>
              </w:rPr>
              <w:t xml:space="preserve">(2) θέσεις </w:t>
            </w:r>
            <w:r w:rsidR="006D5EE4" w:rsidRPr="00903F89">
              <w:rPr>
                <w:rFonts w:ascii="Arial" w:eastAsia="Arial" w:hAnsi="Arial" w:cs="Arial"/>
                <w:sz w:val="20"/>
                <w:szCs w:val="20"/>
              </w:rPr>
              <w:t xml:space="preserve">καταργούνται το 2022, έναντι δημιουργίας </w:t>
            </w:r>
            <w:r w:rsidR="00CE4EFE">
              <w:rPr>
                <w:rFonts w:ascii="Arial" w:eastAsia="Arial" w:hAnsi="Arial" w:cs="Arial"/>
                <w:sz w:val="20"/>
                <w:szCs w:val="20"/>
              </w:rPr>
              <w:t xml:space="preserve">ισάριθμών </w:t>
            </w:r>
            <w:r w:rsidR="006D5EE4" w:rsidRPr="00903F89">
              <w:rPr>
                <w:rFonts w:ascii="Arial" w:eastAsia="Arial" w:hAnsi="Arial" w:cs="Arial"/>
                <w:sz w:val="20"/>
                <w:szCs w:val="20"/>
              </w:rPr>
              <w:t xml:space="preserve">νέων οργανικών θέσεων.  Οι υπόλοιπες </w:t>
            </w:r>
            <w:r w:rsidR="003C2DD3" w:rsidRPr="00903F89">
              <w:rPr>
                <w:rFonts w:ascii="Arial" w:eastAsia="Arial" w:hAnsi="Arial" w:cs="Arial"/>
                <w:sz w:val="20"/>
                <w:szCs w:val="20"/>
              </w:rPr>
              <w:t>ενενήντα</w:t>
            </w:r>
            <w:r w:rsidR="006D5EE4" w:rsidRPr="00903F89">
              <w:rPr>
                <w:rFonts w:ascii="Arial" w:eastAsia="Arial" w:hAnsi="Arial" w:cs="Arial"/>
                <w:sz w:val="20"/>
                <w:szCs w:val="20"/>
              </w:rPr>
              <w:t xml:space="preserve"> δύο </w:t>
            </w:r>
            <w:r w:rsidRPr="00903F89">
              <w:rPr>
                <w:rFonts w:ascii="Arial" w:eastAsia="Arial" w:hAnsi="Arial" w:cs="Arial"/>
                <w:sz w:val="20"/>
                <w:szCs w:val="20"/>
              </w:rPr>
              <w:t>(</w:t>
            </w:r>
            <w:r w:rsidR="00361CA0" w:rsidRPr="00903F89">
              <w:rPr>
                <w:rFonts w:ascii="Arial" w:eastAsia="Arial" w:hAnsi="Arial" w:cs="Arial"/>
                <w:sz w:val="20"/>
                <w:szCs w:val="20"/>
              </w:rPr>
              <w:t>9</w:t>
            </w:r>
            <w:r w:rsidR="006D5EE4" w:rsidRPr="00903F89">
              <w:rPr>
                <w:rFonts w:ascii="Arial" w:eastAsia="Arial" w:hAnsi="Arial" w:cs="Arial"/>
                <w:sz w:val="20"/>
                <w:szCs w:val="20"/>
              </w:rPr>
              <w:t>2</w:t>
            </w:r>
            <w:r w:rsidRPr="00903F89">
              <w:rPr>
                <w:rFonts w:ascii="Arial" w:eastAsia="Arial" w:hAnsi="Arial" w:cs="Arial"/>
                <w:sz w:val="20"/>
                <w:szCs w:val="20"/>
              </w:rPr>
              <w:t xml:space="preserve">) </w:t>
            </w:r>
            <w:r w:rsidR="006D5EE4" w:rsidRPr="00903F89">
              <w:rPr>
                <w:rFonts w:ascii="Arial" w:eastAsia="Arial" w:hAnsi="Arial" w:cs="Arial"/>
                <w:sz w:val="20"/>
                <w:szCs w:val="20"/>
              </w:rPr>
              <w:t xml:space="preserve">κενές </w:t>
            </w:r>
            <w:r w:rsidRPr="00903F89">
              <w:rPr>
                <w:rFonts w:ascii="Arial" w:eastAsia="Arial" w:hAnsi="Arial" w:cs="Arial"/>
                <w:sz w:val="20"/>
                <w:szCs w:val="20"/>
              </w:rPr>
              <w:t xml:space="preserve">θέσεις Διοικητικού Προσωπικού, </w:t>
            </w:r>
            <w:r w:rsidR="006D5EE4" w:rsidRPr="00903F89">
              <w:rPr>
                <w:rFonts w:ascii="Arial" w:eastAsia="Arial" w:hAnsi="Arial" w:cs="Arial"/>
                <w:sz w:val="20"/>
                <w:szCs w:val="20"/>
              </w:rPr>
              <w:t>περιλαμβάνονται στον Προϋπολογισμό του Π</w:t>
            </w:r>
            <w:r w:rsidRPr="00903F89">
              <w:rPr>
                <w:rFonts w:ascii="Arial" w:eastAsia="Arial" w:hAnsi="Arial" w:cs="Arial"/>
                <w:sz w:val="20"/>
                <w:szCs w:val="20"/>
              </w:rPr>
              <w:t>ανεπιστημίου Κύπρου για το 202</w:t>
            </w:r>
            <w:r w:rsidR="00E41495" w:rsidRPr="00903F89">
              <w:rPr>
                <w:rFonts w:ascii="Arial" w:eastAsia="Arial" w:hAnsi="Arial" w:cs="Arial"/>
                <w:sz w:val="20"/>
                <w:szCs w:val="20"/>
              </w:rPr>
              <w:t>2</w:t>
            </w:r>
            <w:r w:rsidRPr="00903F89">
              <w:rPr>
                <w:rFonts w:ascii="Arial" w:eastAsia="Arial" w:hAnsi="Arial" w:cs="Arial"/>
                <w:sz w:val="20"/>
                <w:szCs w:val="20"/>
              </w:rPr>
              <w:t xml:space="preserve"> </w:t>
            </w:r>
            <w:r w:rsidR="003C2DD3" w:rsidRPr="00903F89">
              <w:rPr>
                <w:rFonts w:ascii="Arial" w:eastAsia="Arial" w:hAnsi="Arial" w:cs="Arial"/>
                <w:sz w:val="20"/>
                <w:szCs w:val="20"/>
              </w:rPr>
              <w:t>με ενδεικτική, μερική ή πλήρη πρόνοια (βλ. ΠΑΡΑΡΤΗΜΑ ΙΙ).</w:t>
            </w:r>
          </w:p>
        </w:tc>
      </w:tr>
      <w:tr w:rsidR="007422AB" w:rsidRPr="00903F89" w14:paraId="0F7BC351" w14:textId="77777777" w:rsidTr="00B1212B">
        <w:trPr>
          <w:trHeight w:val="70"/>
        </w:trPr>
        <w:tc>
          <w:tcPr>
            <w:tcW w:w="10538" w:type="dxa"/>
            <w:gridSpan w:val="27"/>
          </w:tcPr>
          <w:p w14:paraId="699B8CF7" w14:textId="77777777" w:rsidR="00C36472" w:rsidRPr="00903F89" w:rsidRDefault="00C36472" w:rsidP="00903F89">
            <w:pPr>
              <w:jc w:val="both"/>
              <w:rPr>
                <w:rFonts w:cs="Arial"/>
                <w:sz w:val="20"/>
                <w:szCs w:val="20"/>
              </w:rPr>
            </w:pPr>
          </w:p>
        </w:tc>
      </w:tr>
      <w:tr w:rsidR="007422AB" w:rsidRPr="00903F89" w14:paraId="373DB63E" w14:textId="77777777" w:rsidTr="00B1212B">
        <w:tc>
          <w:tcPr>
            <w:tcW w:w="10538" w:type="dxa"/>
            <w:gridSpan w:val="27"/>
          </w:tcPr>
          <w:p w14:paraId="72D6D887" w14:textId="4F742DA9" w:rsidR="003C2DD3" w:rsidRPr="00903F89" w:rsidRDefault="003C2DD3" w:rsidP="00903F89">
            <w:pPr>
              <w:jc w:val="both"/>
              <w:rPr>
                <w:rFonts w:cs="Arial"/>
                <w:sz w:val="20"/>
                <w:szCs w:val="20"/>
                <w:lang w:eastAsia="ko-KR"/>
              </w:rPr>
            </w:pPr>
            <w:r w:rsidRPr="00903F89">
              <w:rPr>
                <w:rFonts w:cs="Arial"/>
                <w:sz w:val="20"/>
                <w:szCs w:val="20"/>
                <w:lang w:eastAsia="ko-KR"/>
              </w:rPr>
              <w:t>Η πρόνοια αφορά επίσης στους βασικούς μισθούς για τέσσερις (4) νέες θέσεις Διοικητικού Προσωπικού οι οποίες περιλαμβάνονται με μερική πρόνοια και αφορούν:</w:t>
            </w:r>
          </w:p>
        </w:tc>
      </w:tr>
      <w:tr w:rsidR="007422AB" w:rsidRPr="00903F89" w14:paraId="413E72BC" w14:textId="77777777" w:rsidTr="00B1212B">
        <w:tc>
          <w:tcPr>
            <w:tcW w:w="10538" w:type="dxa"/>
            <w:gridSpan w:val="27"/>
          </w:tcPr>
          <w:p w14:paraId="739BF622" w14:textId="77777777" w:rsidR="003C2DD3" w:rsidRPr="00903F89" w:rsidRDefault="003C2DD3" w:rsidP="00903F89">
            <w:pPr>
              <w:jc w:val="both"/>
              <w:rPr>
                <w:rFonts w:cs="Arial"/>
                <w:sz w:val="20"/>
                <w:szCs w:val="20"/>
                <w:lang w:eastAsia="ko-KR"/>
              </w:rPr>
            </w:pPr>
          </w:p>
        </w:tc>
      </w:tr>
      <w:tr w:rsidR="007422AB" w:rsidRPr="00903F89" w14:paraId="62CE733A" w14:textId="77777777" w:rsidTr="00B1212B">
        <w:tc>
          <w:tcPr>
            <w:tcW w:w="10538" w:type="dxa"/>
            <w:gridSpan w:val="27"/>
            <w:shd w:val="clear" w:color="auto" w:fill="auto"/>
          </w:tcPr>
          <w:p w14:paraId="29C76DDD" w14:textId="1D82B5B0" w:rsidR="003C2DD3" w:rsidRPr="00903F89" w:rsidRDefault="003C2DD3" w:rsidP="00130787">
            <w:pPr>
              <w:pStyle w:val="ListParagraph"/>
              <w:numPr>
                <w:ilvl w:val="0"/>
                <w:numId w:val="37"/>
              </w:numPr>
              <w:tabs>
                <w:tab w:val="left" w:pos="1597"/>
              </w:tabs>
              <w:ind w:left="605" w:hanging="605"/>
              <w:jc w:val="both"/>
              <w:rPr>
                <w:rFonts w:cs="Arial"/>
                <w:sz w:val="20"/>
                <w:szCs w:val="20"/>
                <w:lang w:eastAsia="ko-KR"/>
              </w:rPr>
            </w:pPr>
            <w:r w:rsidRPr="00903F89">
              <w:rPr>
                <w:rFonts w:cs="Arial"/>
                <w:sz w:val="20"/>
                <w:szCs w:val="20"/>
                <w:lang w:eastAsia="ko-KR"/>
              </w:rPr>
              <w:t>Δύο (2) νέες θέσεις Προϊστάμενου Υπηρεσίας (Κλ. Α14</w:t>
            </w:r>
            <w:r w:rsidRPr="00903F89">
              <w:rPr>
                <w:rFonts w:cs="Arial"/>
                <w:sz w:val="20"/>
                <w:szCs w:val="20"/>
                <w:vertAlign w:val="superscript"/>
                <w:lang w:eastAsia="ko-KR"/>
              </w:rPr>
              <w:t>(ΙΙ)</w:t>
            </w:r>
            <w:r w:rsidRPr="00903F89">
              <w:rPr>
                <w:rFonts w:cs="Arial"/>
                <w:sz w:val="20"/>
                <w:szCs w:val="20"/>
                <w:lang w:eastAsia="ko-KR"/>
              </w:rPr>
              <w:t xml:space="preserve">), οι οποίες περιλαμβάνονται με μερική πρόνοια </w:t>
            </w:r>
            <w:r w:rsidR="003303AF">
              <w:rPr>
                <w:rFonts w:cs="Arial"/>
                <w:sz w:val="20"/>
                <w:szCs w:val="20"/>
                <w:lang w:eastAsia="ko-KR"/>
              </w:rPr>
              <w:t xml:space="preserve">(τρεις </w:t>
            </w:r>
            <w:r w:rsidR="003303AF" w:rsidRPr="00903F89">
              <w:rPr>
                <w:rFonts w:cs="Arial"/>
                <w:sz w:val="20"/>
                <w:szCs w:val="20"/>
              </w:rPr>
              <w:t>(</w:t>
            </w:r>
            <w:r w:rsidR="003303AF">
              <w:rPr>
                <w:rFonts w:cs="Arial"/>
                <w:sz w:val="20"/>
                <w:szCs w:val="20"/>
              </w:rPr>
              <w:t>3</w:t>
            </w:r>
            <w:r w:rsidR="003303AF" w:rsidRPr="00903F89">
              <w:rPr>
                <w:rFonts w:cs="Arial"/>
                <w:sz w:val="20"/>
                <w:szCs w:val="20"/>
              </w:rPr>
              <w:t>) μήνες).</w:t>
            </w:r>
          </w:p>
        </w:tc>
      </w:tr>
      <w:tr w:rsidR="008A7323" w:rsidRPr="00903F89" w14:paraId="31F53AA6" w14:textId="77777777" w:rsidTr="00B1212B">
        <w:tc>
          <w:tcPr>
            <w:tcW w:w="10538" w:type="dxa"/>
            <w:gridSpan w:val="27"/>
            <w:shd w:val="clear" w:color="auto" w:fill="auto"/>
          </w:tcPr>
          <w:p w14:paraId="40AFC3BF" w14:textId="77777777" w:rsidR="008A7323" w:rsidRPr="00903F89" w:rsidRDefault="008A7323" w:rsidP="008A7323">
            <w:pPr>
              <w:pStyle w:val="ListParagraph"/>
              <w:tabs>
                <w:tab w:val="left" w:pos="1597"/>
              </w:tabs>
              <w:ind w:left="605"/>
              <w:jc w:val="both"/>
              <w:rPr>
                <w:rFonts w:cs="Arial"/>
                <w:sz w:val="20"/>
                <w:szCs w:val="20"/>
                <w:lang w:eastAsia="ko-KR"/>
              </w:rPr>
            </w:pPr>
          </w:p>
        </w:tc>
      </w:tr>
      <w:tr w:rsidR="00903F89" w:rsidRPr="00903F89" w14:paraId="1615C317" w14:textId="77777777" w:rsidTr="00B1212B">
        <w:tc>
          <w:tcPr>
            <w:tcW w:w="10538" w:type="dxa"/>
            <w:gridSpan w:val="27"/>
            <w:shd w:val="clear" w:color="auto" w:fill="auto"/>
          </w:tcPr>
          <w:p w14:paraId="70555E76" w14:textId="35E4CDE7" w:rsidR="003C2DD3" w:rsidRPr="00903F89" w:rsidRDefault="003C2DD3" w:rsidP="00130787">
            <w:pPr>
              <w:pStyle w:val="ListParagraph"/>
              <w:numPr>
                <w:ilvl w:val="0"/>
                <w:numId w:val="37"/>
              </w:numPr>
              <w:tabs>
                <w:tab w:val="left" w:pos="1597"/>
              </w:tabs>
              <w:ind w:left="605" w:hanging="605"/>
              <w:jc w:val="both"/>
              <w:rPr>
                <w:rFonts w:cs="Arial"/>
                <w:sz w:val="20"/>
                <w:szCs w:val="20"/>
                <w:lang w:eastAsia="ko-KR"/>
              </w:rPr>
            </w:pPr>
            <w:r w:rsidRPr="00903F89">
              <w:rPr>
                <w:rFonts w:cs="Arial"/>
                <w:sz w:val="20"/>
                <w:szCs w:val="20"/>
                <w:lang w:eastAsia="ko-KR"/>
              </w:rPr>
              <w:t xml:space="preserve">Μία (1) νέα θέση Λειτουργού Νομικών Θεμάτων (Κλ. Α9, Α11 και Α12), η οποία περιλαμβάνεται με μερική πρόνοια </w:t>
            </w:r>
            <w:r w:rsidR="003303AF">
              <w:rPr>
                <w:rFonts w:cs="Arial"/>
                <w:sz w:val="20"/>
                <w:szCs w:val="20"/>
                <w:lang w:eastAsia="ko-KR"/>
              </w:rPr>
              <w:t xml:space="preserve">(τρεις </w:t>
            </w:r>
            <w:r w:rsidR="003303AF" w:rsidRPr="00903F89">
              <w:rPr>
                <w:rFonts w:cs="Arial"/>
                <w:sz w:val="20"/>
                <w:szCs w:val="20"/>
              </w:rPr>
              <w:t>(</w:t>
            </w:r>
            <w:r w:rsidR="003303AF">
              <w:rPr>
                <w:rFonts w:cs="Arial"/>
                <w:sz w:val="20"/>
                <w:szCs w:val="20"/>
              </w:rPr>
              <w:t>3</w:t>
            </w:r>
            <w:r w:rsidR="003303AF" w:rsidRPr="00903F89">
              <w:rPr>
                <w:rFonts w:cs="Arial"/>
                <w:sz w:val="20"/>
                <w:szCs w:val="20"/>
              </w:rPr>
              <w:t>) μήνες)</w:t>
            </w:r>
            <w:r w:rsidRPr="00903F89">
              <w:rPr>
                <w:rFonts w:cs="Arial"/>
                <w:sz w:val="20"/>
                <w:szCs w:val="20"/>
                <w:lang w:eastAsia="ko-KR"/>
              </w:rPr>
              <w:t xml:space="preserve">, έναντι κατάργησης </w:t>
            </w:r>
            <w:r w:rsidR="002164F2" w:rsidRPr="00903F89">
              <w:rPr>
                <w:rFonts w:cs="Arial"/>
                <w:sz w:val="20"/>
                <w:szCs w:val="20"/>
                <w:lang w:eastAsia="ko-KR"/>
              </w:rPr>
              <w:t>μ</w:t>
            </w:r>
            <w:r w:rsidR="0002434C" w:rsidRPr="00903F89">
              <w:rPr>
                <w:rFonts w:cs="Arial"/>
                <w:sz w:val="20"/>
                <w:szCs w:val="20"/>
                <w:lang w:eastAsia="ko-KR"/>
              </w:rPr>
              <w:t>ία</w:t>
            </w:r>
            <w:r w:rsidR="00671903" w:rsidRPr="00903F89">
              <w:rPr>
                <w:rFonts w:cs="Arial"/>
                <w:sz w:val="20"/>
                <w:szCs w:val="20"/>
                <w:lang w:eastAsia="ko-KR"/>
              </w:rPr>
              <w:t>ς</w:t>
            </w:r>
            <w:r w:rsidR="0002434C" w:rsidRPr="00903F89">
              <w:rPr>
                <w:rFonts w:cs="Arial"/>
                <w:sz w:val="20"/>
                <w:szCs w:val="20"/>
                <w:lang w:eastAsia="ko-KR"/>
              </w:rPr>
              <w:t xml:space="preserve"> </w:t>
            </w:r>
            <w:r w:rsidR="00671903" w:rsidRPr="00903F89">
              <w:rPr>
                <w:rFonts w:cs="Arial"/>
                <w:sz w:val="20"/>
                <w:szCs w:val="20"/>
                <w:lang w:eastAsia="ko-KR"/>
              </w:rPr>
              <w:t>(</w:t>
            </w:r>
            <w:r w:rsidRPr="00903F89">
              <w:rPr>
                <w:rFonts w:cs="Arial"/>
                <w:sz w:val="20"/>
                <w:szCs w:val="20"/>
                <w:lang w:eastAsia="ko-KR"/>
              </w:rPr>
              <w:t>1</w:t>
            </w:r>
            <w:r w:rsidR="00671903" w:rsidRPr="00903F89">
              <w:rPr>
                <w:rFonts w:cs="Arial"/>
                <w:sz w:val="20"/>
                <w:szCs w:val="20"/>
                <w:lang w:eastAsia="ko-KR"/>
              </w:rPr>
              <w:t>)</w:t>
            </w:r>
            <w:r w:rsidRPr="00903F89">
              <w:rPr>
                <w:rFonts w:cs="Arial"/>
                <w:sz w:val="20"/>
                <w:szCs w:val="20"/>
                <w:lang w:eastAsia="ko-KR"/>
              </w:rPr>
              <w:t xml:space="preserve"> κενής θέσης Λειτουργού Πανεπιστημίου (Κλ. Α8, Α10 και Α11), στο Άρθρο 12-101-13.</w:t>
            </w:r>
          </w:p>
        </w:tc>
      </w:tr>
      <w:tr w:rsidR="008A7323" w:rsidRPr="00903F89" w14:paraId="1898E257" w14:textId="77777777" w:rsidTr="00B1212B">
        <w:tc>
          <w:tcPr>
            <w:tcW w:w="10538" w:type="dxa"/>
            <w:gridSpan w:val="27"/>
            <w:shd w:val="clear" w:color="auto" w:fill="auto"/>
          </w:tcPr>
          <w:p w14:paraId="19BA3BE8" w14:textId="77777777" w:rsidR="008A7323" w:rsidRPr="00903F89" w:rsidRDefault="008A7323" w:rsidP="008A7323">
            <w:pPr>
              <w:pStyle w:val="ListParagraph"/>
              <w:tabs>
                <w:tab w:val="left" w:pos="1597"/>
              </w:tabs>
              <w:ind w:left="605"/>
              <w:jc w:val="both"/>
              <w:rPr>
                <w:rFonts w:cs="Arial"/>
                <w:sz w:val="20"/>
                <w:szCs w:val="20"/>
                <w:lang w:eastAsia="ko-KR"/>
              </w:rPr>
            </w:pPr>
          </w:p>
        </w:tc>
      </w:tr>
      <w:tr w:rsidR="007422AB" w:rsidRPr="00903F89" w14:paraId="28BD1CD0" w14:textId="77777777" w:rsidTr="00B1212B">
        <w:tc>
          <w:tcPr>
            <w:tcW w:w="10538" w:type="dxa"/>
            <w:gridSpan w:val="27"/>
            <w:shd w:val="clear" w:color="auto" w:fill="auto"/>
          </w:tcPr>
          <w:p w14:paraId="5196FEE3" w14:textId="2FF865B2" w:rsidR="003C2DD3" w:rsidRPr="00903F89" w:rsidRDefault="003C2DD3" w:rsidP="00130787">
            <w:pPr>
              <w:pStyle w:val="ListParagraph"/>
              <w:numPr>
                <w:ilvl w:val="0"/>
                <w:numId w:val="37"/>
              </w:numPr>
              <w:tabs>
                <w:tab w:val="left" w:pos="1597"/>
              </w:tabs>
              <w:ind w:left="605" w:hanging="605"/>
              <w:jc w:val="both"/>
              <w:rPr>
                <w:rFonts w:cs="Arial"/>
                <w:sz w:val="20"/>
                <w:szCs w:val="20"/>
                <w:lang w:eastAsia="ko-KR"/>
              </w:rPr>
            </w:pPr>
            <w:r w:rsidRPr="00903F89">
              <w:rPr>
                <w:rFonts w:cs="Arial"/>
                <w:sz w:val="20"/>
                <w:szCs w:val="20"/>
                <w:lang w:eastAsia="ko-KR"/>
              </w:rPr>
              <w:t xml:space="preserve">Μία (1) νέα θέση Επιθεωρητή Λογαριασμών (Κλ. Α10), η οποία περιλαμβάνεται με μερική πρόνοια </w:t>
            </w:r>
            <w:r w:rsidR="003303AF">
              <w:rPr>
                <w:rFonts w:cs="Arial"/>
                <w:sz w:val="20"/>
                <w:szCs w:val="20"/>
                <w:lang w:eastAsia="ko-KR"/>
              </w:rPr>
              <w:t xml:space="preserve">(έξι </w:t>
            </w:r>
            <w:r w:rsidR="003303AF" w:rsidRPr="00903F89">
              <w:rPr>
                <w:rFonts w:cs="Arial"/>
                <w:sz w:val="20"/>
                <w:szCs w:val="20"/>
              </w:rPr>
              <w:t>(</w:t>
            </w:r>
            <w:r w:rsidR="003303AF">
              <w:rPr>
                <w:rFonts w:cs="Arial"/>
                <w:sz w:val="20"/>
                <w:szCs w:val="20"/>
              </w:rPr>
              <w:t>6</w:t>
            </w:r>
            <w:r w:rsidR="003303AF" w:rsidRPr="00903F89">
              <w:rPr>
                <w:rFonts w:cs="Arial"/>
                <w:sz w:val="20"/>
                <w:szCs w:val="20"/>
              </w:rPr>
              <w:t>) μήνες)</w:t>
            </w:r>
            <w:r w:rsidRPr="00903F89">
              <w:rPr>
                <w:rFonts w:cs="Arial"/>
                <w:sz w:val="20"/>
                <w:szCs w:val="20"/>
                <w:lang w:eastAsia="ko-KR"/>
              </w:rPr>
              <w:t>, έναντι κατάργησης</w:t>
            </w:r>
            <w:r w:rsidR="00354054" w:rsidRPr="00903F89">
              <w:rPr>
                <w:rFonts w:cs="Arial"/>
                <w:sz w:val="20"/>
                <w:szCs w:val="20"/>
                <w:lang w:eastAsia="ko-KR"/>
              </w:rPr>
              <w:t xml:space="preserve"> </w:t>
            </w:r>
            <w:r w:rsidR="002164F2" w:rsidRPr="00903F89">
              <w:rPr>
                <w:rFonts w:cs="Arial"/>
                <w:sz w:val="20"/>
                <w:szCs w:val="20"/>
                <w:lang w:eastAsia="ko-KR"/>
              </w:rPr>
              <w:t>μ</w:t>
            </w:r>
            <w:r w:rsidR="00671903" w:rsidRPr="00903F89">
              <w:rPr>
                <w:rFonts w:cs="Arial"/>
                <w:sz w:val="20"/>
                <w:szCs w:val="20"/>
                <w:lang w:eastAsia="ko-KR"/>
              </w:rPr>
              <w:t>ίας</w:t>
            </w:r>
            <w:r w:rsidRPr="00903F89">
              <w:rPr>
                <w:rFonts w:cs="Arial"/>
                <w:sz w:val="20"/>
                <w:szCs w:val="20"/>
                <w:lang w:eastAsia="ko-KR"/>
              </w:rPr>
              <w:t xml:space="preserve"> </w:t>
            </w:r>
            <w:r w:rsidR="00671903" w:rsidRPr="00903F89">
              <w:rPr>
                <w:rFonts w:cs="Arial"/>
                <w:sz w:val="20"/>
                <w:szCs w:val="20"/>
                <w:lang w:eastAsia="ko-KR"/>
              </w:rPr>
              <w:t>(</w:t>
            </w:r>
            <w:r w:rsidRPr="00903F89">
              <w:rPr>
                <w:rFonts w:cs="Arial"/>
                <w:sz w:val="20"/>
                <w:szCs w:val="20"/>
                <w:lang w:eastAsia="ko-KR"/>
              </w:rPr>
              <w:t>1</w:t>
            </w:r>
            <w:r w:rsidR="00671903" w:rsidRPr="00903F89">
              <w:rPr>
                <w:rFonts w:cs="Arial"/>
                <w:sz w:val="20"/>
                <w:szCs w:val="20"/>
                <w:lang w:eastAsia="ko-KR"/>
              </w:rPr>
              <w:t>)</w:t>
            </w:r>
            <w:r w:rsidRPr="00903F89">
              <w:rPr>
                <w:rFonts w:cs="Arial"/>
                <w:sz w:val="20"/>
                <w:szCs w:val="20"/>
                <w:lang w:eastAsia="ko-KR"/>
              </w:rPr>
              <w:t xml:space="preserve"> κενής θέσης Βοηθού Λογιστικού Λειτουργού (Κλ. Α2, Α5 και Α7</w:t>
            </w:r>
            <w:r w:rsidRPr="00903F89">
              <w:rPr>
                <w:rFonts w:cs="Arial"/>
                <w:sz w:val="20"/>
                <w:szCs w:val="20"/>
                <w:vertAlign w:val="superscript"/>
                <w:lang w:eastAsia="ko-KR"/>
              </w:rPr>
              <w:t>(ΙΙ)</w:t>
            </w:r>
            <w:r w:rsidRPr="00903F89">
              <w:rPr>
                <w:rFonts w:cs="Arial"/>
                <w:sz w:val="20"/>
                <w:szCs w:val="20"/>
                <w:lang w:eastAsia="ko-KR"/>
              </w:rPr>
              <w:t>), στο Άρθρο 12-101-26.</w:t>
            </w:r>
          </w:p>
        </w:tc>
      </w:tr>
      <w:tr w:rsidR="007422AB" w:rsidRPr="00903F89" w14:paraId="56F21A5D" w14:textId="77777777" w:rsidTr="00B1212B">
        <w:trPr>
          <w:trHeight w:val="149"/>
        </w:trPr>
        <w:tc>
          <w:tcPr>
            <w:tcW w:w="10538" w:type="dxa"/>
            <w:gridSpan w:val="27"/>
          </w:tcPr>
          <w:p w14:paraId="0E1501C8" w14:textId="77777777" w:rsidR="003C2DD3" w:rsidRPr="00903F89" w:rsidRDefault="003C2DD3" w:rsidP="00903F89">
            <w:pPr>
              <w:jc w:val="both"/>
              <w:rPr>
                <w:rFonts w:cs="Arial"/>
                <w:sz w:val="20"/>
                <w:szCs w:val="20"/>
                <w:lang w:eastAsia="ko-KR"/>
              </w:rPr>
            </w:pPr>
          </w:p>
        </w:tc>
      </w:tr>
      <w:tr w:rsidR="007422AB" w:rsidRPr="00903F89" w14:paraId="4A74B27C" w14:textId="77777777" w:rsidTr="00B1212B">
        <w:tc>
          <w:tcPr>
            <w:tcW w:w="9123" w:type="dxa"/>
            <w:gridSpan w:val="24"/>
            <w:shd w:val="clear" w:color="auto" w:fill="auto"/>
          </w:tcPr>
          <w:p w14:paraId="5E6E6E1F" w14:textId="0D70F67C" w:rsidR="003C2DD3" w:rsidRPr="00903F89" w:rsidRDefault="003C2DD3" w:rsidP="00903F89">
            <w:pPr>
              <w:jc w:val="both"/>
              <w:rPr>
                <w:rFonts w:cs="Arial"/>
                <w:b/>
                <w:bCs/>
                <w:sz w:val="20"/>
                <w:szCs w:val="20"/>
                <w:u w:val="single"/>
              </w:rPr>
            </w:pPr>
            <w:bookmarkStart w:id="23" w:name="_Hlk47012917"/>
            <w:r w:rsidRPr="00903F89">
              <w:rPr>
                <w:rFonts w:cs="Arial"/>
                <w:b/>
                <w:bCs/>
                <w:sz w:val="20"/>
                <w:szCs w:val="20"/>
                <w:u w:val="single"/>
              </w:rPr>
              <w:t xml:space="preserve">Άρθρο </w:t>
            </w:r>
            <w:r w:rsidRPr="00903F89">
              <w:rPr>
                <w:rFonts w:eastAsia="Arial" w:cs="Arial"/>
                <w:b/>
                <w:sz w:val="20"/>
                <w:szCs w:val="20"/>
                <w:u w:val="single"/>
              </w:rPr>
              <w:t>12-</w:t>
            </w:r>
            <w:r w:rsidRPr="00903F89">
              <w:rPr>
                <w:rFonts w:cs="Arial"/>
                <w:b/>
                <w:bCs/>
                <w:sz w:val="20"/>
                <w:szCs w:val="20"/>
                <w:u w:val="single"/>
              </w:rPr>
              <w:t>104 – Ειδικοί Επιστήμονες Υποστήριξης Έργου – €</w:t>
            </w:r>
            <w:r w:rsidR="00934277" w:rsidRPr="00903F89">
              <w:rPr>
                <w:rFonts w:cs="Arial"/>
                <w:b/>
                <w:bCs/>
                <w:sz w:val="20"/>
                <w:szCs w:val="20"/>
                <w:u w:val="single"/>
              </w:rPr>
              <w:t>1.066.750</w:t>
            </w:r>
          </w:p>
        </w:tc>
        <w:tc>
          <w:tcPr>
            <w:tcW w:w="1415" w:type="dxa"/>
            <w:gridSpan w:val="3"/>
            <w:shd w:val="clear" w:color="auto" w:fill="auto"/>
          </w:tcPr>
          <w:p w14:paraId="4D838AE8"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r>
      <w:tr w:rsidR="007422AB" w:rsidRPr="00903F89" w14:paraId="4737D01F" w14:textId="77777777" w:rsidTr="00B1212B">
        <w:tc>
          <w:tcPr>
            <w:tcW w:w="9544" w:type="dxa"/>
            <w:gridSpan w:val="25"/>
            <w:shd w:val="clear" w:color="auto" w:fill="auto"/>
          </w:tcPr>
          <w:p w14:paraId="66CF0CAD" w14:textId="77777777" w:rsidR="003C2DD3" w:rsidRPr="00903F89" w:rsidRDefault="003C2DD3" w:rsidP="00903F89">
            <w:pPr>
              <w:keepNext/>
              <w:jc w:val="both"/>
              <w:outlineLvl w:val="2"/>
              <w:rPr>
                <w:rFonts w:cs="Arial"/>
                <w:bCs/>
                <w:sz w:val="20"/>
                <w:szCs w:val="20"/>
              </w:rPr>
            </w:pPr>
          </w:p>
        </w:tc>
        <w:tc>
          <w:tcPr>
            <w:tcW w:w="994" w:type="dxa"/>
            <w:gridSpan w:val="2"/>
            <w:shd w:val="clear" w:color="auto" w:fill="auto"/>
          </w:tcPr>
          <w:p w14:paraId="30264528"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r>
      <w:tr w:rsidR="007422AB" w:rsidRPr="00903F89" w14:paraId="623D354A" w14:textId="77777777" w:rsidTr="00B1212B">
        <w:tc>
          <w:tcPr>
            <w:tcW w:w="10538" w:type="dxa"/>
            <w:gridSpan w:val="27"/>
            <w:shd w:val="clear" w:color="auto" w:fill="auto"/>
          </w:tcPr>
          <w:p w14:paraId="674F24A1" w14:textId="32F190AA"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rPr>
            </w:pPr>
            <w:r w:rsidRPr="00903F89">
              <w:rPr>
                <w:rFonts w:ascii="Arial" w:hAnsi="Arial" w:cs="Arial"/>
                <w:sz w:val="20"/>
                <w:szCs w:val="20"/>
              </w:rPr>
              <w:t>Το άρθρο δημιουργήθηκε με τον Περί Προϋπολογισμού του Πανεπιστημίου Κύπρου για το 2021, Νόμος του 2021, για τη δυνατότητα της χρέωσης του κόστους εργοδότησης των Ειδικών Επιστημόνων Υποστήριξης Έργου σύμφωνα με τους σχετικούς εγκεκριμένους Κανόνες. Όλες οι δαπάνες που αφορούν στους Ειδικούς Επιστήμονες Υποστήριξης Έργου χρηματοδοτούνται από άλλες εισπράξεις (εκτός κρατικής χορηγίας).</w:t>
            </w:r>
          </w:p>
        </w:tc>
      </w:tr>
      <w:tr w:rsidR="007422AB" w:rsidRPr="00903F89" w14:paraId="316251DA" w14:textId="77777777" w:rsidTr="00B1212B">
        <w:tc>
          <w:tcPr>
            <w:tcW w:w="10538" w:type="dxa"/>
            <w:gridSpan w:val="27"/>
            <w:shd w:val="clear" w:color="auto" w:fill="auto"/>
          </w:tcPr>
          <w:p w14:paraId="0C9453DF"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r>
      <w:tr w:rsidR="007422AB" w:rsidRPr="00903F89" w14:paraId="2A3AC5DF" w14:textId="77777777" w:rsidTr="00B1212B">
        <w:tc>
          <w:tcPr>
            <w:tcW w:w="10538" w:type="dxa"/>
            <w:gridSpan w:val="27"/>
            <w:shd w:val="clear" w:color="auto" w:fill="auto"/>
          </w:tcPr>
          <w:p w14:paraId="234F09E1" w14:textId="2878704D" w:rsidR="003C2DD3" w:rsidRPr="00903F89" w:rsidRDefault="003C2DD3" w:rsidP="00903F89">
            <w:pPr>
              <w:jc w:val="both"/>
              <w:rPr>
                <w:rFonts w:cs="Arial"/>
                <w:sz w:val="20"/>
                <w:szCs w:val="20"/>
              </w:rPr>
            </w:pPr>
            <w:r w:rsidRPr="00903F89">
              <w:rPr>
                <w:rFonts w:cs="Arial"/>
                <w:sz w:val="20"/>
                <w:szCs w:val="20"/>
              </w:rPr>
              <w:t>Η αμοιβή του Ειδικού Επιστήμονα Υποστήριξης Έργου κυμαίνεται, ενδεικτικά από €9,00/ώρα μέχρι €21,00/ώρα για μη κάτοχους πανεπιστημιακού τίτλου σπουδών, ή μέχρι €30,00/ώρα για κάτοχους πανεπιστημιακού ή/και μεταπτυχιακού τίτλου σπουδών.  Σε εξαιρετικές περιπτώσεις όπου υπάρχει συσσωρευμένη εμπειρία τουλάχιστον οκτώ (8) ετών και κατοχή μεταπτυχιακού τίτλου σπουδών, η αμοιβή δύναται να καθοριστεί μέχρι €46,00/ώρα.</w:t>
            </w:r>
          </w:p>
        </w:tc>
      </w:tr>
      <w:tr w:rsidR="007422AB" w:rsidRPr="00903F89" w14:paraId="0302A1E1" w14:textId="77777777" w:rsidTr="00B1212B">
        <w:tc>
          <w:tcPr>
            <w:tcW w:w="10538" w:type="dxa"/>
            <w:gridSpan w:val="27"/>
            <w:shd w:val="clear" w:color="auto" w:fill="auto"/>
          </w:tcPr>
          <w:p w14:paraId="531C62AE" w14:textId="77777777" w:rsidR="003C2DD3" w:rsidRPr="00903F89" w:rsidRDefault="003C2DD3" w:rsidP="00903F89">
            <w:pPr>
              <w:jc w:val="both"/>
              <w:rPr>
                <w:rFonts w:cs="Arial"/>
                <w:sz w:val="20"/>
                <w:szCs w:val="20"/>
              </w:rPr>
            </w:pPr>
          </w:p>
        </w:tc>
      </w:tr>
      <w:tr w:rsidR="007422AB" w:rsidRPr="00903F89" w14:paraId="160D077F" w14:textId="77777777" w:rsidTr="00B1212B">
        <w:tc>
          <w:tcPr>
            <w:tcW w:w="10538" w:type="dxa"/>
            <w:gridSpan w:val="27"/>
            <w:shd w:val="clear" w:color="auto" w:fill="auto"/>
          </w:tcPr>
          <w:p w14:paraId="4D6425DA" w14:textId="5FCBC3CF" w:rsidR="003C2DD3" w:rsidRPr="00903F89" w:rsidRDefault="003C2DD3" w:rsidP="00903F89">
            <w:pPr>
              <w:jc w:val="both"/>
              <w:rPr>
                <w:rFonts w:cs="Arial"/>
                <w:sz w:val="20"/>
                <w:szCs w:val="20"/>
              </w:rPr>
            </w:pPr>
            <w:r w:rsidRPr="00903F89">
              <w:rPr>
                <w:rFonts w:cs="Arial"/>
                <w:sz w:val="20"/>
                <w:szCs w:val="20"/>
              </w:rPr>
              <w:t>Τα πιο πάνω ποσά αποτελούν κόστος εργοδότηση</w:t>
            </w:r>
            <w:r w:rsidR="00CE4EFE">
              <w:rPr>
                <w:rFonts w:cs="Arial"/>
                <w:sz w:val="20"/>
                <w:szCs w:val="20"/>
              </w:rPr>
              <w:t>ς</w:t>
            </w:r>
            <w:r w:rsidRPr="00903F89">
              <w:rPr>
                <w:rFonts w:cs="Arial"/>
                <w:sz w:val="20"/>
                <w:szCs w:val="20"/>
              </w:rPr>
              <w:t xml:space="preserve"> και περιλαμβάνουν αναλογία 13</w:t>
            </w:r>
            <w:r w:rsidRPr="008A7323">
              <w:rPr>
                <w:rFonts w:cs="Arial"/>
                <w:sz w:val="20"/>
                <w:szCs w:val="20"/>
                <w:vertAlign w:val="superscript"/>
              </w:rPr>
              <w:t>ου</w:t>
            </w:r>
            <w:r w:rsidR="008A7323">
              <w:rPr>
                <w:rFonts w:cs="Arial"/>
                <w:sz w:val="20"/>
                <w:szCs w:val="20"/>
              </w:rPr>
              <w:t xml:space="preserve"> </w:t>
            </w:r>
            <w:r w:rsidRPr="00903F89">
              <w:rPr>
                <w:rFonts w:cs="Arial"/>
                <w:sz w:val="20"/>
                <w:szCs w:val="20"/>
              </w:rPr>
              <w:t>μισθού.  Η μισθολογική τοποθέτηση γίνεται αναλόγως προσόντων και εμπειρίας.</w:t>
            </w:r>
          </w:p>
        </w:tc>
      </w:tr>
      <w:tr w:rsidR="007422AB" w:rsidRPr="00903F89" w14:paraId="5F8E4330" w14:textId="77777777" w:rsidTr="00B1212B">
        <w:tc>
          <w:tcPr>
            <w:tcW w:w="10538" w:type="dxa"/>
            <w:gridSpan w:val="27"/>
            <w:shd w:val="clear" w:color="auto" w:fill="FFFFFF" w:themeFill="background1"/>
          </w:tcPr>
          <w:p w14:paraId="343B3C8A" w14:textId="77777777" w:rsidR="003C2DD3" w:rsidRPr="00903F89" w:rsidRDefault="003C2DD3" w:rsidP="00903F89">
            <w:pPr>
              <w:jc w:val="both"/>
              <w:rPr>
                <w:rFonts w:cs="Arial"/>
                <w:sz w:val="20"/>
                <w:szCs w:val="20"/>
              </w:rPr>
            </w:pPr>
          </w:p>
        </w:tc>
      </w:tr>
      <w:tr w:rsidR="007422AB" w:rsidRPr="00903F89" w14:paraId="3F7BA9A9" w14:textId="77777777" w:rsidTr="00B1212B">
        <w:tc>
          <w:tcPr>
            <w:tcW w:w="10538" w:type="dxa"/>
            <w:gridSpan w:val="27"/>
            <w:shd w:val="clear" w:color="auto" w:fill="FFFFFF" w:themeFill="background1"/>
          </w:tcPr>
          <w:p w14:paraId="6DCBD372" w14:textId="2723C241" w:rsidR="003C2DD3" w:rsidRPr="00903F89" w:rsidRDefault="00673263" w:rsidP="00903F89">
            <w:pPr>
              <w:jc w:val="both"/>
              <w:rPr>
                <w:rFonts w:cs="Arial"/>
                <w:sz w:val="20"/>
                <w:szCs w:val="20"/>
              </w:rPr>
            </w:pPr>
            <w:r w:rsidRPr="00903F89">
              <w:rPr>
                <w:rFonts w:cs="Arial"/>
                <w:sz w:val="20"/>
                <w:szCs w:val="20"/>
              </w:rPr>
              <w:t>Σ</w:t>
            </w:r>
            <w:r w:rsidR="003C2DD3" w:rsidRPr="00903F89">
              <w:rPr>
                <w:rFonts w:cs="Arial"/>
                <w:sz w:val="20"/>
                <w:szCs w:val="20"/>
              </w:rPr>
              <w:t xml:space="preserve">υμβόλαια εργοδότησης Ειδικών Επιστημόνων Υποστήριξης Έργου, δε δύναται να ανανεώνονται για περίοδο πέραν </w:t>
            </w:r>
            <w:r w:rsidR="004142D7" w:rsidRPr="00903F89">
              <w:rPr>
                <w:rFonts w:cs="Arial"/>
                <w:sz w:val="20"/>
                <w:szCs w:val="20"/>
              </w:rPr>
              <w:t xml:space="preserve">των </w:t>
            </w:r>
            <w:r w:rsidR="004142D7">
              <w:rPr>
                <w:rFonts w:cs="Arial"/>
                <w:sz w:val="20"/>
                <w:szCs w:val="20"/>
              </w:rPr>
              <w:t>τριάντα (30)</w:t>
            </w:r>
            <w:r w:rsidR="004142D7" w:rsidRPr="00903F89">
              <w:rPr>
                <w:rFonts w:cs="Arial"/>
                <w:sz w:val="20"/>
                <w:szCs w:val="20"/>
              </w:rPr>
              <w:t xml:space="preserve"> μηνών </w:t>
            </w:r>
            <w:r w:rsidR="003C2DD3" w:rsidRPr="00903F89">
              <w:rPr>
                <w:rFonts w:cs="Arial"/>
                <w:sz w:val="20"/>
                <w:szCs w:val="20"/>
              </w:rPr>
              <w:t xml:space="preserve">(συνεχόμενη ή διακεκομμένη υπηρεσία). Εξαιρούνται οι </w:t>
            </w:r>
            <w:proofErr w:type="spellStart"/>
            <w:r w:rsidR="003C2DD3" w:rsidRPr="00903F89">
              <w:rPr>
                <w:rFonts w:cs="Arial"/>
                <w:sz w:val="20"/>
                <w:szCs w:val="20"/>
              </w:rPr>
              <w:t>εργοδοτήσεις</w:t>
            </w:r>
            <w:proofErr w:type="spellEnd"/>
            <w:r w:rsidR="003C2DD3" w:rsidRPr="00903F89">
              <w:rPr>
                <w:rFonts w:cs="Arial"/>
                <w:sz w:val="20"/>
                <w:szCs w:val="20"/>
              </w:rPr>
              <w:t xml:space="preserve"> Ειδικών Επιστημόνων Υποστήριξης Έργου σε εξωτερικά χρηματοδοτούμενα ερευνητικά προγράμματα, όπου ο Υπεύθυνος Ερευνητής δύναται να </w:t>
            </w:r>
            <w:proofErr w:type="spellStart"/>
            <w:r w:rsidR="003C2DD3" w:rsidRPr="00903F89">
              <w:rPr>
                <w:rFonts w:cs="Arial"/>
                <w:sz w:val="20"/>
                <w:szCs w:val="20"/>
              </w:rPr>
              <w:t>εργοδοτήσει</w:t>
            </w:r>
            <w:proofErr w:type="spellEnd"/>
            <w:r w:rsidR="003C2DD3" w:rsidRPr="00903F89">
              <w:rPr>
                <w:rFonts w:cs="Arial"/>
                <w:sz w:val="20"/>
                <w:szCs w:val="20"/>
              </w:rPr>
              <w:t xml:space="preserve"> Ειδικό Επιστήμονα Υποστήριξης Έργου πέραν των </w:t>
            </w:r>
            <w:r w:rsidR="004142D7">
              <w:rPr>
                <w:rFonts w:cs="Arial"/>
                <w:sz w:val="20"/>
                <w:szCs w:val="20"/>
              </w:rPr>
              <w:t>τριάντα (30)</w:t>
            </w:r>
            <w:r w:rsidR="003C2DD3" w:rsidRPr="00903F89">
              <w:rPr>
                <w:rFonts w:cs="Arial"/>
                <w:sz w:val="20"/>
                <w:szCs w:val="20"/>
              </w:rPr>
              <w:t xml:space="preserve"> μηνών και μέχρι τη λήξη του προγράμματος</w:t>
            </w:r>
            <w:r w:rsidRPr="00903F89">
              <w:rPr>
                <w:rFonts w:cs="Arial"/>
                <w:sz w:val="20"/>
                <w:szCs w:val="20"/>
              </w:rPr>
              <w:t xml:space="preserve"> (Απόφαση </w:t>
            </w:r>
            <w:bookmarkStart w:id="24" w:name="_Hlk87949216"/>
            <w:r w:rsidRPr="00903F89">
              <w:rPr>
                <w:rFonts w:cs="Arial"/>
                <w:sz w:val="20"/>
                <w:szCs w:val="20"/>
              </w:rPr>
              <w:t>Συμβουλίου, Συνεδρία Αρ. 2/2019</w:t>
            </w:r>
            <w:bookmarkEnd w:id="24"/>
            <w:r w:rsidRPr="00903F89">
              <w:rPr>
                <w:rFonts w:cs="Arial"/>
                <w:sz w:val="20"/>
                <w:szCs w:val="20"/>
              </w:rPr>
              <w:t>, ημερ. 07/03/2019).</w:t>
            </w:r>
          </w:p>
        </w:tc>
      </w:tr>
      <w:bookmarkEnd w:id="23"/>
      <w:tr w:rsidR="007422AB" w:rsidRPr="00903F89" w14:paraId="62C1B837" w14:textId="77777777" w:rsidTr="00B1212B">
        <w:tc>
          <w:tcPr>
            <w:tcW w:w="10538" w:type="dxa"/>
            <w:gridSpan w:val="27"/>
            <w:shd w:val="clear" w:color="auto" w:fill="FFFFFF" w:themeFill="background1"/>
          </w:tcPr>
          <w:p w14:paraId="66E46348" w14:textId="77777777" w:rsidR="003C2DD3" w:rsidRPr="00903F89" w:rsidRDefault="003C2DD3" w:rsidP="00903F89">
            <w:pPr>
              <w:jc w:val="both"/>
              <w:rPr>
                <w:rFonts w:cs="Arial"/>
                <w:sz w:val="20"/>
                <w:szCs w:val="20"/>
              </w:rPr>
            </w:pPr>
          </w:p>
        </w:tc>
      </w:tr>
      <w:tr w:rsidR="007422AB" w:rsidRPr="00903F89" w14:paraId="490A397F" w14:textId="77777777" w:rsidTr="00B1212B">
        <w:tc>
          <w:tcPr>
            <w:tcW w:w="10538" w:type="dxa"/>
            <w:gridSpan w:val="27"/>
            <w:shd w:val="clear" w:color="auto" w:fill="FFFFFF" w:themeFill="background1"/>
          </w:tcPr>
          <w:p w14:paraId="3307B07B" w14:textId="5DAD1A4F" w:rsidR="003C2DD3" w:rsidRPr="00903F89" w:rsidRDefault="003C2DD3" w:rsidP="00903F89">
            <w:pPr>
              <w:jc w:val="both"/>
              <w:rPr>
                <w:rFonts w:cs="Arial"/>
                <w:sz w:val="20"/>
                <w:szCs w:val="20"/>
              </w:rPr>
            </w:pPr>
            <w:r w:rsidRPr="00903F89">
              <w:rPr>
                <w:rFonts w:cs="Arial"/>
                <w:sz w:val="20"/>
                <w:szCs w:val="20"/>
              </w:rPr>
              <w:t>Η αύξηση που παρουσιάζεται για το 2022 στην πρόνοια του παρόντος άρθρου, αντισταθμίζεται με τη μείωση πιστώσεων αντίστοιχου ύψους στο Άρθρο 11-104 «Ειδικοί Επιστήμονες» στην Υποομάδα «Τρέχουσες Δαπάνες Ακαδημαϊκού και Άλλου Προσωπικού».</w:t>
            </w:r>
          </w:p>
        </w:tc>
      </w:tr>
      <w:tr w:rsidR="007422AB" w:rsidRPr="00903F89" w14:paraId="48DB18DA" w14:textId="77777777" w:rsidTr="00B1212B">
        <w:tc>
          <w:tcPr>
            <w:tcW w:w="10538" w:type="dxa"/>
            <w:gridSpan w:val="27"/>
            <w:shd w:val="clear" w:color="auto" w:fill="FFFFFF" w:themeFill="background1"/>
          </w:tcPr>
          <w:p w14:paraId="1E233CAA" w14:textId="77777777" w:rsidR="003C2DD3" w:rsidRPr="00903F89" w:rsidRDefault="003C2DD3" w:rsidP="00903F89">
            <w:pPr>
              <w:jc w:val="both"/>
              <w:rPr>
                <w:rFonts w:cs="Arial"/>
                <w:sz w:val="20"/>
                <w:szCs w:val="20"/>
              </w:rPr>
            </w:pPr>
          </w:p>
        </w:tc>
      </w:tr>
      <w:tr w:rsidR="007422AB" w:rsidRPr="00903F89" w14:paraId="6F13FDBC" w14:textId="77777777" w:rsidTr="00B1212B">
        <w:tc>
          <w:tcPr>
            <w:tcW w:w="9123" w:type="dxa"/>
            <w:gridSpan w:val="24"/>
            <w:shd w:val="clear" w:color="auto" w:fill="FFFFFF" w:themeFill="background1"/>
          </w:tcPr>
          <w:p w14:paraId="3D7A8FA3" w14:textId="470A523D" w:rsidR="003C2DD3" w:rsidRPr="00903F89" w:rsidRDefault="003C2DD3" w:rsidP="00903F89">
            <w:pPr>
              <w:keepNext/>
              <w:jc w:val="both"/>
              <w:outlineLvl w:val="2"/>
              <w:rPr>
                <w:rFonts w:cs="Arial"/>
                <w:b/>
                <w:bCs/>
                <w:sz w:val="20"/>
                <w:szCs w:val="20"/>
                <w:u w:val="single"/>
              </w:rPr>
            </w:pPr>
            <w:r w:rsidRPr="00903F89">
              <w:rPr>
                <w:rFonts w:cs="Arial"/>
                <w:b/>
                <w:bCs/>
                <w:sz w:val="20"/>
                <w:szCs w:val="20"/>
                <w:u w:val="single"/>
              </w:rPr>
              <w:t xml:space="preserve">Άρθρο </w:t>
            </w:r>
            <w:r w:rsidRPr="00903F89">
              <w:rPr>
                <w:rFonts w:eastAsia="Arial" w:cs="Arial"/>
                <w:b/>
                <w:sz w:val="20"/>
                <w:szCs w:val="20"/>
                <w:u w:val="single"/>
              </w:rPr>
              <w:t>12-</w:t>
            </w:r>
            <w:r w:rsidRPr="00903F89">
              <w:rPr>
                <w:rFonts w:cs="Arial"/>
                <w:b/>
                <w:bCs/>
                <w:sz w:val="20"/>
                <w:szCs w:val="20"/>
                <w:u w:val="single"/>
              </w:rPr>
              <w:t xml:space="preserve">106 – Αύξηση Μισθών </w:t>
            </w:r>
            <w:r w:rsidRPr="00903F89">
              <w:rPr>
                <w:rFonts w:eastAsia="Arial" w:cs="Arial"/>
                <w:sz w:val="20"/>
                <w:szCs w:val="20"/>
                <w:u w:val="single"/>
                <w:shd w:val="clear" w:color="auto" w:fill="FFFFFF" w:themeFill="background1"/>
              </w:rPr>
              <w:t>–</w:t>
            </w:r>
            <w:r w:rsidRPr="00903F89">
              <w:rPr>
                <w:rFonts w:eastAsia="Arial" w:cs="Arial"/>
                <w:b/>
                <w:bCs/>
                <w:sz w:val="20"/>
                <w:szCs w:val="20"/>
                <w:u w:val="single"/>
                <w:shd w:val="clear" w:color="auto" w:fill="FFFFFF" w:themeFill="background1"/>
              </w:rPr>
              <w:t xml:space="preserve"> </w:t>
            </w:r>
            <w:r w:rsidRPr="00903F89">
              <w:rPr>
                <w:rFonts w:cs="Arial"/>
                <w:b/>
                <w:bCs/>
                <w:sz w:val="20"/>
                <w:szCs w:val="20"/>
                <w:u w:val="single"/>
                <w:shd w:val="clear" w:color="auto" w:fill="FFFFFF" w:themeFill="background1"/>
              </w:rPr>
              <w:t>€10</w:t>
            </w:r>
          </w:p>
        </w:tc>
        <w:tc>
          <w:tcPr>
            <w:tcW w:w="1415" w:type="dxa"/>
            <w:gridSpan w:val="3"/>
          </w:tcPr>
          <w:p w14:paraId="21E526F3"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r>
      <w:tr w:rsidR="00903F89" w:rsidRPr="00903F89" w14:paraId="5BF28DF7" w14:textId="77777777" w:rsidTr="00B1212B">
        <w:tc>
          <w:tcPr>
            <w:tcW w:w="5387" w:type="dxa"/>
            <w:gridSpan w:val="12"/>
            <w:shd w:val="clear" w:color="auto" w:fill="FFFFFF" w:themeFill="background1"/>
          </w:tcPr>
          <w:p w14:paraId="576C0A79"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c>
          <w:tcPr>
            <w:tcW w:w="3736" w:type="dxa"/>
            <w:gridSpan w:val="12"/>
          </w:tcPr>
          <w:p w14:paraId="66DAB685" w14:textId="77777777" w:rsidR="003C2DD3" w:rsidRPr="00903F89" w:rsidRDefault="003C2DD3" w:rsidP="00903F89">
            <w:pPr>
              <w:jc w:val="both"/>
              <w:rPr>
                <w:rFonts w:cs="Arial"/>
                <w:sz w:val="20"/>
                <w:szCs w:val="20"/>
              </w:rPr>
            </w:pPr>
          </w:p>
        </w:tc>
        <w:tc>
          <w:tcPr>
            <w:tcW w:w="1415" w:type="dxa"/>
            <w:gridSpan w:val="3"/>
          </w:tcPr>
          <w:p w14:paraId="6F99021A"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r>
      <w:tr w:rsidR="007422AB" w:rsidRPr="00903F89" w14:paraId="58876E77" w14:textId="77777777" w:rsidTr="00B1212B">
        <w:tc>
          <w:tcPr>
            <w:tcW w:w="10538" w:type="dxa"/>
            <w:gridSpan w:val="27"/>
          </w:tcPr>
          <w:p w14:paraId="6E7E95D1" w14:textId="77777777" w:rsidR="003C2DD3" w:rsidRPr="00903F89" w:rsidRDefault="003C2DD3" w:rsidP="00903F89">
            <w:pPr>
              <w:jc w:val="both"/>
              <w:rPr>
                <w:rFonts w:cs="Arial"/>
                <w:sz w:val="20"/>
                <w:szCs w:val="20"/>
              </w:rPr>
            </w:pPr>
            <w:r w:rsidRPr="00903F89">
              <w:rPr>
                <w:rFonts w:cs="Arial"/>
                <w:sz w:val="20"/>
                <w:szCs w:val="20"/>
              </w:rPr>
              <w:t>Η πρόνοια του άρθρου είναι ενδεικτική, λαμβάνοντας υπόψη τις πρόνοιες του περί Αναδιαρθρώσεως του Κρατικού Μισθολογίου (Ενσωμάτωση Γενικών Αυξήσεων και του Τιμαριθμικού Επιδόματος και Ρύθμιση Άλλων Συναφών Θεμάτων) Νόμο του 2018 (Ν.56(Ι)/2018), σύμφωνα με τις οποίες οι γενικές αυξήσεις μισθών συνολικού ύψους 6,656%, με κατώτατο όριο αύξησης €880,69, και οι οποίες παραχωρήθηκαν διά των ακόλουθων Νόμων, ενσωματώθηκαν στους αναθεωρημένους βασικούς μισθούς:</w:t>
            </w:r>
          </w:p>
          <w:p w14:paraId="094660ED" w14:textId="77777777" w:rsidR="003C2DD3" w:rsidRPr="00903F89" w:rsidRDefault="003C2DD3" w:rsidP="00903F89">
            <w:pPr>
              <w:jc w:val="both"/>
              <w:rPr>
                <w:rFonts w:cs="Arial"/>
                <w:sz w:val="20"/>
                <w:szCs w:val="20"/>
              </w:rPr>
            </w:pPr>
          </w:p>
          <w:p w14:paraId="6C010A15" w14:textId="69953085" w:rsidR="003C2DD3" w:rsidRPr="00903F89" w:rsidRDefault="003C2DD3" w:rsidP="00130787">
            <w:pPr>
              <w:ind w:left="605" w:hanging="605"/>
              <w:jc w:val="both"/>
              <w:rPr>
                <w:rFonts w:cs="Arial"/>
                <w:sz w:val="20"/>
                <w:szCs w:val="20"/>
              </w:rPr>
            </w:pPr>
            <w:r w:rsidRPr="00903F89">
              <w:rPr>
                <w:rFonts w:cs="Arial"/>
                <w:sz w:val="20"/>
                <w:szCs w:val="20"/>
              </w:rPr>
              <w:t xml:space="preserve">(i) </w:t>
            </w:r>
            <w:r w:rsidR="00130787">
              <w:rPr>
                <w:rFonts w:cs="Arial"/>
                <w:sz w:val="20"/>
                <w:szCs w:val="20"/>
              </w:rPr>
              <w:tab/>
            </w:r>
            <w:r w:rsidRPr="00903F89">
              <w:rPr>
                <w:rFonts w:cs="Arial"/>
                <w:sz w:val="20"/>
                <w:szCs w:val="20"/>
              </w:rPr>
              <w:t>γενικές αυξήσεις 2%, διά του περί Κρατικών Υπαλλήλων (Αύξηση Μισθών και Συντάξεων) Νόμου του 2006,</w:t>
            </w:r>
          </w:p>
          <w:p w14:paraId="7EECCB59" w14:textId="1B735D79" w:rsidR="003C2DD3" w:rsidRPr="00903F89" w:rsidRDefault="003C2DD3" w:rsidP="00130787">
            <w:pPr>
              <w:ind w:left="605" w:hanging="605"/>
              <w:jc w:val="both"/>
              <w:rPr>
                <w:rFonts w:cs="Arial"/>
                <w:sz w:val="20"/>
                <w:szCs w:val="20"/>
              </w:rPr>
            </w:pPr>
            <w:r w:rsidRPr="00903F89">
              <w:rPr>
                <w:rFonts w:cs="Arial"/>
                <w:sz w:val="20"/>
                <w:szCs w:val="20"/>
              </w:rPr>
              <w:t>(</w:t>
            </w:r>
            <w:proofErr w:type="spellStart"/>
            <w:r w:rsidRPr="00903F89">
              <w:rPr>
                <w:rFonts w:cs="Arial"/>
                <w:sz w:val="20"/>
                <w:szCs w:val="20"/>
              </w:rPr>
              <w:t>ii</w:t>
            </w:r>
            <w:proofErr w:type="spellEnd"/>
            <w:r w:rsidRPr="00903F89">
              <w:rPr>
                <w:rFonts w:cs="Arial"/>
                <w:sz w:val="20"/>
                <w:szCs w:val="20"/>
              </w:rPr>
              <w:t xml:space="preserve">) </w:t>
            </w:r>
            <w:r w:rsidR="00130787">
              <w:rPr>
                <w:rFonts w:cs="Arial"/>
                <w:sz w:val="20"/>
                <w:szCs w:val="20"/>
              </w:rPr>
              <w:tab/>
            </w:r>
            <w:r w:rsidRPr="00903F89">
              <w:rPr>
                <w:rFonts w:cs="Arial"/>
                <w:sz w:val="20"/>
                <w:szCs w:val="20"/>
              </w:rPr>
              <w:t xml:space="preserve">γενικές αυξήσεις 1%, διά του περί Κρατικών Υπαλλήλων (Αύξηση Μισθών και Συντάξεων) Νόμου του 2007, και </w:t>
            </w:r>
          </w:p>
          <w:p w14:paraId="11327A38" w14:textId="33D5A7CD" w:rsidR="003C2DD3" w:rsidRPr="00903F89" w:rsidRDefault="003C2DD3" w:rsidP="00130787">
            <w:pPr>
              <w:ind w:left="605" w:hanging="605"/>
              <w:jc w:val="both"/>
              <w:rPr>
                <w:rFonts w:cs="Arial"/>
                <w:sz w:val="20"/>
                <w:szCs w:val="20"/>
              </w:rPr>
            </w:pPr>
            <w:r w:rsidRPr="00903F89">
              <w:rPr>
                <w:rFonts w:cs="Arial"/>
                <w:sz w:val="20"/>
                <w:szCs w:val="20"/>
              </w:rPr>
              <w:t>(</w:t>
            </w:r>
            <w:proofErr w:type="spellStart"/>
            <w:r w:rsidRPr="00903F89">
              <w:rPr>
                <w:rFonts w:cs="Arial"/>
                <w:sz w:val="20"/>
                <w:szCs w:val="20"/>
              </w:rPr>
              <w:t>iii</w:t>
            </w:r>
            <w:proofErr w:type="spellEnd"/>
            <w:r w:rsidRPr="00903F89">
              <w:rPr>
                <w:rFonts w:cs="Arial"/>
                <w:sz w:val="20"/>
                <w:szCs w:val="20"/>
              </w:rPr>
              <w:t xml:space="preserve">) </w:t>
            </w:r>
            <w:r w:rsidR="00130787">
              <w:rPr>
                <w:rFonts w:cs="Arial"/>
                <w:sz w:val="20"/>
                <w:szCs w:val="20"/>
              </w:rPr>
              <w:tab/>
            </w:r>
            <w:r w:rsidRPr="00903F89">
              <w:rPr>
                <w:rFonts w:cs="Arial"/>
                <w:sz w:val="20"/>
                <w:szCs w:val="20"/>
              </w:rPr>
              <w:t>γενικές αυξήσεις 3,53%, διά του περί Κρατικών Υπαλλήλων (Αύξηση Μισθών και Συντάξεων) Νόμου του 2008.</w:t>
            </w:r>
          </w:p>
        </w:tc>
      </w:tr>
      <w:tr w:rsidR="00903F89" w:rsidRPr="00903F89" w14:paraId="6966909F" w14:textId="77777777" w:rsidTr="00B1212B">
        <w:tc>
          <w:tcPr>
            <w:tcW w:w="5387" w:type="dxa"/>
            <w:gridSpan w:val="12"/>
          </w:tcPr>
          <w:p w14:paraId="1B7C8F04"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c>
          <w:tcPr>
            <w:tcW w:w="3736" w:type="dxa"/>
            <w:gridSpan w:val="12"/>
          </w:tcPr>
          <w:p w14:paraId="14874DB8" w14:textId="77777777" w:rsidR="003C2DD3" w:rsidRPr="00903F89" w:rsidRDefault="003C2DD3" w:rsidP="00903F89">
            <w:pPr>
              <w:jc w:val="both"/>
              <w:rPr>
                <w:rFonts w:cs="Arial"/>
                <w:sz w:val="20"/>
                <w:szCs w:val="20"/>
              </w:rPr>
            </w:pPr>
          </w:p>
        </w:tc>
        <w:tc>
          <w:tcPr>
            <w:tcW w:w="1415" w:type="dxa"/>
            <w:gridSpan w:val="3"/>
          </w:tcPr>
          <w:p w14:paraId="25BD4757"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r>
      <w:tr w:rsidR="007422AB" w:rsidRPr="00903F89" w14:paraId="77D2D35C" w14:textId="77777777" w:rsidTr="00B1212B">
        <w:tc>
          <w:tcPr>
            <w:tcW w:w="10538" w:type="dxa"/>
            <w:gridSpan w:val="27"/>
          </w:tcPr>
          <w:p w14:paraId="038DF3E9" w14:textId="282D6F54" w:rsidR="003C2DD3" w:rsidRPr="00903F89" w:rsidRDefault="003C2DD3" w:rsidP="00903F89">
            <w:pPr>
              <w:jc w:val="both"/>
              <w:rPr>
                <w:rFonts w:eastAsia="Arial" w:cs="Arial"/>
                <w:sz w:val="20"/>
                <w:szCs w:val="20"/>
              </w:rPr>
            </w:pPr>
            <w:r w:rsidRPr="00903F89">
              <w:rPr>
                <w:rFonts w:cs="Arial"/>
                <w:sz w:val="20"/>
                <w:szCs w:val="20"/>
              </w:rPr>
              <w:t>Οι προηγούμενες γενικές αυξήσεις που παραχωρήθηκαν μέχρι τις 30</w:t>
            </w:r>
            <w:r w:rsidR="00A85AF3">
              <w:rPr>
                <w:rFonts w:cs="Arial"/>
                <w:sz w:val="20"/>
                <w:szCs w:val="20"/>
              </w:rPr>
              <w:t>/06/</w:t>
            </w:r>
            <w:r w:rsidRPr="00903F89">
              <w:rPr>
                <w:rFonts w:cs="Arial"/>
                <w:sz w:val="20"/>
                <w:szCs w:val="20"/>
              </w:rPr>
              <w:t xml:space="preserve">2005 και οι οποίες ανερχόταν σε 44,447% είχαν ενσωματωθεί ήδη στους βασικούς μισθούς του προσωπικού, όπως αυτοί εγκρίθηκαν με τον Περί Αναδιάρθρωσης του Κρατικού Μισθολογίου Νόμο του 2005 (Ν50(Ι)/2005). </w:t>
            </w:r>
          </w:p>
        </w:tc>
      </w:tr>
      <w:tr w:rsidR="007422AB" w:rsidRPr="00903F89" w14:paraId="57BBC1A0" w14:textId="77777777" w:rsidTr="00B1212B">
        <w:tc>
          <w:tcPr>
            <w:tcW w:w="10538" w:type="dxa"/>
            <w:gridSpan w:val="27"/>
          </w:tcPr>
          <w:p w14:paraId="76DB5794" w14:textId="77777777" w:rsidR="003C2DD3" w:rsidRPr="00903F89" w:rsidRDefault="003C2DD3" w:rsidP="00903F89">
            <w:pPr>
              <w:jc w:val="both"/>
              <w:rPr>
                <w:rFonts w:cs="Arial"/>
                <w:sz w:val="20"/>
                <w:szCs w:val="20"/>
              </w:rPr>
            </w:pPr>
          </w:p>
        </w:tc>
      </w:tr>
      <w:tr w:rsidR="007422AB" w:rsidRPr="00903F89" w14:paraId="67684985" w14:textId="77777777" w:rsidTr="00B1212B">
        <w:tc>
          <w:tcPr>
            <w:tcW w:w="9544" w:type="dxa"/>
            <w:gridSpan w:val="25"/>
            <w:shd w:val="clear" w:color="auto" w:fill="auto"/>
          </w:tcPr>
          <w:p w14:paraId="13FD2D6B" w14:textId="1F8FCB70" w:rsidR="003C2DD3" w:rsidRPr="00903F89" w:rsidRDefault="003C2DD3" w:rsidP="00903F89">
            <w:pPr>
              <w:jc w:val="both"/>
              <w:rPr>
                <w:rFonts w:cs="Arial"/>
                <w:sz w:val="20"/>
                <w:szCs w:val="20"/>
              </w:rPr>
            </w:pPr>
            <w:r w:rsidRPr="00903F89">
              <w:rPr>
                <w:rFonts w:eastAsia="Arial" w:cs="Arial"/>
                <w:b/>
                <w:sz w:val="20"/>
                <w:szCs w:val="20"/>
                <w:u w:val="single"/>
              </w:rPr>
              <w:t>Άρθρο 12-108 – Πρόσθετες Βοηθητικές Υπηρεσίες – €</w:t>
            </w:r>
            <w:r w:rsidR="00934277" w:rsidRPr="00903F89">
              <w:rPr>
                <w:rFonts w:eastAsia="Arial" w:cs="Arial"/>
                <w:b/>
                <w:sz w:val="20"/>
                <w:szCs w:val="20"/>
                <w:u w:val="single"/>
              </w:rPr>
              <w:t>4.621.256</w:t>
            </w:r>
          </w:p>
        </w:tc>
        <w:tc>
          <w:tcPr>
            <w:tcW w:w="994" w:type="dxa"/>
            <w:gridSpan w:val="2"/>
          </w:tcPr>
          <w:p w14:paraId="72C4150B" w14:textId="173DE9CC"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r>
      <w:tr w:rsidR="007422AB" w:rsidRPr="00903F89" w14:paraId="7A07F558" w14:textId="77777777" w:rsidTr="00B1212B">
        <w:tc>
          <w:tcPr>
            <w:tcW w:w="5726" w:type="dxa"/>
            <w:gridSpan w:val="13"/>
          </w:tcPr>
          <w:p w14:paraId="44790237"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c>
          <w:tcPr>
            <w:tcW w:w="3818" w:type="dxa"/>
            <w:gridSpan w:val="12"/>
          </w:tcPr>
          <w:p w14:paraId="7156CEAB" w14:textId="77777777" w:rsidR="003C2DD3" w:rsidRPr="00903F89" w:rsidRDefault="003C2DD3" w:rsidP="00903F89">
            <w:pPr>
              <w:jc w:val="both"/>
              <w:rPr>
                <w:rFonts w:cs="Arial"/>
                <w:sz w:val="20"/>
                <w:szCs w:val="20"/>
              </w:rPr>
            </w:pPr>
          </w:p>
        </w:tc>
        <w:tc>
          <w:tcPr>
            <w:tcW w:w="994" w:type="dxa"/>
            <w:gridSpan w:val="2"/>
          </w:tcPr>
          <w:p w14:paraId="2A437C65" w14:textId="77777777" w:rsidR="003C2DD3" w:rsidRPr="00903F89" w:rsidRDefault="003C2DD3" w:rsidP="00903F89">
            <w:pPr>
              <w:pStyle w:val="NormalWeb"/>
              <w:tabs>
                <w:tab w:val="left" w:pos="625"/>
              </w:tabs>
              <w:spacing w:before="0" w:beforeAutospacing="0" w:after="0" w:afterAutospacing="0"/>
              <w:jc w:val="both"/>
              <w:rPr>
                <w:rFonts w:ascii="Arial" w:hAnsi="Arial" w:cs="Arial"/>
                <w:sz w:val="20"/>
                <w:szCs w:val="20"/>
                <w:lang w:eastAsia="en-US"/>
              </w:rPr>
            </w:pPr>
          </w:p>
        </w:tc>
      </w:tr>
      <w:tr w:rsidR="007422AB" w:rsidRPr="00903F89" w14:paraId="6ECBD20A" w14:textId="77777777" w:rsidTr="00B1212B">
        <w:tc>
          <w:tcPr>
            <w:tcW w:w="10538" w:type="dxa"/>
            <w:gridSpan w:val="27"/>
            <w:shd w:val="clear" w:color="auto" w:fill="auto"/>
          </w:tcPr>
          <w:p w14:paraId="2743CAE7" w14:textId="412475CB" w:rsidR="003C2DD3" w:rsidRPr="00903F89" w:rsidRDefault="003C2DD3" w:rsidP="00903F89">
            <w:pPr>
              <w:keepNext/>
              <w:ind w:right="54"/>
              <w:jc w:val="both"/>
              <w:outlineLvl w:val="7"/>
              <w:rPr>
                <w:rFonts w:eastAsia="Arial" w:cs="Arial"/>
                <w:sz w:val="20"/>
                <w:szCs w:val="20"/>
              </w:rPr>
            </w:pPr>
            <w:r w:rsidRPr="00903F89">
              <w:rPr>
                <w:rFonts w:cs="Arial"/>
                <w:sz w:val="20"/>
                <w:szCs w:val="20"/>
              </w:rPr>
              <w:t>Η πρόνοια αφορά τους βασικούς μισθούς, τις αυξήσεις μισθών, τα τιμαριθμικά επιδόματα, τις συνεισφορές του Πανεπιστημίου Κύπρου στο αναλογικό σχέδιο Κοινωνικών Ασφαλίσεων, στο Ταμείο Πλεονάζοντος Προσωπικού, στο Ταμείο Ανάπτυξης Ανθρώπινου Δυναμικού, στο Ταμείο Κοινωνικής Συνοχής, και στο Γενικό Σύστημα Υγείας για το υφιστάμενο μη μόνιμο Διοικητικό Προσωπικό. Πρόνοια περιλήφθηκε στο παρόν άρθρο για την κάλυψη της συνεισφοράς του Πανεπιστημίου στο Γενικό Σύστημα Υγείας για το μη μόνιμο διοικητικό προσωπικό του.</w:t>
            </w:r>
          </w:p>
        </w:tc>
      </w:tr>
      <w:tr w:rsidR="007422AB" w:rsidRPr="00903F89" w14:paraId="5217F14F" w14:textId="77777777" w:rsidTr="00B1212B">
        <w:tc>
          <w:tcPr>
            <w:tcW w:w="4878" w:type="dxa"/>
            <w:gridSpan w:val="10"/>
            <w:shd w:val="clear" w:color="auto" w:fill="auto"/>
          </w:tcPr>
          <w:p w14:paraId="1793330A" w14:textId="77777777" w:rsidR="003C2DD3" w:rsidRPr="00903F89" w:rsidRDefault="003C2DD3" w:rsidP="00903F89">
            <w:pPr>
              <w:pStyle w:val="Heading8"/>
              <w:outlineLvl w:val="7"/>
              <w:rPr>
                <w:rFonts w:ascii="Arial" w:hAnsi="Arial" w:cs="Arial"/>
                <w:sz w:val="20"/>
                <w:szCs w:val="20"/>
                <w:u w:val="single"/>
              </w:rPr>
            </w:pPr>
          </w:p>
        </w:tc>
        <w:tc>
          <w:tcPr>
            <w:tcW w:w="3821" w:type="dxa"/>
            <w:gridSpan w:val="13"/>
            <w:shd w:val="clear" w:color="auto" w:fill="auto"/>
          </w:tcPr>
          <w:p w14:paraId="0519B5B1" w14:textId="77777777" w:rsidR="003C2DD3" w:rsidRPr="00903F89" w:rsidRDefault="003C2DD3" w:rsidP="00903F89">
            <w:pPr>
              <w:jc w:val="both"/>
              <w:rPr>
                <w:rFonts w:cs="Arial"/>
                <w:sz w:val="20"/>
                <w:szCs w:val="20"/>
              </w:rPr>
            </w:pPr>
          </w:p>
        </w:tc>
        <w:tc>
          <w:tcPr>
            <w:tcW w:w="1839" w:type="dxa"/>
            <w:gridSpan w:val="4"/>
            <w:shd w:val="clear" w:color="auto" w:fill="auto"/>
          </w:tcPr>
          <w:p w14:paraId="465BFD79"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4D97272D" w14:textId="77777777" w:rsidTr="00B1212B">
        <w:tc>
          <w:tcPr>
            <w:tcW w:w="10538" w:type="dxa"/>
            <w:gridSpan w:val="27"/>
            <w:shd w:val="clear" w:color="auto" w:fill="auto"/>
          </w:tcPr>
          <w:p w14:paraId="733663B3" w14:textId="77777777" w:rsidR="003C2DD3" w:rsidRPr="00903F89" w:rsidRDefault="003C2DD3" w:rsidP="00903F89">
            <w:pPr>
              <w:keepNext/>
              <w:ind w:right="54"/>
              <w:jc w:val="both"/>
              <w:outlineLvl w:val="7"/>
              <w:rPr>
                <w:rFonts w:eastAsia="Arial" w:cs="Arial"/>
                <w:sz w:val="20"/>
                <w:szCs w:val="20"/>
              </w:rPr>
            </w:pPr>
            <w:r w:rsidRPr="00903F89">
              <w:rPr>
                <w:rFonts w:cs="Arial"/>
                <w:sz w:val="20"/>
                <w:szCs w:val="20"/>
              </w:rPr>
              <w:t xml:space="preserve">Το Πανεπιστήμιο Κύπρου έχει ζητήσει με σχετικές επιστολές προς τη Βουλή των Αντιπροσώπων (ημερ. 27/04/2009, 21/07/2009, 09/06/2009, 28/04/2010 και 22/09/2010) και έχει εξασφαλίσει από την Κοινοβουλευτική Επιτροπή Οικονομικών και Προϋπολογισμού (με επιστολή ημερ. 21/07/2009 και 01/12/2010), έγκριση για συνολικά διακόσιες δεκαέξι (216) μη μόνιμες θέσεις Διοικητικού Προσωπικού.  Το Πανεπιστήμιο Κύπρου έχει ήδη προβεί στην κατάργηση είκοσι έξι (26) θέσεων.  </w:t>
            </w:r>
          </w:p>
          <w:p w14:paraId="089BAE23" w14:textId="77777777" w:rsidR="003C2DD3" w:rsidRPr="00903F89" w:rsidRDefault="003C2DD3" w:rsidP="00903F89">
            <w:pPr>
              <w:keepNext/>
              <w:ind w:right="54"/>
              <w:jc w:val="both"/>
              <w:outlineLvl w:val="7"/>
              <w:rPr>
                <w:rFonts w:cs="Arial"/>
                <w:sz w:val="20"/>
                <w:szCs w:val="20"/>
                <w:u w:color="000000"/>
              </w:rPr>
            </w:pPr>
          </w:p>
          <w:p w14:paraId="236750E5" w14:textId="4A215C1F"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Από τις υπόλοιπες εκατόν ενενήντα (190) εγκεκριμένες θέσεις, το Πανεπιστήμιο Κύπρου στο παρόν στάδιο πληροί τις εκατόν τριάντα τρεις (133) θέσεις, όπως καταγράφονται σε αναλυτικό πίνακα στο ΠΑΡΑΡΤΗΜΑ ΙΙΙ.</w:t>
            </w:r>
          </w:p>
        </w:tc>
      </w:tr>
      <w:tr w:rsidR="007422AB" w:rsidRPr="00903F89" w14:paraId="5632AF10" w14:textId="77777777" w:rsidTr="00B1212B">
        <w:tc>
          <w:tcPr>
            <w:tcW w:w="10538" w:type="dxa"/>
            <w:gridSpan w:val="27"/>
            <w:shd w:val="clear" w:color="auto" w:fill="auto"/>
          </w:tcPr>
          <w:p w14:paraId="1D836E7F" w14:textId="77777777" w:rsidR="003C2DD3" w:rsidRPr="00903F89" w:rsidRDefault="003C2DD3" w:rsidP="00903F89">
            <w:pPr>
              <w:ind w:left="134" w:hanging="108"/>
              <w:jc w:val="both"/>
              <w:rPr>
                <w:rFonts w:cs="Arial"/>
                <w:sz w:val="20"/>
                <w:szCs w:val="20"/>
              </w:rPr>
            </w:pPr>
          </w:p>
        </w:tc>
      </w:tr>
      <w:tr w:rsidR="007422AB" w:rsidRPr="00903F89" w14:paraId="5BCC9E58" w14:textId="77777777" w:rsidTr="00B1212B">
        <w:tc>
          <w:tcPr>
            <w:tcW w:w="10538" w:type="dxa"/>
            <w:gridSpan w:val="27"/>
            <w:shd w:val="clear" w:color="auto" w:fill="auto"/>
          </w:tcPr>
          <w:p w14:paraId="729FFA19" w14:textId="4F77F5AC" w:rsidR="003C2DD3" w:rsidRPr="00903F89" w:rsidRDefault="003C2DD3" w:rsidP="00903F89">
            <w:pPr>
              <w:ind w:left="37" w:hanging="11"/>
              <w:jc w:val="both"/>
              <w:rPr>
                <w:rFonts w:cs="Arial"/>
                <w:sz w:val="20"/>
                <w:szCs w:val="20"/>
              </w:rPr>
            </w:pPr>
            <w:r w:rsidRPr="00903F89">
              <w:rPr>
                <w:rFonts w:cs="Arial"/>
                <w:sz w:val="20"/>
                <w:szCs w:val="20"/>
              </w:rPr>
              <w:t xml:space="preserve">Διευκρινίζεται ότι, η πρόνοια του εν λόγω </w:t>
            </w:r>
            <w:r w:rsidR="00C7404B">
              <w:rPr>
                <w:rFonts w:cs="Arial"/>
                <w:sz w:val="20"/>
                <w:szCs w:val="20"/>
              </w:rPr>
              <w:t>ά</w:t>
            </w:r>
            <w:r w:rsidRPr="00903F89">
              <w:rPr>
                <w:rFonts w:cs="Arial"/>
                <w:sz w:val="20"/>
                <w:szCs w:val="20"/>
              </w:rPr>
              <w:t>ρθρου καλύπτει</w:t>
            </w:r>
            <w:r w:rsidR="00941D04">
              <w:rPr>
                <w:rFonts w:cs="Arial"/>
                <w:sz w:val="20"/>
                <w:szCs w:val="20"/>
              </w:rPr>
              <w:t xml:space="preserve"> πρόσθετα</w:t>
            </w:r>
            <w:r w:rsidRPr="00903F89">
              <w:rPr>
                <w:rFonts w:cs="Arial"/>
                <w:sz w:val="20"/>
                <w:szCs w:val="20"/>
              </w:rPr>
              <w:t xml:space="preserve">: </w:t>
            </w:r>
          </w:p>
          <w:p w14:paraId="0978C01A" w14:textId="77777777" w:rsidR="003C2DD3" w:rsidRPr="00903F89" w:rsidRDefault="003C2DD3" w:rsidP="00903F89">
            <w:pPr>
              <w:ind w:left="37" w:hanging="11"/>
              <w:jc w:val="both"/>
              <w:rPr>
                <w:rFonts w:cs="Arial"/>
                <w:sz w:val="20"/>
                <w:szCs w:val="20"/>
              </w:rPr>
            </w:pPr>
          </w:p>
          <w:p w14:paraId="3B7BB13C" w14:textId="2D6EFD74" w:rsidR="003C2DD3" w:rsidRPr="00903F89" w:rsidRDefault="003C2DD3" w:rsidP="00130787">
            <w:pPr>
              <w:ind w:left="605" w:hanging="579"/>
              <w:jc w:val="both"/>
              <w:rPr>
                <w:rFonts w:cs="Arial"/>
                <w:sz w:val="20"/>
                <w:szCs w:val="20"/>
              </w:rPr>
            </w:pPr>
            <w:r w:rsidRPr="00903F89">
              <w:rPr>
                <w:rFonts w:cs="Arial"/>
                <w:sz w:val="20"/>
                <w:szCs w:val="20"/>
              </w:rPr>
              <w:t xml:space="preserve">(α) </w:t>
            </w:r>
            <w:r w:rsidR="00130787">
              <w:rPr>
                <w:rFonts w:cs="Arial"/>
                <w:sz w:val="20"/>
                <w:szCs w:val="20"/>
              </w:rPr>
              <w:tab/>
            </w:r>
            <w:r w:rsidRPr="00903F89">
              <w:rPr>
                <w:rFonts w:cs="Arial"/>
                <w:sz w:val="20"/>
                <w:szCs w:val="20"/>
              </w:rPr>
              <w:t xml:space="preserve">το κόστος εργοδότη για </w:t>
            </w:r>
            <w:r w:rsidR="00E8774D" w:rsidRPr="00903F89">
              <w:rPr>
                <w:rFonts w:cs="Arial"/>
                <w:sz w:val="20"/>
                <w:szCs w:val="20"/>
              </w:rPr>
              <w:t xml:space="preserve">τρεις (3) </w:t>
            </w:r>
            <w:r w:rsidRPr="00903F89">
              <w:rPr>
                <w:rFonts w:cs="Arial"/>
                <w:sz w:val="20"/>
                <w:szCs w:val="20"/>
              </w:rPr>
              <w:t xml:space="preserve">θέσεις Βοηθού Γραφείου με Σύμβαση (Σύντομης Διάρκειας) και οι οποίες με την ολοκλήρωση </w:t>
            </w:r>
            <w:r w:rsidR="004142D7" w:rsidRPr="00903F89">
              <w:rPr>
                <w:rFonts w:cs="Arial"/>
                <w:sz w:val="20"/>
                <w:szCs w:val="20"/>
              </w:rPr>
              <w:t xml:space="preserve">των </w:t>
            </w:r>
            <w:r w:rsidR="004142D7">
              <w:rPr>
                <w:rFonts w:cs="Arial"/>
                <w:sz w:val="20"/>
                <w:szCs w:val="20"/>
              </w:rPr>
              <w:t>τριάντα (30)</w:t>
            </w:r>
            <w:r w:rsidR="004142D7" w:rsidRPr="00903F89">
              <w:rPr>
                <w:rFonts w:cs="Arial"/>
                <w:sz w:val="20"/>
                <w:szCs w:val="20"/>
              </w:rPr>
              <w:t xml:space="preserve"> μηνών </w:t>
            </w:r>
            <w:r w:rsidRPr="00903F89">
              <w:rPr>
                <w:rFonts w:cs="Arial"/>
                <w:sz w:val="20"/>
                <w:szCs w:val="20"/>
              </w:rPr>
              <w:t>είχαν μετατραπεί σε Αορίστου Χρόνου, καθώς και</w:t>
            </w:r>
          </w:p>
          <w:p w14:paraId="013B63F1" w14:textId="5446AFCB" w:rsidR="003C2DD3" w:rsidRPr="00903F89" w:rsidRDefault="003C2DD3" w:rsidP="00130787">
            <w:pPr>
              <w:ind w:left="605" w:hanging="579"/>
              <w:jc w:val="both"/>
              <w:rPr>
                <w:rFonts w:cs="Arial"/>
                <w:sz w:val="20"/>
                <w:szCs w:val="20"/>
              </w:rPr>
            </w:pPr>
            <w:r w:rsidRPr="00903F89">
              <w:rPr>
                <w:rFonts w:cs="Arial"/>
                <w:sz w:val="20"/>
                <w:szCs w:val="20"/>
              </w:rPr>
              <w:t xml:space="preserve">(β) </w:t>
            </w:r>
            <w:r w:rsidR="00130787">
              <w:rPr>
                <w:rFonts w:cs="Arial"/>
                <w:sz w:val="20"/>
                <w:szCs w:val="20"/>
              </w:rPr>
              <w:tab/>
            </w:r>
            <w:r w:rsidRPr="00903F89">
              <w:rPr>
                <w:rFonts w:cs="Arial"/>
                <w:sz w:val="20"/>
                <w:szCs w:val="20"/>
              </w:rPr>
              <w:t>δαπάνες του Νηπιαγωγείου και Βρεφοκομικού Σταθμού του Πανεπιστημίου Κύπρου από δικές του εισπράξεις,</w:t>
            </w:r>
          </w:p>
          <w:p w14:paraId="4358A1A8" w14:textId="77777777" w:rsidR="00941D04" w:rsidRDefault="00C7404B" w:rsidP="00130787">
            <w:pPr>
              <w:ind w:left="605" w:hanging="579"/>
              <w:jc w:val="both"/>
              <w:rPr>
                <w:rFonts w:cs="Arial"/>
                <w:sz w:val="20"/>
                <w:szCs w:val="20"/>
              </w:rPr>
            </w:pPr>
            <w:r>
              <w:rPr>
                <w:rFonts w:cs="Arial"/>
                <w:sz w:val="20"/>
                <w:szCs w:val="20"/>
              </w:rPr>
              <w:tab/>
            </w:r>
          </w:p>
          <w:p w14:paraId="581C96A8" w14:textId="6F33853C" w:rsidR="003C2DD3" w:rsidRPr="00903F89" w:rsidRDefault="00941D04" w:rsidP="00941D04">
            <w:pPr>
              <w:ind w:left="35" w:hanging="9"/>
              <w:jc w:val="both"/>
              <w:rPr>
                <w:rFonts w:cs="Arial"/>
                <w:sz w:val="20"/>
                <w:szCs w:val="20"/>
              </w:rPr>
            </w:pPr>
            <w:r>
              <w:rPr>
                <w:rFonts w:cs="Arial"/>
                <w:sz w:val="20"/>
                <w:szCs w:val="20"/>
              </w:rPr>
              <w:t xml:space="preserve">και </w:t>
            </w:r>
            <w:r w:rsidR="003C2DD3" w:rsidRPr="00903F89">
              <w:rPr>
                <w:rFonts w:cs="Arial"/>
                <w:sz w:val="20"/>
                <w:szCs w:val="20"/>
              </w:rPr>
              <w:t xml:space="preserve">οι οποίες δεν περιλαμβάνονται στις προαναφερόμενες </w:t>
            </w:r>
            <w:r w:rsidR="00671903" w:rsidRPr="00903F89">
              <w:rPr>
                <w:rFonts w:cs="Arial"/>
                <w:sz w:val="20"/>
                <w:szCs w:val="20"/>
              </w:rPr>
              <w:t>εκατό</w:t>
            </w:r>
            <w:r w:rsidR="007D0024" w:rsidRPr="00903F89">
              <w:rPr>
                <w:rFonts w:cs="Arial"/>
                <w:sz w:val="20"/>
                <w:szCs w:val="20"/>
              </w:rPr>
              <w:t>ν</w:t>
            </w:r>
            <w:r w:rsidR="00671903" w:rsidRPr="00903F89">
              <w:rPr>
                <w:rFonts w:cs="Arial"/>
                <w:sz w:val="20"/>
                <w:szCs w:val="20"/>
              </w:rPr>
              <w:t xml:space="preserve"> τριάντα τρεις (</w:t>
            </w:r>
            <w:r w:rsidR="003C2DD3" w:rsidRPr="00903F89">
              <w:rPr>
                <w:rFonts w:cs="Arial"/>
                <w:sz w:val="20"/>
                <w:szCs w:val="20"/>
              </w:rPr>
              <w:t>13</w:t>
            </w:r>
            <w:r w:rsidR="00E8774D" w:rsidRPr="00903F89">
              <w:rPr>
                <w:rFonts w:cs="Arial"/>
                <w:sz w:val="20"/>
                <w:szCs w:val="20"/>
              </w:rPr>
              <w:t>3</w:t>
            </w:r>
            <w:r w:rsidR="00671903" w:rsidRPr="00903F89">
              <w:rPr>
                <w:rFonts w:cs="Arial"/>
                <w:sz w:val="20"/>
                <w:szCs w:val="20"/>
              </w:rPr>
              <w:t>)</w:t>
            </w:r>
            <w:r w:rsidR="003C2DD3" w:rsidRPr="00903F89">
              <w:rPr>
                <w:rFonts w:cs="Arial"/>
                <w:sz w:val="20"/>
                <w:szCs w:val="20"/>
              </w:rPr>
              <w:t xml:space="preserve"> πληρωμένες θέσεις,</w:t>
            </w:r>
            <w:r>
              <w:rPr>
                <w:rFonts w:cs="Arial"/>
                <w:sz w:val="20"/>
                <w:szCs w:val="20"/>
              </w:rPr>
              <w:t xml:space="preserve"> </w:t>
            </w:r>
            <w:r w:rsidR="003C2DD3" w:rsidRPr="00903F89">
              <w:rPr>
                <w:rFonts w:cs="Arial"/>
                <w:sz w:val="20"/>
                <w:szCs w:val="20"/>
              </w:rPr>
              <w:t>Βλ. ΠΑΡΑΡΤΗΜΑ ΙΙΙ).</w:t>
            </w:r>
          </w:p>
        </w:tc>
      </w:tr>
      <w:tr w:rsidR="007422AB" w:rsidRPr="00903F89" w14:paraId="0EAC7DCF" w14:textId="77777777" w:rsidTr="00B1212B">
        <w:tc>
          <w:tcPr>
            <w:tcW w:w="10538" w:type="dxa"/>
            <w:gridSpan w:val="27"/>
            <w:shd w:val="clear" w:color="auto" w:fill="auto"/>
          </w:tcPr>
          <w:p w14:paraId="2C21259B" w14:textId="77777777" w:rsidR="003C2DD3" w:rsidRPr="00903F89" w:rsidRDefault="003C2DD3" w:rsidP="00903F89">
            <w:pPr>
              <w:ind w:left="134" w:hanging="108"/>
              <w:jc w:val="both"/>
              <w:rPr>
                <w:rFonts w:cs="Arial"/>
                <w:sz w:val="20"/>
                <w:szCs w:val="20"/>
              </w:rPr>
            </w:pPr>
          </w:p>
        </w:tc>
      </w:tr>
      <w:tr w:rsidR="007422AB" w:rsidRPr="00903F89" w14:paraId="4C9DB3CA" w14:textId="77777777" w:rsidTr="00B1212B">
        <w:tc>
          <w:tcPr>
            <w:tcW w:w="10538" w:type="dxa"/>
            <w:gridSpan w:val="27"/>
            <w:shd w:val="clear" w:color="auto" w:fill="auto"/>
          </w:tcPr>
          <w:p w14:paraId="1DD6984E" w14:textId="55E74242" w:rsidR="003C2DD3" w:rsidRPr="00903F89" w:rsidRDefault="003C2DD3" w:rsidP="00903F89">
            <w:pPr>
              <w:ind w:left="34"/>
              <w:jc w:val="both"/>
              <w:rPr>
                <w:rFonts w:eastAsia="Arial" w:cs="Arial"/>
                <w:sz w:val="20"/>
                <w:szCs w:val="20"/>
              </w:rPr>
            </w:pPr>
            <w:r w:rsidRPr="00903F89">
              <w:rPr>
                <w:rFonts w:cs="Arial"/>
                <w:sz w:val="20"/>
                <w:szCs w:val="20"/>
              </w:rPr>
              <w:t xml:space="preserve">Συμβάσεις Διοικητικού Προσωπικού ορισμένου χρόνου μετατρέπονται σε αορίστου χρόνου, με τη συμπλήρωση </w:t>
            </w:r>
            <w:r w:rsidR="004142D7" w:rsidRPr="00903F89">
              <w:rPr>
                <w:rFonts w:cs="Arial"/>
                <w:sz w:val="20"/>
                <w:szCs w:val="20"/>
              </w:rPr>
              <w:t xml:space="preserve">των </w:t>
            </w:r>
            <w:r w:rsidR="004142D7">
              <w:rPr>
                <w:rFonts w:cs="Arial"/>
                <w:sz w:val="20"/>
                <w:szCs w:val="20"/>
              </w:rPr>
              <w:t>τριάντα (30)</w:t>
            </w:r>
            <w:r w:rsidR="004142D7" w:rsidRPr="00903F89">
              <w:rPr>
                <w:rFonts w:cs="Arial"/>
                <w:sz w:val="20"/>
                <w:szCs w:val="20"/>
              </w:rPr>
              <w:t xml:space="preserve"> μηνών</w:t>
            </w:r>
            <w:r w:rsidRPr="00903F89">
              <w:rPr>
                <w:rFonts w:cs="Arial"/>
                <w:sz w:val="20"/>
                <w:szCs w:val="20"/>
              </w:rPr>
              <w:t xml:space="preserve"> συνεχούς υπηρεσίας. </w:t>
            </w:r>
            <w:r w:rsidR="00CE4EFE">
              <w:rPr>
                <w:rFonts w:cs="Arial"/>
                <w:sz w:val="20"/>
                <w:szCs w:val="20"/>
              </w:rPr>
              <w:t xml:space="preserve"> </w:t>
            </w:r>
            <w:r w:rsidRPr="00903F89">
              <w:rPr>
                <w:rFonts w:cs="Arial"/>
                <w:sz w:val="20"/>
                <w:szCs w:val="20"/>
              </w:rPr>
              <w:t xml:space="preserve">Συμβάσεις σύντομης διάρκειας τερματίζονται όταν οι ανάγκες εκλείψουν και </w:t>
            </w:r>
            <w:r w:rsidR="00CE4EFE">
              <w:rPr>
                <w:rFonts w:cs="Arial"/>
                <w:sz w:val="20"/>
                <w:szCs w:val="20"/>
              </w:rPr>
              <w:t xml:space="preserve">με </w:t>
            </w:r>
            <w:r w:rsidRPr="00903F89">
              <w:rPr>
                <w:rFonts w:cs="Arial"/>
                <w:sz w:val="20"/>
                <w:szCs w:val="20"/>
              </w:rPr>
              <w:t>βάση τη σχετική νομοθεσία.</w:t>
            </w:r>
          </w:p>
        </w:tc>
      </w:tr>
      <w:tr w:rsidR="007422AB" w:rsidRPr="00903F89" w14:paraId="74705014" w14:textId="77777777" w:rsidTr="00B1212B">
        <w:tc>
          <w:tcPr>
            <w:tcW w:w="10538" w:type="dxa"/>
            <w:gridSpan w:val="27"/>
            <w:shd w:val="clear" w:color="auto" w:fill="auto"/>
          </w:tcPr>
          <w:p w14:paraId="6885EA09" w14:textId="77777777" w:rsidR="003C2DD3" w:rsidRPr="00903F89" w:rsidRDefault="003C2DD3" w:rsidP="00903F89">
            <w:pPr>
              <w:ind w:left="34"/>
              <w:jc w:val="both"/>
              <w:rPr>
                <w:rFonts w:cs="Arial"/>
                <w:strike/>
                <w:sz w:val="20"/>
                <w:szCs w:val="20"/>
              </w:rPr>
            </w:pPr>
          </w:p>
        </w:tc>
      </w:tr>
      <w:tr w:rsidR="007422AB" w:rsidRPr="00903F89" w14:paraId="02F0D1A3" w14:textId="77777777" w:rsidTr="00B1212B">
        <w:tc>
          <w:tcPr>
            <w:tcW w:w="10538" w:type="dxa"/>
            <w:gridSpan w:val="27"/>
            <w:shd w:val="clear" w:color="auto" w:fill="auto"/>
          </w:tcPr>
          <w:p w14:paraId="709E4603" w14:textId="5A740CC3" w:rsidR="003C2DD3" w:rsidRPr="00903F89" w:rsidRDefault="003C2DD3" w:rsidP="00903F89">
            <w:pPr>
              <w:ind w:left="34" w:hanging="8"/>
              <w:jc w:val="both"/>
              <w:rPr>
                <w:rFonts w:eastAsia="Arial" w:cs="Arial"/>
                <w:sz w:val="20"/>
                <w:szCs w:val="20"/>
              </w:rPr>
            </w:pPr>
            <w:r w:rsidRPr="00903F89">
              <w:rPr>
                <w:rFonts w:cs="Arial"/>
                <w:sz w:val="20"/>
                <w:szCs w:val="20"/>
              </w:rPr>
              <w:t>Επίσης, η πρόνοια του άρθρου καλύπτει την παραχώρηση μέχρι και τριών πρόσθετων προσαυξήσεων σε κατόχους θέσεων Γενικού Γραφέα (Κλ. Α2, Α5 και Α7</w:t>
            </w:r>
            <w:r w:rsidRPr="00903F89">
              <w:rPr>
                <w:rFonts w:cs="Arial"/>
                <w:sz w:val="20"/>
                <w:szCs w:val="20"/>
                <w:vertAlign w:val="superscript"/>
              </w:rPr>
              <w:t>(ΙΙ)</w:t>
            </w:r>
            <w:r w:rsidRPr="00903F89">
              <w:rPr>
                <w:rFonts w:cs="Arial"/>
                <w:sz w:val="20"/>
                <w:szCs w:val="20"/>
              </w:rPr>
              <w:t>) με σύμβαση, οι οποίοι κατέχουν τρία από τα προσόντα όπως αυτά αναφέρονται στο Σχέδιο Υπηρεσίας της μόνιμης θέσης Γενικού Γραφέα (Κλ. Α2, Α5 και Α7</w:t>
            </w:r>
            <w:r w:rsidRPr="00903F89">
              <w:rPr>
                <w:rFonts w:cs="Arial"/>
                <w:sz w:val="20"/>
                <w:szCs w:val="20"/>
                <w:vertAlign w:val="superscript"/>
              </w:rPr>
              <w:t>(ΙΙ)</w:t>
            </w:r>
            <w:r w:rsidRPr="00903F89">
              <w:rPr>
                <w:rFonts w:cs="Arial"/>
                <w:sz w:val="20"/>
                <w:szCs w:val="20"/>
              </w:rPr>
              <w:t>).  Κάτοχοι θέσεων Γενικού Γραφέα με σύμβαση που θα αποκτήσουν οποιαδήποτε από τα σχετικά προσόντα σε μεταγενέστερο στάδιο η/οι πρόσθετη/τες προσαύξηση/σεις θα παραχωρείται/</w:t>
            </w:r>
            <w:proofErr w:type="spellStart"/>
            <w:r w:rsidRPr="00903F89">
              <w:rPr>
                <w:rFonts w:cs="Arial"/>
                <w:sz w:val="20"/>
                <w:szCs w:val="20"/>
              </w:rPr>
              <w:t>ούνται</w:t>
            </w:r>
            <w:proofErr w:type="spellEnd"/>
            <w:r w:rsidRPr="00903F89">
              <w:rPr>
                <w:rFonts w:cs="Arial"/>
                <w:sz w:val="20"/>
                <w:szCs w:val="20"/>
              </w:rPr>
              <w:t xml:space="preserve"> κατά την ημερομηνία απόκτησης του προσόντος/</w:t>
            </w:r>
            <w:proofErr w:type="spellStart"/>
            <w:r w:rsidRPr="00903F89">
              <w:rPr>
                <w:rFonts w:cs="Arial"/>
                <w:sz w:val="20"/>
                <w:szCs w:val="20"/>
              </w:rPr>
              <w:t>ντων</w:t>
            </w:r>
            <w:proofErr w:type="spellEnd"/>
            <w:r w:rsidRPr="00903F89">
              <w:rPr>
                <w:rFonts w:cs="Arial"/>
                <w:sz w:val="20"/>
                <w:szCs w:val="20"/>
              </w:rPr>
              <w:t>, μετά την αποπαγοποίηση των προσαυξήσεων βάσει της σχετικής Νομοθεσίας.</w:t>
            </w:r>
          </w:p>
        </w:tc>
      </w:tr>
      <w:tr w:rsidR="007422AB" w:rsidRPr="00903F89" w14:paraId="516A9A24" w14:textId="77777777" w:rsidTr="00B1212B">
        <w:tc>
          <w:tcPr>
            <w:tcW w:w="10538" w:type="dxa"/>
            <w:gridSpan w:val="27"/>
            <w:shd w:val="clear" w:color="auto" w:fill="auto"/>
          </w:tcPr>
          <w:p w14:paraId="173117CC" w14:textId="77777777" w:rsidR="003C2DD3" w:rsidRPr="00903F89" w:rsidRDefault="003C2DD3" w:rsidP="00903F89">
            <w:pPr>
              <w:ind w:left="34" w:right="54" w:hanging="8"/>
              <w:jc w:val="both"/>
              <w:rPr>
                <w:rFonts w:cs="Arial"/>
                <w:sz w:val="20"/>
                <w:szCs w:val="20"/>
              </w:rPr>
            </w:pPr>
          </w:p>
        </w:tc>
      </w:tr>
      <w:tr w:rsidR="007422AB" w:rsidRPr="00903F89" w14:paraId="03EA58D1" w14:textId="77777777" w:rsidTr="00B1212B">
        <w:tc>
          <w:tcPr>
            <w:tcW w:w="10538" w:type="dxa"/>
            <w:gridSpan w:val="27"/>
            <w:shd w:val="clear" w:color="auto" w:fill="auto"/>
          </w:tcPr>
          <w:p w14:paraId="401BC1E6" w14:textId="2EC7C40A" w:rsidR="003C2DD3" w:rsidRPr="00903F89" w:rsidRDefault="003C2DD3" w:rsidP="00903F89">
            <w:pPr>
              <w:ind w:left="34" w:right="54" w:hanging="8"/>
              <w:jc w:val="both"/>
              <w:rPr>
                <w:rFonts w:cs="Arial"/>
                <w:sz w:val="20"/>
                <w:szCs w:val="20"/>
              </w:rPr>
            </w:pPr>
            <w:r w:rsidRPr="00903F89">
              <w:rPr>
                <w:rFonts w:cs="Arial"/>
                <w:sz w:val="20"/>
                <w:szCs w:val="20"/>
              </w:rPr>
              <w:t>Πρόνοια περιλήφθηκε στο παρόν άρθρο για την κάλυψη της συνεισφοράς του Πανεπιστημίου στο Γενικό Σύστημα Υγείας για το μη μόνιμο διοικητικό προσωπικό του.</w:t>
            </w:r>
          </w:p>
        </w:tc>
      </w:tr>
      <w:tr w:rsidR="007422AB" w:rsidRPr="00903F89" w14:paraId="6B9503D3" w14:textId="77777777" w:rsidTr="00B1212B">
        <w:tc>
          <w:tcPr>
            <w:tcW w:w="10538" w:type="dxa"/>
            <w:gridSpan w:val="27"/>
            <w:shd w:val="clear" w:color="auto" w:fill="auto"/>
          </w:tcPr>
          <w:p w14:paraId="54841E8E" w14:textId="77777777" w:rsidR="003C2DD3" w:rsidRPr="00903F89" w:rsidRDefault="003C2DD3" w:rsidP="00903F89">
            <w:pPr>
              <w:ind w:left="34" w:right="54" w:hanging="8"/>
              <w:jc w:val="both"/>
              <w:rPr>
                <w:rFonts w:cs="Arial"/>
                <w:sz w:val="20"/>
                <w:szCs w:val="20"/>
              </w:rPr>
            </w:pPr>
          </w:p>
        </w:tc>
      </w:tr>
      <w:tr w:rsidR="007422AB" w:rsidRPr="00903F89" w14:paraId="18B8A5A3" w14:textId="77777777" w:rsidTr="00B1212B">
        <w:tc>
          <w:tcPr>
            <w:tcW w:w="10538" w:type="dxa"/>
            <w:gridSpan w:val="27"/>
            <w:shd w:val="clear" w:color="auto" w:fill="auto"/>
          </w:tcPr>
          <w:p w14:paraId="00DC265E" w14:textId="1367B331" w:rsidR="003C2DD3" w:rsidRPr="00903F89" w:rsidRDefault="003C2DD3" w:rsidP="00903F89">
            <w:pPr>
              <w:ind w:left="34" w:right="54" w:hanging="8"/>
              <w:jc w:val="both"/>
              <w:rPr>
                <w:rFonts w:cs="Arial"/>
                <w:sz w:val="20"/>
                <w:szCs w:val="20"/>
              </w:rPr>
            </w:pPr>
            <w:r w:rsidRPr="00903F89">
              <w:rPr>
                <w:rFonts w:cs="Arial"/>
                <w:sz w:val="20"/>
                <w:szCs w:val="20"/>
              </w:rPr>
              <w:t>H πρόνοια του Άρθρου 12-108 «Πρόσθετες Βοηθητικές Υπηρεσίες», έχει λάβει υπόψη τη θετική τοποθέτηση του Τμήματος Δημόσιας Διοίκησης και Προσωπικού (σε επιστολή του ημερ. 17/05/2021), για τη μισθολογική αναβάθμιση 12 Λογιστικών Λειτουργών (Εργοδοτουμένων Αορίστου Χρόνου) (Κλ. Α4 και Κλ. Α7</w:t>
            </w:r>
            <w:r w:rsidRPr="00903F89">
              <w:rPr>
                <w:rFonts w:cs="Arial"/>
                <w:sz w:val="20"/>
                <w:szCs w:val="20"/>
                <w:vertAlign w:val="superscript"/>
              </w:rPr>
              <w:t>(ΙΙ)</w:t>
            </w:r>
            <w:r w:rsidRPr="00903F89">
              <w:rPr>
                <w:rFonts w:cs="Arial"/>
                <w:sz w:val="20"/>
                <w:szCs w:val="20"/>
              </w:rPr>
              <w:t>) του ΠΚ, οι οποίοι κατέχουν Πανεπιστημιακό Τίτλο Σπουδών σε συναφές θέμα ή/και Επαγγελματικά Προσόντα, στις Κλ. Α8, Α10 και Α11, κατ’ αναλογία της εφαρμογής αντίστοιχων ρυθμίσεων στη Δημοσία Υπηρεσία.</w:t>
            </w:r>
          </w:p>
        </w:tc>
      </w:tr>
      <w:tr w:rsidR="007422AB" w:rsidRPr="00903F89" w14:paraId="7086CA75" w14:textId="77777777" w:rsidTr="00B1212B">
        <w:tc>
          <w:tcPr>
            <w:tcW w:w="10538" w:type="dxa"/>
            <w:gridSpan w:val="27"/>
            <w:shd w:val="clear" w:color="auto" w:fill="auto"/>
          </w:tcPr>
          <w:p w14:paraId="6196C815" w14:textId="77777777" w:rsidR="003C2DD3" w:rsidRPr="00903F89" w:rsidRDefault="003C2DD3" w:rsidP="00903F89">
            <w:pPr>
              <w:ind w:left="34" w:right="54" w:hanging="8"/>
              <w:jc w:val="both"/>
              <w:rPr>
                <w:rFonts w:cs="Arial"/>
                <w:sz w:val="20"/>
                <w:szCs w:val="20"/>
              </w:rPr>
            </w:pPr>
          </w:p>
        </w:tc>
      </w:tr>
      <w:tr w:rsidR="007422AB" w:rsidRPr="00903F89" w14:paraId="1109F9F6" w14:textId="77777777" w:rsidTr="00B1212B">
        <w:tc>
          <w:tcPr>
            <w:tcW w:w="10538" w:type="dxa"/>
            <w:gridSpan w:val="27"/>
            <w:shd w:val="clear" w:color="auto" w:fill="auto"/>
          </w:tcPr>
          <w:p w14:paraId="2BC07309" w14:textId="1BB309F0" w:rsidR="003C2DD3" w:rsidRPr="00224FDC" w:rsidRDefault="003C2DD3" w:rsidP="00903F89">
            <w:pPr>
              <w:ind w:left="34" w:right="54" w:hanging="8"/>
              <w:jc w:val="both"/>
              <w:rPr>
                <w:rFonts w:eastAsia="Arial" w:cs="Arial"/>
                <w:b/>
                <w:bCs/>
                <w:sz w:val="20"/>
                <w:szCs w:val="20"/>
                <w:lang w:val="en-GB"/>
              </w:rPr>
            </w:pPr>
            <w:r w:rsidRPr="00903F89">
              <w:rPr>
                <w:rFonts w:cs="Arial"/>
                <w:b/>
                <w:bCs/>
                <w:sz w:val="20"/>
                <w:szCs w:val="20"/>
                <w:u w:val="single"/>
              </w:rPr>
              <w:t xml:space="preserve">Άρθρο </w:t>
            </w:r>
            <w:r w:rsidRPr="00903F89">
              <w:rPr>
                <w:rFonts w:eastAsia="Arial" w:cs="Arial"/>
                <w:b/>
                <w:sz w:val="20"/>
                <w:szCs w:val="20"/>
                <w:u w:val="single"/>
              </w:rPr>
              <w:t>12-</w:t>
            </w:r>
            <w:r w:rsidRPr="00903F89">
              <w:rPr>
                <w:rFonts w:cs="Arial"/>
                <w:b/>
                <w:bCs/>
                <w:sz w:val="20"/>
                <w:szCs w:val="20"/>
                <w:u w:val="single"/>
              </w:rPr>
              <w:t>110 – Απασχόληση Φοιτητών – €81</w:t>
            </w:r>
            <w:r w:rsidRPr="00903F89">
              <w:rPr>
                <w:rFonts w:cs="Arial"/>
                <w:b/>
                <w:bCs/>
                <w:sz w:val="20"/>
                <w:szCs w:val="20"/>
                <w:u w:val="single"/>
                <w:lang w:val="en-GB"/>
              </w:rPr>
              <w:t>4</w:t>
            </w:r>
            <w:r w:rsidRPr="00903F89">
              <w:rPr>
                <w:rFonts w:cs="Arial"/>
                <w:b/>
                <w:bCs/>
                <w:sz w:val="20"/>
                <w:szCs w:val="20"/>
                <w:u w:val="single"/>
              </w:rPr>
              <w:t>.34</w:t>
            </w:r>
            <w:r w:rsidR="00224FDC">
              <w:rPr>
                <w:rFonts w:cs="Arial"/>
                <w:b/>
                <w:bCs/>
                <w:sz w:val="20"/>
                <w:szCs w:val="20"/>
                <w:u w:val="single"/>
                <w:lang w:val="en-GB"/>
              </w:rPr>
              <w:t>2</w:t>
            </w:r>
          </w:p>
        </w:tc>
      </w:tr>
      <w:tr w:rsidR="007422AB" w:rsidRPr="00903F89" w14:paraId="2C30A1BD" w14:textId="77777777" w:rsidTr="00B1212B">
        <w:tc>
          <w:tcPr>
            <w:tcW w:w="10538" w:type="dxa"/>
            <w:gridSpan w:val="27"/>
            <w:shd w:val="clear" w:color="auto" w:fill="auto"/>
          </w:tcPr>
          <w:p w14:paraId="0FAE48EF" w14:textId="77777777" w:rsidR="003C2DD3" w:rsidRPr="00903F89" w:rsidRDefault="003C2DD3" w:rsidP="00903F89">
            <w:pPr>
              <w:ind w:left="34" w:right="54" w:hanging="8"/>
              <w:jc w:val="both"/>
              <w:rPr>
                <w:rFonts w:cs="Arial"/>
                <w:b/>
                <w:sz w:val="20"/>
                <w:szCs w:val="20"/>
                <w:u w:val="single"/>
              </w:rPr>
            </w:pPr>
          </w:p>
        </w:tc>
      </w:tr>
      <w:tr w:rsidR="007422AB" w:rsidRPr="00903F89" w14:paraId="44BB3D51" w14:textId="77777777" w:rsidTr="00B1212B">
        <w:tc>
          <w:tcPr>
            <w:tcW w:w="10538" w:type="dxa"/>
            <w:gridSpan w:val="27"/>
            <w:shd w:val="clear" w:color="auto" w:fill="auto"/>
          </w:tcPr>
          <w:p w14:paraId="68EC1A56" w14:textId="544D95A4" w:rsidR="003C2DD3" w:rsidRPr="00903F89" w:rsidRDefault="003C2DD3" w:rsidP="00903F89">
            <w:pPr>
              <w:jc w:val="both"/>
              <w:rPr>
                <w:rFonts w:cs="Arial"/>
                <w:b/>
                <w:sz w:val="20"/>
                <w:szCs w:val="20"/>
              </w:rPr>
            </w:pPr>
            <w:r w:rsidRPr="00903F89">
              <w:rPr>
                <w:rFonts w:cs="Arial"/>
                <w:sz w:val="20"/>
                <w:szCs w:val="20"/>
              </w:rPr>
              <w:t>Η πρόνοια γίνεται για να καλύψει την ωρομίσθια</w:t>
            </w:r>
            <w:bookmarkStart w:id="25" w:name="_Hlk34922597"/>
            <w:r w:rsidRPr="00903F89">
              <w:rPr>
                <w:rFonts w:cs="Arial"/>
                <w:sz w:val="20"/>
                <w:szCs w:val="20"/>
              </w:rPr>
              <w:t xml:space="preserve"> απασχόληση φοιτητών σε διάφορες Υπηρεσίες, Τμήματα και εργαστήρια του Πανεπιστημίου Κύπρου</w:t>
            </w:r>
            <w:bookmarkEnd w:id="25"/>
            <w:r w:rsidRPr="00903F89">
              <w:rPr>
                <w:rFonts w:cs="Arial"/>
                <w:sz w:val="20"/>
                <w:szCs w:val="20"/>
              </w:rPr>
              <w:t>.  Η πρόνοια καλύπτει την ωριαία αποζημίωση των φοιτητών η οποία ανέρχεται στο ποσό των €5,50, τις συνεισφορές του Πανεπιστημίου Κύπρου στο αναλογικό σχέδιο Κοινωνικών Ασφαλίσεων, στο Ταμείο Πλεονάζοντος Προσωπικού, στο Ταμείο Ανάπτυξης Ανθρώπινού Δυναμικού, και στο Ταμείο Κοινωνικής Συνοχής, για τους ωρομίσθιους φοιτητές.</w:t>
            </w:r>
          </w:p>
        </w:tc>
      </w:tr>
      <w:tr w:rsidR="007422AB" w:rsidRPr="00903F89" w14:paraId="59D2659C" w14:textId="77777777" w:rsidTr="00B1212B">
        <w:tc>
          <w:tcPr>
            <w:tcW w:w="10538" w:type="dxa"/>
            <w:gridSpan w:val="27"/>
            <w:shd w:val="clear" w:color="auto" w:fill="auto"/>
          </w:tcPr>
          <w:p w14:paraId="130C4C28" w14:textId="77777777" w:rsidR="003C2DD3" w:rsidRPr="00903F89" w:rsidRDefault="003C2DD3" w:rsidP="00903F89">
            <w:pPr>
              <w:ind w:left="34" w:right="54" w:hanging="8"/>
              <w:jc w:val="both"/>
              <w:rPr>
                <w:rFonts w:cs="Arial"/>
                <w:sz w:val="20"/>
                <w:szCs w:val="20"/>
                <w:u w:val="single"/>
              </w:rPr>
            </w:pPr>
          </w:p>
        </w:tc>
      </w:tr>
      <w:tr w:rsidR="007422AB" w:rsidRPr="00903F89" w14:paraId="5F4A4653" w14:textId="77777777" w:rsidTr="00B1212B">
        <w:trPr>
          <w:trHeight w:val="2894"/>
        </w:trPr>
        <w:tc>
          <w:tcPr>
            <w:tcW w:w="10538" w:type="dxa"/>
            <w:gridSpan w:val="27"/>
            <w:shd w:val="clear" w:color="auto" w:fill="auto"/>
          </w:tcPr>
          <w:p w14:paraId="662119E1" w14:textId="47FCAD04" w:rsidR="003C2DD3" w:rsidRPr="00903F89" w:rsidRDefault="003C2DD3" w:rsidP="00903F89">
            <w:pPr>
              <w:ind w:left="34" w:right="54" w:hanging="8"/>
              <w:jc w:val="both"/>
              <w:rPr>
                <w:rFonts w:cs="Arial"/>
                <w:sz w:val="20"/>
                <w:szCs w:val="20"/>
              </w:rPr>
            </w:pPr>
            <w:r w:rsidRPr="00903F89">
              <w:rPr>
                <w:rFonts w:cs="Arial"/>
                <w:sz w:val="20"/>
                <w:szCs w:val="20"/>
              </w:rPr>
              <w:t>Το άρθρο αυτό καλύπτει και την απασχόληση των φοιτητών που συμμετέχουν στο πρόγραμμα τοποθέτησης φοιτητών για πρακτική άσκηση σε Διοικητικές Οντότητες του Πανεπιστημίου Κύπρου για υλοποίηση σημαντικών έργων σύντομης διάρκειας.  Η αμοιβή των φοιτητών που συμμετέχουν στο πρόγραμμα ανέρχεται στο ποσό των €550 για περίοδο 6 εβδομάδων (150 εργάσιμων ωρών), τις συνεισφορές του Πανεπιστημίου Κύπρου στο αναλογικό σχέδιο Κοινωνικών Ασφαλίσεων, στο Ταμείο Πλεονάζοντος Προσωπικού, στο Ταμείο Ανάπτυξης Ανθρώπινού Δυναμικού, και στο Ταμείο Κοινωνικής Συνοχής, για τους φοιτητές.</w:t>
            </w:r>
          </w:p>
          <w:p w14:paraId="43864EB1" w14:textId="77777777" w:rsidR="003C2DD3" w:rsidRPr="00903F89" w:rsidRDefault="003C2DD3" w:rsidP="00903F89">
            <w:pPr>
              <w:ind w:left="34" w:right="54" w:hanging="8"/>
              <w:jc w:val="both"/>
              <w:rPr>
                <w:rFonts w:cs="Arial"/>
                <w:sz w:val="20"/>
                <w:szCs w:val="20"/>
              </w:rPr>
            </w:pPr>
          </w:p>
          <w:p w14:paraId="01138FE6" w14:textId="25CD9CA7" w:rsidR="003C2DD3" w:rsidRPr="00903F89" w:rsidRDefault="003C2DD3" w:rsidP="00903F89">
            <w:pPr>
              <w:autoSpaceDE w:val="0"/>
              <w:autoSpaceDN w:val="0"/>
              <w:adjustRightInd w:val="0"/>
              <w:jc w:val="both"/>
              <w:rPr>
                <w:rFonts w:cs="Arial"/>
                <w:strike/>
                <w:sz w:val="20"/>
                <w:szCs w:val="20"/>
              </w:rPr>
            </w:pPr>
            <w:r w:rsidRPr="00903F89">
              <w:rPr>
                <w:rFonts w:cs="Arial"/>
                <w:sz w:val="20"/>
                <w:szCs w:val="20"/>
              </w:rPr>
              <w:t>Διευκρινίζεται επίσης ότι, η πρόνοια του άρθρου θα καλύψει και δαπάνες που αφορούν στο θεσμό του «Φοιτητή Πρεσβευτή» για τον οποίο, έχει καθοριστεί αντιμισθία προς τους φοιτητές που θα αναλαμβάνουν το ρόλο του ξεναγού ποσό ύψους €20 για ξενάγηση μέχρι τρεις (3) ώρες και επιπλέον €10/ώρα για κάθε επιπρόσθετη ώρα ξενάγησης.</w:t>
            </w:r>
          </w:p>
          <w:p w14:paraId="774FB5C1" w14:textId="77777777" w:rsidR="003C2DD3" w:rsidRPr="00903F89" w:rsidRDefault="003C2DD3" w:rsidP="00903F89">
            <w:pPr>
              <w:autoSpaceDE w:val="0"/>
              <w:autoSpaceDN w:val="0"/>
              <w:adjustRightInd w:val="0"/>
              <w:jc w:val="both"/>
              <w:rPr>
                <w:rFonts w:cs="Arial"/>
                <w:sz w:val="20"/>
                <w:szCs w:val="20"/>
              </w:rPr>
            </w:pPr>
          </w:p>
          <w:p w14:paraId="1637371E" w14:textId="4979D610" w:rsidR="003C2DD3" w:rsidRPr="00903F89" w:rsidRDefault="003C2DD3" w:rsidP="00903F89">
            <w:pPr>
              <w:autoSpaceDE w:val="0"/>
              <w:autoSpaceDN w:val="0"/>
              <w:adjustRightInd w:val="0"/>
              <w:jc w:val="both"/>
              <w:rPr>
                <w:rFonts w:eastAsia="Arial" w:cs="Arial"/>
                <w:sz w:val="20"/>
                <w:szCs w:val="20"/>
              </w:rPr>
            </w:pPr>
            <w:r w:rsidRPr="00903F89">
              <w:rPr>
                <w:rFonts w:cs="Arial"/>
                <w:sz w:val="20"/>
                <w:szCs w:val="20"/>
              </w:rPr>
              <w:t>Αύξηση της πρόνοιας του άρθρου για την κάλυψη δαπανών απασχόλησης φοιτητών (τόσο προπτυχιακών όσο και μεταπτυχιακών φοιτητών) στις οργανωτικές οντότητες του Πανεπιστημίου, όπως Κοσμητείες Σχολών και Τμήματα, για την παροχή πρόσθετης τεχνικής υποστήριξης εργαστηρίων ή άλλης εργασίας γραφειακής φύσεως, Βιβλιοθήκη, για την απρόσκοπτη εξυπηρέτηση των φοιτητών και της πανεπιστημιακής κοινότητας γενικότερα, καθώς και άλλες Διοικητικές Υπηρεσίες, για την παροχή υποστήριξης στο διοικητικό τους έργο.</w:t>
            </w:r>
          </w:p>
        </w:tc>
      </w:tr>
      <w:tr w:rsidR="007422AB" w:rsidRPr="00903F89" w14:paraId="0517D965" w14:textId="77777777" w:rsidTr="00B1212B">
        <w:tc>
          <w:tcPr>
            <w:tcW w:w="10538" w:type="dxa"/>
            <w:gridSpan w:val="27"/>
            <w:shd w:val="clear" w:color="auto" w:fill="auto"/>
          </w:tcPr>
          <w:p w14:paraId="1EB0F0F0" w14:textId="77777777" w:rsidR="003C2DD3" w:rsidRPr="00903F89" w:rsidRDefault="003C2DD3" w:rsidP="00903F89">
            <w:pPr>
              <w:ind w:left="34" w:right="54" w:hanging="8"/>
              <w:jc w:val="both"/>
              <w:rPr>
                <w:rFonts w:cs="Arial"/>
                <w:sz w:val="20"/>
                <w:szCs w:val="20"/>
              </w:rPr>
            </w:pPr>
          </w:p>
        </w:tc>
      </w:tr>
      <w:tr w:rsidR="007422AB" w:rsidRPr="00903F89" w14:paraId="557E95FB" w14:textId="77777777" w:rsidTr="00B1212B">
        <w:trPr>
          <w:trHeight w:val="80"/>
        </w:trPr>
        <w:tc>
          <w:tcPr>
            <w:tcW w:w="10538" w:type="dxa"/>
            <w:gridSpan w:val="27"/>
            <w:shd w:val="clear" w:color="auto" w:fill="auto"/>
          </w:tcPr>
          <w:p w14:paraId="56E620A1" w14:textId="5D793B49" w:rsidR="003C2DD3" w:rsidRPr="00903F89" w:rsidRDefault="003C2DD3" w:rsidP="00903F89">
            <w:pPr>
              <w:pStyle w:val="Heading8"/>
              <w:outlineLvl w:val="7"/>
              <w:rPr>
                <w:rFonts w:ascii="Arial" w:hAnsi="Arial" w:cs="Arial"/>
                <w:sz w:val="20"/>
                <w:szCs w:val="20"/>
              </w:rPr>
            </w:pPr>
            <w:bookmarkStart w:id="26" w:name="_Hlk83727483"/>
            <w:r w:rsidRPr="00903F89">
              <w:rPr>
                <w:rFonts w:ascii="Arial" w:eastAsia="Arial" w:hAnsi="Arial" w:cs="Arial"/>
                <w:sz w:val="20"/>
                <w:szCs w:val="20"/>
                <w:u w:val="single"/>
              </w:rPr>
              <w:t>Άρθρο 12-111 – Ωρομίσθια - Αχθοφόροι/Κλητήρες – €714.092</w:t>
            </w:r>
          </w:p>
        </w:tc>
      </w:tr>
      <w:tr w:rsidR="007422AB" w:rsidRPr="00903F89" w14:paraId="0DDD8233" w14:textId="77777777" w:rsidTr="00B1212B">
        <w:tc>
          <w:tcPr>
            <w:tcW w:w="4443" w:type="dxa"/>
            <w:gridSpan w:val="7"/>
          </w:tcPr>
          <w:p w14:paraId="3D009D2E" w14:textId="77777777" w:rsidR="003C2DD3" w:rsidRPr="00903F89" w:rsidRDefault="003C2DD3" w:rsidP="00903F89">
            <w:pPr>
              <w:pStyle w:val="Heading8"/>
              <w:outlineLvl w:val="7"/>
              <w:rPr>
                <w:rFonts w:ascii="Arial" w:hAnsi="Arial" w:cs="Arial"/>
                <w:sz w:val="20"/>
                <w:szCs w:val="20"/>
                <w:u w:val="single"/>
              </w:rPr>
            </w:pPr>
          </w:p>
        </w:tc>
        <w:tc>
          <w:tcPr>
            <w:tcW w:w="3633" w:type="dxa"/>
            <w:gridSpan w:val="15"/>
          </w:tcPr>
          <w:p w14:paraId="5B9AB292" w14:textId="77777777" w:rsidR="003C2DD3" w:rsidRPr="00903F89" w:rsidRDefault="003C2DD3" w:rsidP="00903F89">
            <w:pPr>
              <w:jc w:val="both"/>
              <w:rPr>
                <w:rFonts w:cs="Arial"/>
                <w:sz w:val="20"/>
                <w:szCs w:val="20"/>
              </w:rPr>
            </w:pPr>
          </w:p>
        </w:tc>
        <w:tc>
          <w:tcPr>
            <w:tcW w:w="2462" w:type="dxa"/>
            <w:gridSpan w:val="5"/>
          </w:tcPr>
          <w:p w14:paraId="58C1621B"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602F647E" w14:textId="77777777" w:rsidTr="00B1212B">
        <w:tc>
          <w:tcPr>
            <w:tcW w:w="10538" w:type="dxa"/>
            <w:gridSpan w:val="27"/>
          </w:tcPr>
          <w:p w14:paraId="05D89095" w14:textId="63B6938E"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Η πρόνοια προορίζεται να καλύψει τα ωρομίσθια για απασχόληση είκοσι εννιά (29) πληρωμένων θέσεων ωρομίσθιων – αχθοφόρων/κλητήρων όπως αυτά προκύπτουν από την εφαρμογή της συλλογικής σύμβασης (η οποία υπογράφηκε περί τα τέλη του 2011) που διέπει τη μισθοδοσία και τους όρους υπηρεσίας των ωρομίσθιων εργατών (Συντηρητών και Καθαριστριών) από 01/01/2011 μέχρι και 31/12/2012.  Από 01/01/2019 αναπροσαρμόστηκαν οι αποζημιώσεις των ωρομισθίων, σύμφωνα με την εγκύκλιο Μ.Ε.Ε. </w:t>
            </w:r>
            <w:r w:rsidR="00386F9E" w:rsidRPr="00903F89">
              <w:rPr>
                <w:rFonts w:ascii="Arial" w:eastAsia="Arial" w:hAnsi="Arial" w:cs="Arial"/>
                <w:b w:val="0"/>
                <w:sz w:val="20"/>
                <w:szCs w:val="20"/>
                <w:u w:val="none"/>
              </w:rPr>
              <w:t>Α</w:t>
            </w:r>
            <w:r w:rsidRPr="00903F89">
              <w:rPr>
                <w:rFonts w:ascii="Arial" w:eastAsia="Arial" w:hAnsi="Arial" w:cs="Arial"/>
                <w:b w:val="0"/>
                <w:sz w:val="20"/>
                <w:szCs w:val="20"/>
                <w:u w:val="none"/>
              </w:rPr>
              <w:t xml:space="preserve">ρ. 01/2019 του Υπουργείου Οικονομικών. </w:t>
            </w:r>
          </w:p>
        </w:tc>
      </w:tr>
      <w:tr w:rsidR="007422AB" w:rsidRPr="00903F89" w14:paraId="702AE4B5" w14:textId="77777777" w:rsidTr="00B1212B">
        <w:tc>
          <w:tcPr>
            <w:tcW w:w="4443" w:type="dxa"/>
            <w:gridSpan w:val="7"/>
          </w:tcPr>
          <w:p w14:paraId="152F10BD" w14:textId="77777777" w:rsidR="003C2DD3" w:rsidRPr="00903F89" w:rsidRDefault="003C2DD3" w:rsidP="00903F89">
            <w:pPr>
              <w:pStyle w:val="Heading8"/>
              <w:outlineLvl w:val="7"/>
              <w:rPr>
                <w:rFonts w:ascii="Arial" w:hAnsi="Arial" w:cs="Arial"/>
                <w:b w:val="0"/>
                <w:sz w:val="20"/>
                <w:szCs w:val="20"/>
                <w:u w:val="none"/>
              </w:rPr>
            </w:pPr>
          </w:p>
        </w:tc>
        <w:tc>
          <w:tcPr>
            <w:tcW w:w="3633" w:type="dxa"/>
            <w:gridSpan w:val="15"/>
          </w:tcPr>
          <w:p w14:paraId="49A1E9C4" w14:textId="77777777" w:rsidR="003C2DD3" w:rsidRPr="00903F89" w:rsidRDefault="003C2DD3" w:rsidP="00903F89">
            <w:pPr>
              <w:jc w:val="both"/>
              <w:rPr>
                <w:rFonts w:cs="Arial"/>
                <w:sz w:val="20"/>
                <w:szCs w:val="20"/>
              </w:rPr>
            </w:pPr>
          </w:p>
        </w:tc>
        <w:tc>
          <w:tcPr>
            <w:tcW w:w="2462" w:type="dxa"/>
            <w:gridSpan w:val="5"/>
          </w:tcPr>
          <w:p w14:paraId="6391EC80" w14:textId="77777777" w:rsidR="003C2DD3" w:rsidRPr="00903F89" w:rsidRDefault="003C2DD3" w:rsidP="00903F89">
            <w:pPr>
              <w:pStyle w:val="Heading8"/>
              <w:outlineLvl w:val="7"/>
              <w:rPr>
                <w:rFonts w:ascii="Arial" w:hAnsi="Arial" w:cs="Arial"/>
                <w:b w:val="0"/>
                <w:sz w:val="20"/>
                <w:szCs w:val="20"/>
                <w:u w:val="none"/>
              </w:rPr>
            </w:pPr>
          </w:p>
        </w:tc>
      </w:tr>
      <w:tr w:rsidR="00903F89" w:rsidRPr="00903F89" w14:paraId="4118A119" w14:textId="77777777" w:rsidTr="00B1212B">
        <w:tc>
          <w:tcPr>
            <w:tcW w:w="10538" w:type="dxa"/>
            <w:gridSpan w:val="27"/>
            <w:shd w:val="clear" w:color="auto" w:fill="auto"/>
          </w:tcPr>
          <w:p w14:paraId="3894D769" w14:textId="24A11953"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Συγκεκριμένα η πρόνοια αυτή συμπεριλαμβάνει τους βασικούς μισθούς, τις αυξήσεις μισθών, τα τιμαριθμικά επιδόματα, τους 13</w:t>
            </w:r>
            <w:r w:rsidRPr="00903F89">
              <w:rPr>
                <w:rFonts w:ascii="Arial" w:eastAsia="Arial" w:hAnsi="Arial" w:cs="Arial"/>
                <w:b w:val="0"/>
                <w:sz w:val="20"/>
                <w:szCs w:val="20"/>
                <w:u w:val="none"/>
                <w:vertAlign w:val="superscript"/>
              </w:rPr>
              <w:t>ους</w:t>
            </w:r>
            <w:r w:rsidRPr="00903F89">
              <w:rPr>
                <w:rFonts w:ascii="Arial" w:eastAsia="Arial" w:hAnsi="Arial" w:cs="Arial"/>
                <w:b w:val="0"/>
                <w:sz w:val="20"/>
                <w:szCs w:val="20"/>
                <w:u w:val="none"/>
              </w:rPr>
              <w:t xml:space="preserve"> μισθούς, τις συνεισφορές του Πανεπιστημίου Κύπρου στο αναλογικό σχέδιο Κοινωνικών Ασφαλίσεων, στο Ταμείο Πλεονάζοντος Προσωπικού, στο Ταμείο Ανάπτυξης Ανθρώπινου Δυναμικού, στο Ταμείο Κοινωνικής Συνοχής, </w:t>
            </w:r>
            <w:r w:rsidR="0047086D" w:rsidRPr="00903F89">
              <w:rPr>
                <w:rFonts w:ascii="Arial" w:eastAsia="Arial" w:hAnsi="Arial" w:cs="Arial"/>
                <w:b w:val="0"/>
                <w:sz w:val="20"/>
                <w:szCs w:val="20"/>
                <w:u w:val="none"/>
              </w:rPr>
              <w:t xml:space="preserve">στο Ταμείο Ευημερίας Συντεχνιών, </w:t>
            </w:r>
            <w:r w:rsidRPr="00903F89">
              <w:rPr>
                <w:rFonts w:ascii="Arial" w:eastAsia="Arial" w:hAnsi="Arial" w:cs="Arial"/>
                <w:b w:val="0"/>
                <w:sz w:val="20"/>
                <w:szCs w:val="20"/>
                <w:u w:val="none"/>
              </w:rPr>
              <w:t>στο Ταμείο Αδειών για τον πρώτο χρόνο απασχόλησης, των είκοσι εννιά (29) ατόμων ωρομίσθιων αχθοφόρων/ κλητήρων.</w:t>
            </w:r>
          </w:p>
        </w:tc>
      </w:tr>
      <w:tr w:rsidR="007422AB" w:rsidRPr="00903F89" w14:paraId="2CABEEF4" w14:textId="77777777" w:rsidTr="00B1212B">
        <w:tc>
          <w:tcPr>
            <w:tcW w:w="4443" w:type="dxa"/>
            <w:gridSpan w:val="7"/>
          </w:tcPr>
          <w:p w14:paraId="009F0220" w14:textId="77777777" w:rsidR="003C2DD3" w:rsidRPr="00903F89" w:rsidRDefault="003C2DD3" w:rsidP="00903F89">
            <w:pPr>
              <w:pStyle w:val="Heading8"/>
              <w:outlineLvl w:val="7"/>
              <w:rPr>
                <w:rFonts w:ascii="Arial" w:hAnsi="Arial" w:cs="Arial"/>
                <w:sz w:val="20"/>
                <w:szCs w:val="20"/>
                <w:u w:val="single"/>
              </w:rPr>
            </w:pPr>
          </w:p>
        </w:tc>
        <w:tc>
          <w:tcPr>
            <w:tcW w:w="3633" w:type="dxa"/>
            <w:gridSpan w:val="15"/>
          </w:tcPr>
          <w:p w14:paraId="6F2139B3" w14:textId="77777777" w:rsidR="003C2DD3" w:rsidRPr="00903F89" w:rsidRDefault="003C2DD3" w:rsidP="00903F89">
            <w:pPr>
              <w:jc w:val="both"/>
              <w:rPr>
                <w:rFonts w:cs="Arial"/>
                <w:sz w:val="20"/>
                <w:szCs w:val="20"/>
              </w:rPr>
            </w:pPr>
          </w:p>
        </w:tc>
        <w:tc>
          <w:tcPr>
            <w:tcW w:w="2462" w:type="dxa"/>
            <w:gridSpan w:val="5"/>
          </w:tcPr>
          <w:p w14:paraId="68AF6B15"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729D144F" w14:textId="77777777" w:rsidTr="00B1212B">
        <w:tc>
          <w:tcPr>
            <w:tcW w:w="10538" w:type="dxa"/>
            <w:gridSpan w:val="27"/>
            <w:shd w:val="clear" w:color="auto" w:fill="auto"/>
          </w:tcPr>
          <w:p w14:paraId="69581150" w14:textId="6215FC87" w:rsidR="003C2DD3" w:rsidRPr="00903F89" w:rsidRDefault="003C2DD3" w:rsidP="00903F89">
            <w:pPr>
              <w:pStyle w:val="Heading8"/>
              <w:outlineLvl w:val="7"/>
              <w:rPr>
                <w:rFonts w:ascii="Arial" w:hAnsi="Arial" w:cs="Arial"/>
                <w:b w:val="0"/>
                <w:sz w:val="20"/>
                <w:szCs w:val="20"/>
                <w:u w:val="none"/>
              </w:rPr>
            </w:pPr>
            <w:r w:rsidRPr="00903F89">
              <w:rPr>
                <w:rFonts w:ascii="Arial" w:hAnsi="Arial" w:cs="Arial"/>
                <w:b w:val="0"/>
                <w:sz w:val="20"/>
                <w:szCs w:val="20"/>
                <w:u w:val="none"/>
              </w:rPr>
              <w:t>Πρόνοια περιλήφθηκε στο παρόν άρθρο για την κάλυψη της συνεισφοράς του Πανεπιστημίου στο Γενικό Σύστημα Υγείας για το ωρομίσθιο προσωπικό του.</w:t>
            </w:r>
          </w:p>
        </w:tc>
      </w:tr>
      <w:bookmarkEnd w:id="26"/>
      <w:tr w:rsidR="007422AB" w:rsidRPr="00903F89" w14:paraId="0F928663" w14:textId="77777777" w:rsidTr="00B1212B">
        <w:tc>
          <w:tcPr>
            <w:tcW w:w="10538" w:type="dxa"/>
            <w:gridSpan w:val="27"/>
            <w:shd w:val="clear" w:color="auto" w:fill="auto"/>
          </w:tcPr>
          <w:p w14:paraId="5394D3E9" w14:textId="77777777" w:rsidR="003C2DD3" w:rsidRPr="00903F89" w:rsidRDefault="003C2DD3" w:rsidP="00903F89">
            <w:pPr>
              <w:jc w:val="both"/>
              <w:rPr>
                <w:rFonts w:cs="Arial"/>
                <w:sz w:val="20"/>
                <w:szCs w:val="20"/>
                <w:u w:color="000000"/>
              </w:rPr>
            </w:pPr>
          </w:p>
        </w:tc>
      </w:tr>
      <w:tr w:rsidR="007422AB" w:rsidRPr="00903F89" w14:paraId="640FD109" w14:textId="77777777" w:rsidTr="00B1212B">
        <w:tc>
          <w:tcPr>
            <w:tcW w:w="10538" w:type="dxa"/>
            <w:gridSpan w:val="27"/>
          </w:tcPr>
          <w:p w14:paraId="5AFAD6D0" w14:textId="0EE446C6" w:rsidR="003C2DD3" w:rsidRPr="00903F89" w:rsidRDefault="003C2DD3" w:rsidP="00903F89">
            <w:pPr>
              <w:pStyle w:val="Heading8"/>
              <w:outlineLvl w:val="7"/>
              <w:rPr>
                <w:rFonts w:ascii="Arial" w:eastAsia="Arial" w:hAnsi="Arial" w:cs="Arial"/>
                <w:sz w:val="20"/>
                <w:szCs w:val="20"/>
                <w:u w:val="single"/>
              </w:rPr>
            </w:pPr>
            <w:r w:rsidRPr="00903F89">
              <w:rPr>
                <w:rFonts w:ascii="Arial" w:eastAsia="Arial" w:hAnsi="Arial" w:cs="Arial"/>
                <w:sz w:val="20"/>
                <w:szCs w:val="20"/>
                <w:u w:val="single"/>
              </w:rPr>
              <w:t>Άρθρο 12-122 – Επιδόματα (π.χ. Βάρδιας, Επιφυλακής, Τηλεφώνων, κ.ά.) – €34.000</w:t>
            </w:r>
          </w:p>
        </w:tc>
      </w:tr>
      <w:tr w:rsidR="007422AB" w:rsidRPr="00903F89" w14:paraId="278A63F2" w14:textId="77777777" w:rsidTr="00B1212B">
        <w:tc>
          <w:tcPr>
            <w:tcW w:w="3563" w:type="dxa"/>
            <w:gridSpan w:val="2"/>
          </w:tcPr>
          <w:p w14:paraId="4DD3408D" w14:textId="77777777" w:rsidR="003C2DD3" w:rsidRPr="00903F89" w:rsidRDefault="003C2DD3" w:rsidP="00903F89">
            <w:pPr>
              <w:pStyle w:val="Heading8"/>
              <w:outlineLvl w:val="7"/>
              <w:rPr>
                <w:rFonts w:ascii="Arial" w:hAnsi="Arial" w:cs="Arial"/>
                <w:sz w:val="20"/>
                <w:szCs w:val="20"/>
                <w:u w:val="single"/>
              </w:rPr>
            </w:pPr>
          </w:p>
        </w:tc>
        <w:tc>
          <w:tcPr>
            <w:tcW w:w="4300" w:type="dxa"/>
            <w:gridSpan w:val="19"/>
          </w:tcPr>
          <w:p w14:paraId="3C604BD9" w14:textId="77777777" w:rsidR="003C2DD3" w:rsidRPr="00903F89" w:rsidRDefault="003C2DD3" w:rsidP="00903F89">
            <w:pPr>
              <w:jc w:val="both"/>
              <w:rPr>
                <w:rFonts w:cs="Arial"/>
                <w:sz w:val="20"/>
                <w:szCs w:val="20"/>
              </w:rPr>
            </w:pPr>
          </w:p>
        </w:tc>
        <w:tc>
          <w:tcPr>
            <w:tcW w:w="2675" w:type="dxa"/>
            <w:gridSpan w:val="6"/>
          </w:tcPr>
          <w:p w14:paraId="554A8984"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5964696A" w14:textId="77777777" w:rsidTr="00B1212B">
        <w:tc>
          <w:tcPr>
            <w:tcW w:w="10538" w:type="dxa"/>
            <w:gridSpan w:val="27"/>
          </w:tcPr>
          <w:p w14:paraId="03291056" w14:textId="0D4588C1"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Το πόσο προορίζεται να καλύψει την καταβολή επιδομάτων που παραχωρούνται σε μόνιμα και μη μόνιμα μέλη Διοικητικού και Άλλου Προσωπικού του Πανεπιστημίου Κύπρου και αφορά στην καταβολή επιδόματος επιφυλακής, σε μέλη του προσωπικού που ορίζονται για την ασφάλεια των χώρων και εγκαταστάσεων, πληροφορικών συστημάτων ως επίσης τεχνικής και μηχανικής υποστήριξης, επιδόματος τηλεφώνου για μέλη που χρησιμοποιούν το προσωπικό τους κινητό τηλέφωνο για υπηρεσιακή χρήση, επιδόματος βάρδιας σε άτομα που παρέχουν υπηρεσίες με το σύστημα βάρδιας, επιδόματος </w:t>
            </w:r>
            <w:proofErr w:type="spellStart"/>
            <w:r w:rsidRPr="00903F89">
              <w:rPr>
                <w:rFonts w:ascii="Arial" w:eastAsia="Arial" w:hAnsi="Arial" w:cs="Arial"/>
                <w:b w:val="0"/>
                <w:sz w:val="20"/>
                <w:szCs w:val="20"/>
                <w:u w:val="none"/>
              </w:rPr>
              <w:t>ευρυζωνικής</w:t>
            </w:r>
            <w:proofErr w:type="spellEnd"/>
            <w:r w:rsidRPr="00903F89">
              <w:rPr>
                <w:rFonts w:ascii="Arial" w:eastAsia="Arial" w:hAnsi="Arial" w:cs="Arial"/>
                <w:b w:val="0"/>
                <w:sz w:val="20"/>
                <w:szCs w:val="20"/>
                <w:u w:val="none"/>
              </w:rPr>
              <w:t xml:space="preserve"> σύνδεσης (ADSL) σε μέλη που παρέχουν εξ΄ αποστάσεως υποστήριξη σε λειτουργικά συστήματα του Πανεπιστημίου, και άλλα, και στα οποία έχει συνυπολογιστεί μείωση όπως αυτά ορίζονται στη σημείωση 20 του Πρώτου Πίνακα.</w:t>
            </w:r>
          </w:p>
        </w:tc>
      </w:tr>
      <w:tr w:rsidR="007422AB" w:rsidRPr="00903F89" w14:paraId="20AF78A3" w14:textId="77777777" w:rsidTr="00B1212B">
        <w:tc>
          <w:tcPr>
            <w:tcW w:w="3563" w:type="dxa"/>
            <w:gridSpan w:val="2"/>
          </w:tcPr>
          <w:p w14:paraId="7C2CEDDC" w14:textId="77777777" w:rsidR="003C2DD3" w:rsidRPr="00903F89" w:rsidRDefault="003C2DD3" w:rsidP="00903F89">
            <w:pPr>
              <w:pStyle w:val="Heading8"/>
              <w:outlineLvl w:val="7"/>
              <w:rPr>
                <w:rFonts w:ascii="Arial" w:hAnsi="Arial" w:cs="Arial"/>
                <w:sz w:val="20"/>
                <w:szCs w:val="20"/>
                <w:u w:val="single"/>
              </w:rPr>
            </w:pPr>
          </w:p>
        </w:tc>
        <w:tc>
          <w:tcPr>
            <w:tcW w:w="4300" w:type="dxa"/>
            <w:gridSpan w:val="19"/>
          </w:tcPr>
          <w:p w14:paraId="62AE0668" w14:textId="77777777" w:rsidR="003C2DD3" w:rsidRPr="00903F89" w:rsidRDefault="003C2DD3" w:rsidP="00903F89">
            <w:pPr>
              <w:jc w:val="both"/>
              <w:rPr>
                <w:rFonts w:cs="Arial"/>
                <w:sz w:val="20"/>
                <w:szCs w:val="20"/>
              </w:rPr>
            </w:pPr>
          </w:p>
        </w:tc>
        <w:tc>
          <w:tcPr>
            <w:tcW w:w="2675" w:type="dxa"/>
            <w:gridSpan w:val="6"/>
          </w:tcPr>
          <w:p w14:paraId="4938BCCA"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397BDC0F" w14:textId="77777777" w:rsidTr="00B1212B">
        <w:tc>
          <w:tcPr>
            <w:tcW w:w="10538" w:type="dxa"/>
            <w:gridSpan w:val="27"/>
            <w:shd w:val="clear" w:color="auto" w:fill="auto"/>
          </w:tcPr>
          <w:p w14:paraId="06B3C43C" w14:textId="667BD8F1" w:rsidR="003C2DD3" w:rsidRPr="00903F89" w:rsidRDefault="003C2DD3" w:rsidP="00903F89">
            <w:pPr>
              <w:pStyle w:val="Heading8"/>
              <w:outlineLvl w:val="7"/>
              <w:rPr>
                <w:rFonts w:ascii="Arial" w:eastAsia="Arial" w:hAnsi="Arial" w:cs="Arial"/>
                <w:sz w:val="20"/>
                <w:szCs w:val="20"/>
                <w:u w:val="single"/>
              </w:rPr>
            </w:pPr>
            <w:r w:rsidRPr="00903F89">
              <w:rPr>
                <w:rFonts w:ascii="Arial" w:eastAsia="Arial" w:hAnsi="Arial" w:cs="Arial"/>
                <w:sz w:val="20"/>
                <w:szCs w:val="20"/>
                <w:u w:val="single"/>
              </w:rPr>
              <w:t>Άρθρο 12-123 – Επιδόματα Διευθυντή Διοίκησης και Οικονομικών (π.χ. Φιλοξενίας, Οδοιπορικών, κ.ά.) – €5.211</w:t>
            </w:r>
          </w:p>
        </w:tc>
      </w:tr>
      <w:tr w:rsidR="007422AB" w:rsidRPr="00903F89" w14:paraId="14322C76" w14:textId="77777777" w:rsidTr="00B1212B">
        <w:tc>
          <w:tcPr>
            <w:tcW w:w="3786" w:type="dxa"/>
            <w:gridSpan w:val="3"/>
            <w:shd w:val="clear" w:color="auto" w:fill="auto"/>
          </w:tcPr>
          <w:p w14:paraId="5FB5F002" w14:textId="77777777" w:rsidR="003C2DD3" w:rsidRPr="00903F89" w:rsidRDefault="003C2DD3" w:rsidP="00903F89">
            <w:pPr>
              <w:pStyle w:val="Heading8"/>
              <w:outlineLvl w:val="7"/>
              <w:rPr>
                <w:rFonts w:ascii="Arial" w:hAnsi="Arial" w:cs="Arial"/>
                <w:sz w:val="20"/>
                <w:szCs w:val="20"/>
                <w:u w:val="single"/>
              </w:rPr>
            </w:pPr>
          </w:p>
        </w:tc>
        <w:tc>
          <w:tcPr>
            <w:tcW w:w="3859" w:type="dxa"/>
            <w:gridSpan w:val="16"/>
            <w:shd w:val="clear" w:color="auto" w:fill="auto"/>
          </w:tcPr>
          <w:p w14:paraId="61C55E48" w14:textId="77777777" w:rsidR="003C2DD3" w:rsidRPr="00903F89" w:rsidRDefault="003C2DD3" w:rsidP="00903F89">
            <w:pPr>
              <w:jc w:val="both"/>
              <w:rPr>
                <w:rFonts w:cs="Arial"/>
                <w:sz w:val="20"/>
                <w:szCs w:val="20"/>
              </w:rPr>
            </w:pPr>
          </w:p>
        </w:tc>
        <w:tc>
          <w:tcPr>
            <w:tcW w:w="2893" w:type="dxa"/>
            <w:gridSpan w:val="8"/>
            <w:shd w:val="clear" w:color="auto" w:fill="auto"/>
          </w:tcPr>
          <w:p w14:paraId="6BBEDD06"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359AF916" w14:textId="77777777" w:rsidTr="00B1212B">
        <w:tc>
          <w:tcPr>
            <w:tcW w:w="10538" w:type="dxa"/>
            <w:gridSpan w:val="27"/>
            <w:shd w:val="clear" w:color="auto" w:fill="auto"/>
          </w:tcPr>
          <w:p w14:paraId="63E07951" w14:textId="1F8E42FF"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Παρέχονται επιδόματα Φιλοξενίας (€4.200), Οδοιπορικών (€1.230) και Τηλεφώνου (€700) στο Διευθυντή Διοίκησης και Οικονομικών του Πανεπιστημίου μειωμένα κατά 15%.</w:t>
            </w:r>
          </w:p>
        </w:tc>
      </w:tr>
      <w:tr w:rsidR="007422AB" w:rsidRPr="00903F89" w14:paraId="5285BB75" w14:textId="77777777" w:rsidTr="00B1212B">
        <w:tc>
          <w:tcPr>
            <w:tcW w:w="10538" w:type="dxa"/>
            <w:gridSpan w:val="27"/>
            <w:shd w:val="clear" w:color="auto" w:fill="auto"/>
          </w:tcPr>
          <w:p w14:paraId="460F42E2" w14:textId="77777777" w:rsidR="003C2DD3" w:rsidRPr="00903F89" w:rsidRDefault="003C2DD3" w:rsidP="00903F89">
            <w:pPr>
              <w:pStyle w:val="Heading8"/>
              <w:outlineLvl w:val="7"/>
              <w:rPr>
                <w:rFonts w:ascii="Arial" w:eastAsia="Arial" w:hAnsi="Arial" w:cs="Arial"/>
                <w:b w:val="0"/>
                <w:sz w:val="20"/>
                <w:szCs w:val="20"/>
                <w:u w:val="none"/>
              </w:rPr>
            </w:pPr>
          </w:p>
        </w:tc>
      </w:tr>
      <w:tr w:rsidR="007422AB" w:rsidRPr="00903F89" w14:paraId="42D731E6" w14:textId="77777777" w:rsidTr="00B1212B">
        <w:tc>
          <w:tcPr>
            <w:tcW w:w="10538" w:type="dxa"/>
            <w:gridSpan w:val="27"/>
            <w:shd w:val="clear" w:color="auto" w:fill="auto"/>
          </w:tcPr>
          <w:p w14:paraId="0A2EDCBF" w14:textId="35872E89" w:rsidR="003C2DD3" w:rsidRPr="00903F89" w:rsidRDefault="003C2DD3" w:rsidP="00903F89">
            <w:pPr>
              <w:pStyle w:val="Heading8"/>
              <w:outlineLvl w:val="7"/>
              <w:rPr>
                <w:rFonts w:ascii="Arial" w:eastAsia="Arial" w:hAnsi="Arial" w:cs="Arial"/>
                <w:b w:val="0"/>
                <w:sz w:val="20"/>
                <w:szCs w:val="20"/>
                <w:u w:val="none"/>
                <w:lang w:val="en-GB"/>
              </w:rPr>
            </w:pPr>
            <w:r w:rsidRPr="00903F89">
              <w:rPr>
                <w:rFonts w:ascii="Arial" w:eastAsia="Arial" w:hAnsi="Arial" w:cs="Arial"/>
                <w:sz w:val="20"/>
                <w:szCs w:val="20"/>
                <w:u w:val="single"/>
              </w:rPr>
              <w:t>Άρθρο 12-124 – Έξοδα Φιλοξενίας</w:t>
            </w:r>
            <w:r w:rsidRPr="00903F89">
              <w:rPr>
                <w:rFonts w:ascii="Arial" w:eastAsia="Arial" w:hAnsi="Arial" w:cs="Arial"/>
                <w:sz w:val="20"/>
                <w:szCs w:val="20"/>
                <w:u w:val="single"/>
                <w:lang w:val="en-GB"/>
              </w:rPr>
              <w:t xml:space="preserve"> </w:t>
            </w:r>
            <w:r w:rsidRPr="00903F89">
              <w:rPr>
                <w:rFonts w:ascii="Arial" w:eastAsia="Arial" w:hAnsi="Arial" w:cs="Arial"/>
                <w:sz w:val="20"/>
                <w:szCs w:val="20"/>
                <w:u w:val="single"/>
              </w:rPr>
              <w:t>– €</w:t>
            </w:r>
            <w:r w:rsidRPr="00903F89">
              <w:rPr>
                <w:rFonts w:ascii="Arial" w:eastAsia="Arial" w:hAnsi="Arial" w:cs="Arial"/>
                <w:sz w:val="20"/>
                <w:szCs w:val="20"/>
                <w:u w:val="single"/>
                <w:lang w:val="en-GB"/>
              </w:rPr>
              <w:t>0</w:t>
            </w:r>
          </w:p>
        </w:tc>
      </w:tr>
      <w:tr w:rsidR="007422AB" w:rsidRPr="00903F89" w14:paraId="70B06048" w14:textId="77777777" w:rsidTr="00B1212B">
        <w:tc>
          <w:tcPr>
            <w:tcW w:w="10538" w:type="dxa"/>
            <w:gridSpan w:val="27"/>
            <w:shd w:val="clear" w:color="auto" w:fill="auto"/>
          </w:tcPr>
          <w:p w14:paraId="0C995075" w14:textId="77777777" w:rsidR="003C2DD3" w:rsidRPr="00903F89" w:rsidRDefault="003C2DD3" w:rsidP="00903F89">
            <w:pPr>
              <w:pStyle w:val="Heading8"/>
              <w:outlineLvl w:val="7"/>
              <w:rPr>
                <w:rFonts w:ascii="Arial" w:eastAsia="Arial" w:hAnsi="Arial" w:cs="Arial"/>
                <w:sz w:val="20"/>
                <w:szCs w:val="20"/>
                <w:u w:val="single"/>
              </w:rPr>
            </w:pPr>
          </w:p>
        </w:tc>
      </w:tr>
      <w:tr w:rsidR="007422AB" w:rsidRPr="00903F89" w14:paraId="7FAA65D6" w14:textId="77777777" w:rsidTr="00B1212B">
        <w:tc>
          <w:tcPr>
            <w:tcW w:w="10538" w:type="dxa"/>
            <w:gridSpan w:val="27"/>
            <w:shd w:val="clear" w:color="auto" w:fill="auto"/>
          </w:tcPr>
          <w:p w14:paraId="110B7594" w14:textId="45411252"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Κατάργηση </w:t>
            </w:r>
            <w:r w:rsidR="00E2750D">
              <w:rPr>
                <w:rFonts w:ascii="Arial" w:eastAsia="Arial" w:hAnsi="Arial" w:cs="Arial"/>
                <w:b w:val="0"/>
                <w:sz w:val="20"/>
                <w:szCs w:val="20"/>
                <w:u w:val="none"/>
              </w:rPr>
              <w:t>ά</w:t>
            </w:r>
            <w:r w:rsidRPr="00903F89">
              <w:rPr>
                <w:rFonts w:ascii="Arial" w:eastAsia="Arial" w:hAnsi="Arial" w:cs="Arial"/>
                <w:b w:val="0"/>
                <w:sz w:val="20"/>
                <w:szCs w:val="20"/>
                <w:u w:val="none"/>
              </w:rPr>
              <w:t>ρθρου. Οι δαπάνες για το 2022 εμφανίζονται στο νέο Άρθρο 306</w:t>
            </w:r>
            <w:r w:rsidR="00E2750D">
              <w:rPr>
                <w:rFonts w:ascii="Arial" w:eastAsia="Arial" w:hAnsi="Arial" w:cs="Arial"/>
                <w:b w:val="0"/>
                <w:sz w:val="20"/>
                <w:szCs w:val="20"/>
                <w:u w:val="none"/>
              </w:rPr>
              <w:t>,</w:t>
            </w:r>
            <w:r w:rsidRPr="00903F89">
              <w:rPr>
                <w:rFonts w:ascii="Arial" w:eastAsia="Arial" w:hAnsi="Arial" w:cs="Arial"/>
                <w:b w:val="0"/>
                <w:sz w:val="20"/>
                <w:szCs w:val="20"/>
                <w:u w:val="none"/>
              </w:rPr>
              <w:t xml:space="preserve"> με τίτλο «Έξοδα Φιλοξενίας Διοικητικών Υπηρεσιών» στην Ομάδα/ Υποομάδα 300/301.</w:t>
            </w:r>
          </w:p>
        </w:tc>
      </w:tr>
      <w:tr w:rsidR="007422AB" w:rsidRPr="00903F89" w14:paraId="3F12EAD7" w14:textId="77777777" w:rsidTr="00B1212B">
        <w:tc>
          <w:tcPr>
            <w:tcW w:w="10538" w:type="dxa"/>
            <w:gridSpan w:val="27"/>
            <w:shd w:val="clear" w:color="auto" w:fill="auto"/>
          </w:tcPr>
          <w:p w14:paraId="6C8B824E" w14:textId="77777777" w:rsidR="003C2DD3" w:rsidRPr="00903F89" w:rsidRDefault="003C2DD3" w:rsidP="00903F89">
            <w:pPr>
              <w:pStyle w:val="Heading8"/>
              <w:outlineLvl w:val="7"/>
              <w:rPr>
                <w:rFonts w:ascii="Arial" w:eastAsia="Arial" w:hAnsi="Arial" w:cs="Arial"/>
                <w:b w:val="0"/>
                <w:sz w:val="20"/>
                <w:szCs w:val="20"/>
                <w:u w:val="none"/>
              </w:rPr>
            </w:pPr>
          </w:p>
        </w:tc>
      </w:tr>
      <w:tr w:rsidR="007422AB" w:rsidRPr="00903F89" w14:paraId="7E8E5012" w14:textId="77777777" w:rsidTr="00B1212B">
        <w:tc>
          <w:tcPr>
            <w:tcW w:w="10538" w:type="dxa"/>
            <w:gridSpan w:val="27"/>
          </w:tcPr>
          <w:p w14:paraId="772FC465" w14:textId="52A24EB1" w:rsidR="003C2DD3" w:rsidRPr="00903F89" w:rsidRDefault="003C2DD3" w:rsidP="00903F89">
            <w:pPr>
              <w:pStyle w:val="Heading8"/>
              <w:outlineLvl w:val="7"/>
              <w:rPr>
                <w:rFonts w:ascii="Arial" w:eastAsia="Arial" w:hAnsi="Arial" w:cs="Arial"/>
                <w:sz w:val="20"/>
                <w:szCs w:val="20"/>
                <w:u w:val="single"/>
              </w:rPr>
            </w:pPr>
            <w:r w:rsidRPr="00903F89">
              <w:rPr>
                <w:rFonts w:ascii="Arial" w:eastAsia="Arial" w:hAnsi="Arial" w:cs="Arial"/>
                <w:sz w:val="20"/>
                <w:szCs w:val="20"/>
                <w:u w:val="single"/>
              </w:rPr>
              <w:t>Άρθρο 12-125 – Δικαιώματα Υπερωριών– €60.880</w:t>
            </w:r>
          </w:p>
        </w:tc>
      </w:tr>
      <w:tr w:rsidR="007422AB" w:rsidRPr="00903F89" w14:paraId="649133B3" w14:textId="77777777" w:rsidTr="00B1212B">
        <w:tc>
          <w:tcPr>
            <w:tcW w:w="10538" w:type="dxa"/>
            <w:gridSpan w:val="27"/>
          </w:tcPr>
          <w:p w14:paraId="34A2CCA2"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11B93DF8" w14:textId="77777777" w:rsidTr="00B1212B">
        <w:tc>
          <w:tcPr>
            <w:tcW w:w="10538" w:type="dxa"/>
            <w:gridSpan w:val="27"/>
          </w:tcPr>
          <w:p w14:paraId="3179337E" w14:textId="3864F949"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Η πρόνοια του άρθρου προορίζεται να καλύψει τις χρηματικές αποζημιώσεις της υπερωριακής απασχόλησης του Διοικητικού Προσωπικού, σύμφωνα με τις πρόνοιες της νομοθεσίας (Νόμοι, Κανονισμοί, Κανόνες, Εγκύκλιοι), ρυθμίσεις ή πρακτικές που ρυθμίζουν θέματα υπερωριακής απασχόλησης.</w:t>
            </w:r>
          </w:p>
        </w:tc>
      </w:tr>
      <w:tr w:rsidR="007422AB" w:rsidRPr="00903F89" w14:paraId="618CB2FF" w14:textId="77777777" w:rsidTr="00B1212B">
        <w:tc>
          <w:tcPr>
            <w:tcW w:w="4594" w:type="dxa"/>
            <w:gridSpan w:val="8"/>
          </w:tcPr>
          <w:p w14:paraId="0A8B1ABB" w14:textId="77777777" w:rsidR="003C2DD3" w:rsidRPr="00903F89" w:rsidRDefault="003C2DD3" w:rsidP="00903F89">
            <w:pPr>
              <w:pStyle w:val="Heading8"/>
              <w:outlineLvl w:val="7"/>
              <w:rPr>
                <w:rFonts w:ascii="Arial" w:hAnsi="Arial" w:cs="Arial"/>
                <w:b w:val="0"/>
                <w:sz w:val="20"/>
                <w:szCs w:val="20"/>
                <w:u w:val="none"/>
              </w:rPr>
            </w:pPr>
          </w:p>
        </w:tc>
        <w:tc>
          <w:tcPr>
            <w:tcW w:w="3124" w:type="dxa"/>
            <w:gridSpan w:val="12"/>
          </w:tcPr>
          <w:p w14:paraId="158D1DED" w14:textId="77777777" w:rsidR="003C2DD3" w:rsidRPr="00903F89" w:rsidRDefault="003C2DD3" w:rsidP="00903F89">
            <w:pPr>
              <w:jc w:val="both"/>
              <w:rPr>
                <w:rFonts w:cs="Arial"/>
                <w:sz w:val="20"/>
                <w:szCs w:val="20"/>
              </w:rPr>
            </w:pPr>
          </w:p>
        </w:tc>
        <w:tc>
          <w:tcPr>
            <w:tcW w:w="2820" w:type="dxa"/>
            <w:gridSpan w:val="7"/>
          </w:tcPr>
          <w:p w14:paraId="61C1C418"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55949000" w14:textId="77777777" w:rsidTr="00B1212B">
        <w:tc>
          <w:tcPr>
            <w:tcW w:w="10538" w:type="dxa"/>
            <w:gridSpan w:val="27"/>
          </w:tcPr>
          <w:p w14:paraId="6DBBB827" w14:textId="14939D3F" w:rsidR="003C2DD3" w:rsidRPr="00903F89" w:rsidRDefault="003C2DD3" w:rsidP="00903F89">
            <w:pPr>
              <w:pStyle w:val="Heading8"/>
              <w:outlineLvl w:val="7"/>
              <w:rPr>
                <w:rFonts w:ascii="Arial" w:eastAsia="Arial" w:hAnsi="Arial" w:cs="Arial"/>
                <w:b w:val="0"/>
                <w:sz w:val="20"/>
                <w:szCs w:val="20"/>
                <w:u w:val="none"/>
              </w:rPr>
            </w:pPr>
            <w:r w:rsidRPr="00903F89">
              <w:rPr>
                <w:rFonts w:ascii="Arial" w:hAnsi="Arial" w:cs="Arial"/>
                <w:b w:val="0"/>
                <w:sz w:val="20"/>
                <w:szCs w:val="20"/>
                <w:u w:val="none"/>
              </w:rPr>
              <w:t xml:space="preserve">Η παροχή υποστήριξης σε εκδηλώσεις του Πανεπιστημίου από το Ωρομίσθιο Προσωπικό θεωρείται υπερωριακή απασχόληση και αμείβεται με χρηματική αποζημίωση.  </w:t>
            </w:r>
          </w:p>
        </w:tc>
      </w:tr>
      <w:tr w:rsidR="007422AB" w:rsidRPr="00903F89" w14:paraId="48EF660E" w14:textId="77777777" w:rsidTr="00B1212B">
        <w:tc>
          <w:tcPr>
            <w:tcW w:w="4594" w:type="dxa"/>
            <w:gridSpan w:val="8"/>
          </w:tcPr>
          <w:p w14:paraId="3F653621" w14:textId="77777777" w:rsidR="003C2DD3" w:rsidRPr="00903F89" w:rsidRDefault="003C2DD3" w:rsidP="00903F89">
            <w:pPr>
              <w:pStyle w:val="Heading8"/>
              <w:outlineLvl w:val="7"/>
              <w:rPr>
                <w:rFonts w:ascii="Arial" w:hAnsi="Arial" w:cs="Arial"/>
                <w:b w:val="0"/>
                <w:sz w:val="20"/>
                <w:szCs w:val="20"/>
                <w:u w:val="none"/>
              </w:rPr>
            </w:pPr>
          </w:p>
        </w:tc>
        <w:tc>
          <w:tcPr>
            <w:tcW w:w="3124" w:type="dxa"/>
            <w:gridSpan w:val="12"/>
          </w:tcPr>
          <w:p w14:paraId="28DA5992" w14:textId="77777777" w:rsidR="003C2DD3" w:rsidRPr="00903F89" w:rsidRDefault="003C2DD3" w:rsidP="00903F89">
            <w:pPr>
              <w:jc w:val="both"/>
              <w:rPr>
                <w:rFonts w:cs="Arial"/>
                <w:sz w:val="20"/>
                <w:szCs w:val="20"/>
              </w:rPr>
            </w:pPr>
          </w:p>
        </w:tc>
        <w:tc>
          <w:tcPr>
            <w:tcW w:w="2820" w:type="dxa"/>
            <w:gridSpan w:val="7"/>
          </w:tcPr>
          <w:p w14:paraId="5BAAF7C0"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416271B4" w14:textId="77777777" w:rsidTr="00B1212B">
        <w:tc>
          <w:tcPr>
            <w:tcW w:w="10538" w:type="dxa"/>
            <w:gridSpan w:val="27"/>
          </w:tcPr>
          <w:p w14:paraId="232AF0BE" w14:textId="40178D59"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Νοείται ότι καταβολή χρηματικής αποζημίωσης υπερωριακής απασχόλησης θα πραγματοποιείται νοουμένου ότι υπάρχουν οι απαιτούμενες πιστώσεις.  </w:t>
            </w:r>
          </w:p>
        </w:tc>
      </w:tr>
      <w:tr w:rsidR="007422AB" w:rsidRPr="00903F89" w14:paraId="38A768A0" w14:textId="77777777" w:rsidTr="00B1212B">
        <w:tc>
          <w:tcPr>
            <w:tcW w:w="4594" w:type="dxa"/>
            <w:gridSpan w:val="8"/>
          </w:tcPr>
          <w:p w14:paraId="78B0E792" w14:textId="77777777" w:rsidR="003C2DD3" w:rsidRPr="00903F89" w:rsidRDefault="003C2DD3" w:rsidP="00903F89">
            <w:pPr>
              <w:pStyle w:val="Heading8"/>
              <w:outlineLvl w:val="7"/>
              <w:rPr>
                <w:rFonts w:ascii="Arial" w:hAnsi="Arial" w:cs="Arial"/>
                <w:b w:val="0"/>
                <w:sz w:val="20"/>
                <w:szCs w:val="20"/>
                <w:u w:val="none"/>
              </w:rPr>
            </w:pPr>
          </w:p>
        </w:tc>
        <w:tc>
          <w:tcPr>
            <w:tcW w:w="3124" w:type="dxa"/>
            <w:gridSpan w:val="12"/>
          </w:tcPr>
          <w:p w14:paraId="35B0BC6F" w14:textId="77777777" w:rsidR="003C2DD3" w:rsidRPr="00903F89" w:rsidRDefault="003C2DD3" w:rsidP="00903F89">
            <w:pPr>
              <w:jc w:val="both"/>
              <w:rPr>
                <w:rFonts w:cs="Arial"/>
                <w:sz w:val="20"/>
                <w:szCs w:val="20"/>
              </w:rPr>
            </w:pPr>
          </w:p>
        </w:tc>
        <w:tc>
          <w:tcPr>
            <w:tcW w:w="2820" w:type="dxa"/>
            <w:gridSpan w:val="7"/>
          </w:tcPr>
          <w:p w14:paraId="5839B37B"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18067C76" w14:textId="77777777" w:rsidTr="00B1212B">
        <w:tc>
          <w:tcPr>
            <w:tcW w:w="10538" w:type="dxa"/>
            <w:gridSpan w:val="27"/>
            <w:shd w:val="clear" w:color="auto" w:fill="auto"/>
          </w:tcPr>
          <w:p w14:paraId="09658E08" w14:textId="4857F67F"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Πρόνοια προορίζεται να καλύψει έκτακτες ανάγκες διοικητικής υποστήριξης από το υφιστάμενο προσωπικό που υποστηρίζει εκδηλώσεις/δραστηριότητες του Πανεπιστημίου Κύπρου οι οποίες πραγματοποιούνται εκτός του κανονικού εργάσιμου ωραρίου, και αποζημιώνονται από τα έσοδα που προκύπτουν από τις εν λόγω δραστηριότητες/ εκδηλώσεις.  </w:t>
            </w:r>
          </w:p>
        </w:tc>
      </w:tr>
      <w:tr w:rsidR="007422AB" w:rsidRPr="00903F89" w14:paraId="7B838DF8" w14:textId="77777777" w:rsidTr="00B1212B">
        <w:trPr>
          <w:trHeight w:val="80"/>
        </w:trPr>
        <w:tc>
          <w:tcPr>
            <w:tcW w:w="10538" w:type="dxa"/>
            <w:gridSpan w:val="27"/>
            <w:shd w:val="clear" w:color="auto" w:fill="auto"/>
          </w:tcPr>
          <w:p w14:paraId="13B756A4" w14:textId="53914B14" w:rsidR="003C2DD3" w:rsidRPr="00903F89" w:rsidRDefault="003C2DD3" w:rsidP="00903F89">
            <w:pPr>
              <w:jc w:val="both"/>
              <w:rPr>
                <w:rFonts w:eastAsia="Arial" w:cs="Arial"/>
                <w:sz w:val="20"/>
                <w:szCs w:val="20"/>
                <w:u w:val="single"/>
              </w:rPr>
            </w:pPr>
          </w:p>
        </w:tc>
      </w:tr>
      <w:tr w:rsidR="007422AB" w:rsidRPr="00903F89" w14:paraId="378093EE" w14:textId="77777777" w:rsidTr="00B1212B">
        <w:tc>
          <w:tcPr>
            <w:tcW w:w="10538" w:type="dxa"/>
            <w:gridSpan w:val="27"/>
            <w:shd w:val="clear" w:color="auto" w:fill="auto"/>
          </w:tcPr>
          <w:p w14:paraId="00EA4C5F" w14:textId="37B1BDDC" w:rsidR="003C2DD3" w:rsidRPr="00903F89" w:rsidRDefault="003C2DD3" w:rsidP="00903F89">
            <w:pPr>
              <w:pStyle w:val="Heading8"/>
              <w:outlineLvl w:val="7"/>
              <w:rPr>
                <w:rFonts w:ascii="Arial" w:eastAsia="Arial" w:hAnsi="Arial" w:cs="Arial"/>
                <w:sz w:val="20"/>
                <w:szCs w:val="20"/>
                <w:u w:val="single"/>
              </w:rPr>
            </w:pPr>
            <w:r w:rsidRPr="00903F89">
              <w:rPr>
                <w:rFonts w:ascii="Arial" w:eastAsia="Arial" w:hAnsi="Arial" w:cs="Arial"/>
                <w:sz w:val="20"/>
                <w:szCs w:val="20"/>
                <w:u w:val="single"/>
              </w:rPr>
              <w:t>Άρθρο 12-131 – Ιατροφαρμακευτική Περίθαλψη – €90.000</w:t>
            </w:r>
          </w:p>
        </w:tc>
      </w:tr>
      <w:tr w:rsidR="007422AB" w:rsidRPr="00903F89" w14:paraId="5D072364" w14:textId="77777777" w:rsidTr="00B1212B">
        <w:tc>
          <w:tcPr>
            <w:tcW w:w="10538" w:type="dxa"/>
            <w:gridSpan w:val="27"/>
            <w:shd w:val="clear" w:color="auto" w:fill="auto"/>
          </w:tcPr>
          <w:p w14:paraId="5AB7ECE0" w14:textId="77777777" w:rsidR="003C2DD3" w:rsidRPr="00903F89" w:rsidRDefault="003C2DD3" w:rsidP="00903F89">
            <w:pPr>
              <w:pStyle w:val="Heading8"/>
              <w:outlineLvl w:val="7"/>
              <w:rPr>
                <w:rFonts w:ascii="Arial" w:eastAsia="Arial" w:hAnsi="Arial" w:cs="Arial"/>
                <w:sz w:val="20"/>
                <w:szCs w:val="20"/>
                <w:u w:val="single"/>
              </w:rPr>
            </w:pPr>
          </w:p>
        </w:tc>
      </w:tr>
      <w:tr w:rsidR="007422AB" w:rsidRPr="00903F89" w14:paraId="00A3348C" w14:textId="77777777" w:rsidTr="00B1212B">
        <w:tc>
          <w:tcPr>
            <w:tcW w:w="10538" w:type="dxa"/>
            <w:gridSpan w:val="27"/>
            <w:shd w:val="clear" w:color="auto" w:fill="auto"/>
          </w:tcPr>
          <w:p w14:paraId="10CF6D5D" w14:textId="30EBB9DF" w:rsidR="003C2DD3" w:rsidRPr="00903F89" w:rsidRDefault="003C2DD3" w:rsidP="00903F89">
            <w:pPr>
              <w:jc w:val="both"/>
              <w:rPr>
                <w:rFonts w:cs="Arial"/>
                <w:bCs/>
                <w:sz w:val="20"/>
                <w:szCs w:val="20"/>
              </w:rPr>
            </w:pPr>
            <w:r w:rsidRPr="00903F89">
              <w:rPr>
                <w:rFonts w:cs="Arial"/>
                <w:bCs/>
                <w:sz w:val="20"/>
                <w:szCs w:val="20"/>
              </w:rPr>
              <w:t xml:space="preserve">Η πρόνοια προορίζεται να καλύψει δαπάνες για αγορά υπηρεσιών  ιατροφαρμακευτικής περίθαλψης των μελών διοικητικού και άλλου προσωπικού του Πανεπιστημίου Κύπρου σε περίπτωση έκτακτης ανάγκης όταν βρίσκονται για υπηρεσιακούς λόγους εκτός Ευρώπης και η Ευρωπαϊκή Κάρτα Ασφάλισης Υγείας δεν ισχύει. Επίσης η πρόνοια προορίζεται να καλύψει δαπάνες για αγορά υπηρεσιών ιατροφαρμακευτικής περίθαλψης που δεν καλύπτονται από το ΓεΣΥ.  </w:t>
            </w:r>
          </w:p>
        </w:tc>
      </w:tr>
      <w:tr w:rsidR="007422AB" w:rsidRPr="00903F89" w14:paraId="14405416" w14:textId="77777777" w:rsidTr="00B1212B">
        <w:tc>
          <w:tcPr>
            <w:tcW w:w="10538" w:type="dxa"/>
            <w:gridSpan w:val="27"/>
            <w:shd w:val="clear" w:color="auto" w:fill="auto"/>
          </w:tcPr>
          <w:p w14:paraId="71F662FC" w14:textId="77777777" w:rsidR="003C2DD3" w:rsidRPr="00903F89" w:rsidRDefault="003C2DD3" w:rsidP="00903F89">
            <w:pPr>
              <w:jc w:val="both"/>
              <w:rPr>
                <w:rFonts w:cs="Arial"/>
                <w:bCs/>
                <w:sz w:val="20"/>
                <w:szCs w:val="20"/>
              </w:rPr>
            </w:pPr>
          </w:p>
        </w:tc>
      </w:tr>
      <w:tr w:rsidR="007422AB" w:rsidRPr="00903F89" w14:paraId="1DA59BBC" w14:textId="77777777" w:rsidTr="00B1212B">
        <w:trPr>
          <w:cantSplit/>
          <w:trHeight w:val="80"/>
        </w:trPr>
        <w:tc>
          <w:tcPr>
            <w:tcW w:w="10538" w:type="dxa"/>
            <w:gridSpan w:val="27"/>
            <w:shd w:val="clear" w:color="auto" w:fill="auto"/>
          </w:tcPr>
          <w:p w14:paraId="1FE13471" w14:textId="03EA0F9B" w:rsidR="003C2DD3" w:rsidRPr="00903F89" w:rsidRDefault="003C2DD3" w:rsidP="00903F89">
            <w:pPr>
              <w:pStyle w:val="Heading8"/>
              <w:outlineLvl w:val="7"/>
              <w:rPr>
                <w:rFonts w:ascii="Arial" w:hAnsi="Arial" w:cs="Arial"/>
                <w:sz w:val="20"/>
                <w:szCs w:val="20"/>
              </w:rPr>
            </w:pPr>
            <w:r w:rsidRPr="00903F89">
              <w:rPr>
                <w:rFonts w:ascii="Arial" w:eastAsia="Arial" w:hAnsi="Arial" w:cs="Arial"/>
                <w:sz w:val="20"/>
                <w:szCs w:val="20"/>
                <w:u w:val="single"/>
              </w:rPr>
              <w:t xml:space="preserve">Άρθρο 12-132 – Ταμείο Κοινωνικών Ασφαλίσεων </w:t>
            </w:r>
            <w:r w:rsidRPr="00903F89">
              <w:rPr>
                <w:rFonts w:ascii="Arial" w:eastAsia="Arial" w:hAnsi="Arial" w:cs="Arial"/>
                <w:sz w:val="20"/>
                <w:szCs w:val="20"/>
                <w:u w:val="single"/>
                <w:shd w:val="clear" w:color="auto" w:fill="FFFFFF" w:themeFill="background1"/>
              </w:rPr>
              <w:t>– €</w:t>
            </w:r>
            <w:r w:rsidR="006A39F9" w:rsidRPr="006A39F9">
              <w:rPr>
                <w:rFonts w:ascii="Arial" w:eastAsia="Arial" w:hAnsi="Arial" w:cs="Arial"/>
                <w:sz w:val="20"/>
                <w:szCs w:val="20"/>
                <w:u w:val="single"/>
                <w:shd w:val="clear" w:color="auto" w:fill="FFFFFF" w:themeFill="background1"/>
              </w:rPr>
              <w:t>1.486.777</w:t>
            </w:r>
          </w:p>
        </w:tc>
      </w:tr>
      <w:tr w:rsidR="007422AB" w:rsidRPr="00903F89" w14:paraId="3AACE6EE" w14:textId="77777777" w:rsidTr="00B1212B">
        <w:tc>
          <w:tcPr>
            <w:tcW w:w="10538" w:type="dxa"/>
            <w:gridSpan w:val="27"/>
          </w:tcPr>
          <w:p w14:paraId="7554361D" w14:textId="77777777" w:rsidR="003C2DD3" w:rsidRPr="00903F89" w:rsidRDefault="003C2DD3" w:rsidP="00903F89">
            <w:pPr>
              <w:pStyle w:val="Heading8"/>
              <w:outlineLvl w:val="7"/>
              <w:rPr>
                <w:rFonts w:ascii="Arial" w:eastAsia="Arial" w:hAnsi="Arial" w:cs="Arial"/>
                <w:sz w:val="20"/>
                <w:szCs w:val="20"/>
                <w:u w:val="single"/>
              </w:rPr>
            </w:pPr>
          </w:p>
        </w:tc>
      </w:tr>
      <w:tr w:rsidR="007422AB" w:rsidRPr="00903F89" w14:paraId="7DC58956" w14:textId="77777777" w:rsidTr="00B1212B">
        <w:tc>
          <w:tcPr>
            <w:tcW w:w="10538" w:type="dxa"/>
            <w:gridSpan w:val="27"/>
          </w:tcPr>
          <w:p w14:paraId="1623FD9F" w14:textId="77777777"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Η πρόνοια αφορά τις συνεισφορές του Πανεπιστημίου Κύπρου στο αναλογικό σχέδιο Κοινωνικών Ασφαλίσεων για το Διοικητικό Προσωπικό που πληροί ή αναμένεται ότι θα πληροί οργανική θέση εντός του 2022.  Η πρόνοια αναθεωρήθηκε λαμβάνοντας υπόψη και τις πρόνοιες του Νόμου Ν. 193(Ι)/2012 που τροποποιεί τον Περί Κοινωνικών Ασφαλίσεων Νόμο 59 (Ι)/2010).</w:t>
            </w:r>
          </w:p>
        </w:tc>
      </w:tr>
      <w:tr w:rsidR="007422AB" w:rsidRPr="00903F89" w14:paraId="378DBA01" w14:textId="77777777" w:rsidTr="00B1212B">
        <w:tc>
          <w:tcPr>
            <w:tcW w:w="4133" w:type="dxa"/>
            <w:gridSpan w:val="5"/>
          </w:tcPr>
          <w:p w14:paraId="1E329A83" w14:textId="77777777" w:rsidR="003C2DD3" w:rsidRPr="00903F89" w:rsidRDefault="003C2DD3" w:rsidP="00903F89">
            <w:pPr>
              <w:pStyle w:val="Heading8"/>
              <w:outlineLvl w:val="7"/>
              <w:rPr>
                <w:rFonts w:ascii="Arial" w:hAnsi="Arial" w:cs="Arial"/>
                <w:b w:val="0"/>
                <w:sz w:val="20"/>
                <w:szCs w:val="20"/>
                <w:u w:val="none"/>
              </w:rPr>
            </w:pPr>
          </w:p>
        </w:tc>
        <w:tc>
          <w:tcPr>
            <w:tcW w:w="2911" w:type="dxa"/>
            <w:gridSpan w:val="11"/>
          </w:tcPr>
          <w:p w14:paraId="165E4738" w14:textId="77777777" w:rsidR="003C2DD3" w:rsidRPr="00903F89" w:rsidRDefault="003C2DD3" w:rsidP="00903F89">
            <w:pPr>
              <w:jc w:val="both"/>
              <w:rPr>
                <w:rFonts w:cs="Arial"/>
                <w:bCs/>
                <w:sz w:val="20"/>
                <w:szCs w:val="20"/>
              </w:rPr>
            </w:pPr>
          </w:p>
        </w:tc>
        <w:tc>
          <w:tcPr>
            <w:tcW w:w="3494" w:type="dxa"/>
            <w:gridSpan w:val="11"/>
          </w:tcPr>
          <w:p w14:paraId="39DEE897"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61C5D950" w14:textId="77777777" w:rsidTr="00B1212B">
        <w:tc>
          <w:tcPr>
            <w:tcW w:w="10538" w:type="dxa"/>
            <w:gridSpan w:val="27"/>
          </w:tcPr>
          <w:p w14:paraId="53258756" w14:textId="77777777"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Τυχόν πρόστιμα που ενδεχομένως να πρέπει να καταβληθούν στο Ταμείο Κοινωνικών Ασφαλίσεων και τα οποία απορρέουν από αναδρομικούς διορισμούς διενεργούνται έναντι του άρθρου αυτού από έσοδα εκτός κρατικής χορηγίας.</w:t>
            </w:r>
          </w:p>
        </w:tc>
      </w:tr>
      <w:tr w:rsidR="007422AB" w:rsidRPr="00903F89" w14:paraId="1F399AB9" w14:textId="77777777" w:rsidTr="00B1212B">
        <w:tc>
          <w:tcPr>
            <w:tcW w:w="10538" w:type="dxa"/>
            <w:gridSpan w:val="27"/>
          </w:tcPr>
          <w:p w14:paraId="62C44936" w14:textId="77777777" w:rsidR="003C2DD3" w:rsidRPr="00903F89" w:rsidRDefault="003C2DD3" w:rsidP="00903F89">
            <w:pPr>
              <w:pStyle w:val="Heading8"/>
              <w:outlineLvl w:val="7"/>
              <w:rPr>
                <w:rFonts w:ascii="Arial" w:eastAsia="Arial" w:hAnsi="Arial" w:cs="Arial"/>
                <w:b w:val="0"/>
                <w:sz w:val="20"/>
                <w:szCs w:val="20"/>
                <w:u w:val="none"/>
              </w:rPr>
            </w:pPr>
          </w:p>
        </w:tc>
      </w:tr>
      <w:tr w:rsidR="007422AB" w:rsidRPr="00903F89" w14:paraId="614D16F1" w14:textId="77777777" w:rsidTr="00B1212B">
        <w:tc>
          <w:tcPr>
            <w:tcW w:w="10538" w:type="dxa"/>
            <w:gridSpan w:val="27"/>
          </w:tcPr>
          <w:p w14:paraId="32FAF9C7" w14:textId="3B05BDE1" w:rsidR="003C2DD3" w:rsidRPr="00903F89" w:rsidRDefault="003C2DD3" w:rsidP="00903F89">
            <w:pPr>
              <w:pStyle w:val="Heading8"/>
              <w:outlineLvl w:val="7"/>
              <w:rPr>
                <w:rFonts w:ascii="Arial" w:eastAsia="Arial" w:hAnsi="Arial" w:cs="Arial"/>
                <w:sz w:val="20"/>
                <w:szCs w:val="20"/>
                <w:u w:val="single"/>
              </w:rPr>
            </w:pPr>
            <w:r w:rsidRPr="00903F89">
              <w:rPr>
                <w:rFonts w:ascii="Arial" w:eastAsia="Arial" w:hAnsi="Arial" w:cs="Arial"/>
                <w:sz w:val="20"/>
                <w:szCs w:val="20"/>
                <w:u w:val="single"/>
              </w:rPr>
              <w:t>Άρθρο 12-136 – Ασφάλιστρα για Νομική Ευθύνη Εργοδότη – €23.000</w:t>
            </w:r>
          </w:p>
        </w:tc>
      </w:tr>
      <w:tr w:rsidR="007422AB" w:rsidRPr="00903F89" w14:paraId="786E9F45" w14:textId="77777777" w:rsidTr="00B1212B">
        <w:tc>
          <w:tcPr>
            <w:tcW w:w="4362" w:type="dxa"/>
            <w:gridSpan w:val="6"/>
          </w:tcPr>
          <w:p w14:paraId="6575F89C" w14:textId="77777777" w:rsidR="003C2DD3" w:rsidRPr="00903F89" w:rsidRDefault="003C2DD3" w:rsidP="00903F89">
            <w:pPr>
              <w:pStyle w:val="Heading8"/>
              <w:outlineLvl w:val="7"/>
              <w:rPr>
                <w:rFonts w:ascii="Arial" w:hAnsi="Arial" w:cs="Arial"/>
                <w:sz w:val="20"/>
                <w:szCs w:val="20"/>
                <w:u w:val="single"/>
              </w:rPr>
            </w:pPr>
          </w:p>
        </w:tc>
        <w:tc>
          <w:tcPr>
            <w:tcW w:w="2682" w:type="dxa"/>
            <w:gridSpan w:val="10"/>
          </w:tcPr>
          <w:p w14:paraId="79CF6970" w14:textId="77777777" w:rsidR="003C2DD3" w:rsidRPr="00903F89" w:rsidRDefault="003C2DD3" w:rsidP="00903F89">
            <w:pPr>
              <w:jc w:val="both"/>
              <w:rPr>
                <w:rFonts w:cs="Arial"/>
                <w:bCs/>
                <w:sz w:val="20"/>
                <w:szCs w:val="20"/>
              </w:rPr>
            </w:pPr>
          </w:p>
        </w:tc>
        <w:tc>
          <w:tcPr>
            <w:tcW w:w="3494" w:type="dxa"/>
            <w:gridSpan w:val="11"/>
          </w:tcPr>
          <w:p w14:paraId="250CD5B1"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42EACFB6" w14:textId="77777777" w:rsidTr="00B1212B">
        <w:tc>
          <w:tcPr>
            <w:tcW w:w="10538" w:type="dxa"/>
            <w:gridSpan w:val="27"/>
          </w:tcPr>
          <w:p w14:paraId="46E10E35" w14:textId="71F68F3D"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Η πρόνοια αφορά στα ασφαλιστικά έξοδα για παροχή κάλυψης σύμφωνα με τον Περί Υποχρεωτικής Ασφάλισης της Ευθύνης των Εργοδοτών Νόμο (του 1989 και του </w:t>
            </w:r>
            <w:r w:rsidR="009E14CC">
              <w:rPr>
                <w:rFonts w:ascii="Arial" w:eastAsia="Arial" w:hAnsi="Arial" w:cs="Arial"/>
                <w:b w:val="0"/>
                <w:sz w:val="20"/>
                <w:szCs w:val="20"/>
                <w:u w:val="none"/>
              </w:rPr>
              <w:t>2014</w:t>
            </w:r>
            <w:r w:rsidRPr="00903F89">
              <w:rPr>
                <w:rFonts w:ascii="Arial" w:eastAsia="Arial" w:hAnsi="Arial" w:cs="Arial"/>
                <w:b w:val="0"/>
                <w:sz w:val="20"/>
                <w:szCs w:val="20"/>
                <w:u w:val="none"/>
              </w:rPr>
              <w:t>).</w:t>
            </w:r>
          </w:p>
        </w:tc>
      </w:tr>
      <w:tr w:rsidR="007422AB" w:rsidRPr="00903F89" w14:paraId="2FE38DB0" w14:textId="77777777" w:rsidTr="00B1212B">
        <w:tc>
          <w:tcPr>
            <w:tcW w:w="4362" w:type="dxa"/>
            <w:gridSpan w:val="6"/>
          </w:tcPr>
          <w:p w14:paraId="452F4565" w14:textId="77777777" w:rsidR="003C2DD3" w:rsidRPr="00903F89" w:rsidRDefault="003C2DD3" w:rsidP="00903F89">
            <w:pPr>
              <w:pStyle w:val="Heading8"/>
              <w:outlineLvl w:val="7"/>
              <w:rPr>
                <w:rFonts w:ascii="Arial" w:hAnsi="Arial" w:cs="Arial"/>
                <w:b w:val="0"/>
                <w:sz w:val="20"/>
                <w:szCs w:val="20"/>
                <w:u w:val="none"/>
              </w:rPr>
            </w:pPr>
          </w:p>
        </w:tc>
        <w:tc>
          <w:tcPr>
            <w:tcW w:w="2682" w:type="dxa"/>
            <w:gridSpan w:val="10"/>
          </w:tcPr>
          <w:p w14:paraId="41860A15" w14:textId="77777777" w:rsidR="003C2DD3" w:rsidRPr="00903F89" w:rsidRDefault="003C2DD3" w:rsidP="00903F89">
            <w:pPr>
              <w:jc w:val="both"/>
              <w:rPr>
                <w:rFonts w:cs="Arial"/>
                <w:bCs/>
                <w:sz w:val="20"/>
                <w:szCs w:val="20"/>
              </w:rPr>
            </w:pPr>
          </w:p>
        </w:tc>
        <w:tc>
          <w:tcPr>
            <w:tcW w:w="3494" w:type="dxa"/>
            <w:gridSpan w:val="11"/>
          </w:tcPr>
          <w:p w14:paraId="4E3DB207"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12505FC2" w14:textId="77777777" w:rsidTr="00B1212B">
        <w:tc>
          <w:tcPr>
            <w:tcW w:w="10538" w:type="dxa"/>
            <w:gridSpan w:val="27"/>
          </w:tcPr>
          <w:p w14:paraId="47BF55EE" w14:textId="77777777"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Η πρόνοια έλαβε υπόψη το ελάχιστο ποσό, για το οποίο υποχρεούται το Πανεπιστήμιο Κύπρου να ασφαλίσει την ευθύνη του έναντι των εργοδοτουμένων του για κάθε ατύχημα ή επαγγελματική ασθένεια σε σχέση με κάθε </w:t>
            </w:r>
            <w:proofErr w:type="spellStart"/>
            <w:r w:rsidRPr="00903F89">
              <w:rPr>
                <w:rFonts w:ascii="Arial" w:eastAsia="Arial" w:hAnsi="Arial" w:cs="Arial"/>
                <w:b w:val="0"/>
                <w:sz w:val="20"/>
                <w:szCs w:val="20"/>
                <w:u w:val="none"/>
              </w:rPr>
              <w:t>εργοδοτούμενο</w:t>
            </w:r>
            <w:proofErr w:type="spellEnd"/>
            <w:r w:rsidRPr="00903F89">
              <w:rPr>
                <w:rFonts w:ascii="Arial" w:eastAsia="Arial" w:hAnsi="Arial" w:cs="Arial"/>
                <w:b w:val="0"/>
                <w:sz w:val="20"/>
                <w:szCs w:val="20"/>
                <w:u w:val="none"/>
              </w:rPr>
              <w:t xml:space="preserve"> (που προνοείται στους κανονισμούς Περί Ασφάλισης Ευθύνης των Εργοδοτών, Νόμο του 2011 (Ν.79(Ι)/2011), (ΚΠΔ 197/97).</w:t>
            </w:r>
          </w:p>
        </w:tc>
      </w:tr>
      <w:tr w:rsidR="007422AB" w:rsidRPr="00903F89" w14:paraId="274B2F1A" w14:textId="77777777" w:rsidTr="00B1212B">
        <w:trPr>
          <w:trHeight w:val="80"/>
        </w:trPr>
        <w:tc>
          <w:tcPr>
            <w:tcW w:w="4362" w:type="dxa"/>
            <w:gridSpan w:val="6"/>
            <w:shd w:val="clear" w:color="auto" w:fill="auto"/>
          </w:tcPr>
          <w:p w14:paraId="30765637" w14:textId="77777777" w:rsidR="003C2DD3" w:rsidRPr="00903F89" w:rsidRDefault="003C2DD3" w:rsidP="00903F89">
            <w:pPr>
              <w:pStyle w:val="Heading8"/>
              <w:outlineLvl w:val="7"/>
              <w:rPr>
                <w:rFonts w:ascii="Arial" w:hAnsi="Arial" w:cs="Arial"/>
                <w:sz w:val="20"/>
                <w:szCs w:val="20"/>
                <w:u w:val="single"/>
              </w:rPr>
            </w:pPr>
          </w:p>
        </w:tc>
        <w:tc>
          <w:tcPr>
            <w:tcW w:w="6176" w:type="dxa"/>
            <w:gridSpan w:val="21"/>
            <w:shd w:val="clear" w:color="auto" w:fill="auto"/>
          </w:tcPr>
          <w:p w14:paraId="46D6536C" w14:textId="77777777" w:rsidR="003C2DD3" w:rsidRPr="00903F89" w:rsidRDefault="003C2DD3" w:rsidP="00903F89">
            <w:pPr>
              <w:pStyle w:val="Heading8"/>
              <w:outlineLvl w:val="7"/>
              <w:rPr>
                <w:rFonts w:ascii="Arial" w:hAnsi="Arial" w:cs="Arial"/>
                <w:i/>
                <w:sz w:val="20"/>
                <w:szCs w:val="20"/>
                <w:u w:val="none"/>
              </w:rPr>
            </w:pPr>
          </w:p>
        </w:tc>
      </w:tr>
      <w:tr w:rsidR="007422AB" w:rsidRPr="00903F89" w14:paraId="55F4F236" w14:textId="77777777" w:rsidTr="00B1212B">
        <w:tc>
          <w:tcPr>
            <w:tcW w:w="10538" w:type="dxa"/>
            <w:gridSpan w:val="27"/>
          </w:tcPr>
          <w:p w14:paraId="0A5ABC42" w14:textId="66522F30" w:rsidR="003C2DD3" w:rsidRPr="00903F89" w:rsidRDefault="003C2DD3" w:rsidP="00903F89">
            <w:pPr>
              <w:pStyle w:val="Heading8"/>
              <w:outlineLvl w:val="7"/>
              <w:rPr>
                <w:rFonts w:ascii="Arial" w:eastAsia="Arial" w:hAnsi="Arial" w:cs="Arial"/>
                <w:sz w:val="20"/>
                <w:szCs w:val="20"/>
                <w:u w:val="single"/>
              </w:rPr>
            </w:pPr>
            <w:bookmarkStart w:id="27" w:name="_Hlk88553904"/>
            <w:r w:rsidRPr="00903F89">
              <w:rPr>
                <w:rFonts w:ascii="Arial" w:eastAsia="Arial" w:hAnsi="Arial" w:cs="Arial"/>
                <w:sz w:val="20"/>
                <w:szCs w:val="20"/>
                <w:u w:val="single"/>
              </w:rPr>
              <w:t>Άρθρο 12-137 – Ταμείο Συντάξεων/Φιλοδωρημάτων – €340.079</w:t>
            </w:r>
          </w:p>
        </w:tc>
      </w:tr>
      <w:tr w:rsidR="007422AB" w:rsidRPr="00903F89" w14:paraId="47FE04D0" w14:textId="77777777" w:rsidTr="00B1212B">
        <w:tc>
          <w:tcPr>
            <w:tcW w:w="4820" w:type="dxa"/>
            <w:gridSpan w:val="9"/>
            <w:shd w:val="clear" w:color="auto" w:fill="auto"/>
          </w:tcPr>
          <w:p w14:paraId="30FCF156" w14:textId="77777777" w:rsidR="003C2DD3" w:rsidRPr="00903F89" w:rsidRDefault="003C2DD3" w:rsidP="00903F89">
            <w:pPr>
              <w:pStyle w:val="Heading8"/>
              <w:outlineLvl w:val="7"/>
              <w:rPr>
                <w:rFonts w:ascii="Arial" w:hAnsi="Arial" w:cs="Arial"/>
                <w:sz w:val="20"/>
                <w:szCs w:val="20"/>
                <w:u w:val="single"/>
              </w:rPr>
            </w:pPr>
          </w:p>
        </w:tc>
        <w:tc>
          <w:tcPr>
            <w:tcW w:w="5718" w:type="dxa"/>
            <w:gridSpan w:val="18"/>
            <w:shd w:val="clear" w:color="auto" w:fill="auto"/>
          </w:tcPr>
          <w:p w14:paraId="72C34369"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0BA813D7" w14:textId="77777777" w:rsidTr="00B1212B">
        <w:tc>
          <w:tcPr>
            <w:tcW w:w="10538" w:type="dxa"/>
            <w:gridSpan w:val="27"/>
            <w:shd w:val="clear" w:color="auto" w:fill="auto"/>
          </w:tcPr>
          <w:p w14:paraId="770B682A" w14:textId="7A4B2233" w:rsidR="003C2DD3" w:rsidRPr="008E295C" w:rsidRDefault="008E295C" w:rsidP="00903F89">
            <w:pPr>
              <w:pStyle w:val="Heading8"/>
              <w:outlineLvl w:val="7"/>
              <w:rPr>
                <w:rFonts w:ascii="Arial" w:hAnsi="Arial" w:cs="Arial"/>
                <w:b w:val="0"/>
                <w:sz w:val="20"/>
                <w:szCs w:val="20"/>
                <w:u w:val="none"/>
              </w:rPr>
            </w:pPr>
            <w:r>
              <w:rPr>
                <w:rFonts w:ascii="Arial" w:hAnsi="Arial" w:cs="Arial"/>
                <w:b w:val="0"/>
                <w:bCs/>
                <w:sz w:val="20"/>
                <w:szCs w:val="20"/>
                <w:u w:val="none"/>
              </w:rPr>
              <w:t>Η πρόνοια αφορά στα συνταξιοδοτικά ωφελήματα (μηνιαία σύνταξη και εφάπαξ ποσό) για το διοικητικό και άλλο προσωπικό του Πανεπιστημίου Κύπρου, είναι ενδεικτική και αναμένεται να καλύψει την ετήσια σύνταξη για τους υφιστάμενους συνταξιούχους καθώς και την καταβολή των συνταξιοδοτικών ωφελημάτων για μέλη του προσωπικού τα οποία ενδέχεται να αιτηθούν πρόωρης αφυπηρέτησης.</w:t>
            </w:r>
          </w:p>
        </w:tc>
      </w:tr>
      <w:tr w:rsidR="007422AB" w:rsidRPr="00903F89" w14:paraId="1F44E0E2" w14:textId="77777777" w:rsidTr="00B1212B">
        <w:tc>
          <w:tcPr>
            <w:tcW w:w="4820" w:type="dxa"/>
            <w:gridSpan w:val="9"/>
          </w:tcPr>
          <w:p w14:paraId="4A0DC6E4" w14:textId="77777777" w:rsidR="003C2DD3" w:rsidRPr="00903F89" w:rsidRDefault="003C2DD3" w:rsidP="00903F89">
            <w:pPr>
              <w:pStyle w:val="Heading8"/>
              <w:outlineLvl w:val="7"/>
              <w:rPr>
                <w:rFonts w:ascii="Arial" w:hAnsi="Arial" w:cs="Arial"/>
                <w:b w:val="0"/>
                <w:sz w:val="20"/>
                <w:szCs w:val="20"/>
                <w:u w:val="none"/>
              </w:rPr>
            </w:pPr>
          </w:p>
        </w:tc>
        <w:tc>
          <w:tcPr>
            <w:tcW w:w="2446" w:type="dxa"/>
            <w:gridSpan w:val="8"/>
          </w:tcPr>
          <w:p w14:paraId="0D9403FB" w14:textId="77777777" w:rsidR="003C2DD3" w:rsidRPr="00903F89" w:rsidRDefault="003C2DD3" w:rsidP="00903F89">
            <w:pPr>
              <w:jc w:val="both"/>
              <w:rPr>
                <w:rFonts w:cs="Arial"/>
                <w:sz w:val="20"/>
                <w:szCs w:val="20"/>
              </w:rPr>
            </w:pPr>
          </w:p>
        </w:tc>
        <w:tc>
          <w:tcPr>
            <w:tcW w:w="3272" w:type="dxa"/>
            <w:gridSpan w:val="10"/>
          </w:tcPr>
          <w:p w14:paraId="02695DEC"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6AC2A68B" w14:textId="77777777" w:rsidTr="00B1212B">
        <w:tc>
          <w:tcPr>
            <w:tcW w:w="10538" w:type="dxa"/>
            <w:gridSpan w:val="27"/>
            <w:shd w:val="clear" w:color="auto" w:fill="auto"/>
          </w:tcPr>
          <w:p w14:paraId="3073EFC8" w14:textId="6A6EA659" w:rsidR="003C2DD3" w:rsidRPr="00941D04" w:rsidRDefault="008E295C" w:rsidP="00903F89">
            <w:pPr>
              <w:pStyle w:val="Heading8"/>
              <w:outlineLvl w:val="7"/>
              <w:rPr>
                <w:rFonts w:ascii="Arial" w:hAnsi="Arial" w:cs="Arial"/>
                <w:b w:val="0"/>
                <w:bCs/>
                <w:sz w:val="20"/>
                <w:szCs w:val="20"/>
                <w:u w:val="none"/>
              </w:rPr>
            </w:pPr>
            <w:bookmarkStart w:id="28" w:name="_Hlk88552366"/>
            <w:r w:rsidRPr="00941D04">
              <w:rPr>
                <w:rFonts w:ascii="Arial" w:hAnsi="Arial" w:cs="Arial"/>
                <w:b w:val="0"/>
                <w:bCs/>
                <w:sz w:val="20"/>
                <w:szCs w:val="20"/>
                <w:u w:val="none"/>
              </w:rPr>
              <w:t>Με βάση τους Κανονισμούς δυνάμει του άρθρου 32 του «Ο περί Πανεπιστημίου Κύπρου Νόμος (</w:t>
            </w:r>
            <w:r w:rsidR="009E14CC">
              <w:rPr>
                <w:rFonts w:ascii="Arial" w:hAnsi="Arial" w:cs="Arial"/>
                <w:b w:val="0"/>
                <w:bCs/>
                <w:sz w:val="20"/>
                <w:szCs w:val="20"/>
                <w:u w:val="none"/>
              </w:rPr>
              <w:t>Ν.</w:t>
            </w:r>
            <w:r w:rsidRPr="00941D04">
              <w:rPr>
                <w:rFonts w:ascii="Arial" w:hAnsi="Arial" w:cs="Arial"/>
                <w:b w:val="0"/>
                <w:bCs/>
                <w:sz w:val="20"/>
                <w:szCs w:val="20"/>
                <w:u w:val="none"/>
              </w:rPr>
              <w:t>144 του 1989) άρθρο 14 (1) (α)</w:t>
            </w:r>
            <w:r w:rsidR="009E14CC">
              <w:rPr>
                <w:rFonts w:ascii="Arial" w:hAnsi="Arial" w:cs="Arial"/>
                <w:b w:val="0"/>
                <w:bCs/>
                <w:sz w:val="20"/>
                <w:szCs w:val="20"/>
                <w:u w:val="none"/>
              </w:rPr>
              <w:t>,</w:t>
            </w:r>
            <w:r w:rsidRPr="00941D04">
              <w:rPr>
                <w:rFonts w:ascii="Arial" w:hAnsi="Arial" w:cs="Arial"/>
                <w:b w:val="0"/>
                <w:bCs/>
                <w:sz w:val="20"/>
                <w:szCs w:val="20"/>
                <w:u w:val="none"/>
              </w:rPr>
              <w:t xml:space="preserve"> « Οι απολαβές και τα ωφελήματα των υπαλλήλων περιλαμβάνουν το μισθό, τα εκάστοτε καθορισμένα επιδόματα, τα ωφελήματα αφυπηρέτησης που καθορίζονται στο σχετικό Νόμο, τις καθορισμένες στη δημόσια υπηρεσία άδειες και το δικαίωμα ιατρικής περίθαλψης όπως θα καθοριστεί».</w:t>
            </w:r>
          </w:p>
        </w:tc>
      </w:tr>
      <w:tr w:rsidR="007422AB" w:rsidRPr="00903F89" w14:paraId="4DFF4B8C" w14:textId="77777777" w:rsidTr="00B1212B">
        <w:tc>
          <w:tcPr>
            <w:tcW w:w="4820" w:type="dxa"/>
            <w:gridSpan w:val="9"/>
          </w:tcPr>
          <w:p w14:paraId="487C08FF" w14:textId="77777777" w:rsidR="003C2DD3" w:rsidRPr="00941D04" w:rsidRDefault="003C2DD3" w:rsidP="00903F89">
            <w:pPr>
              <w:pStyle w:val="Heading8"/>
              <w:outlineLvl w:val="7"/>
              <w:rPr>
                <w:rFonts w:ascii="Arial" w:hAnsi="Arial" w:cs="Arial"/>
                <w:b w:val="0"/>
                <w:bCs/>
                <w:sz w:val="20"/>
                <w:szCs w:val="20"/>
                <w:u w:val="none"/>
              </w:rPr>
            </w:pPr>
          </w:p>
        </w:tc>
        <w:tc>
          <w:tcPr>
            <w:tcW w:w="2446" w:type="dxa"/>
            <w:gridSpan w:val="8"/>
          </w:tcPr>
          <w:p w14:paraId="59720B0F" w14:textId="77777777" w:rsidR="003C2DD3" w:rsidRPr="00941D04" w:rsidRDefault="003C2DD3" w:rsidP="00903F89">
            <w:pPr>
              <w:jc w:val="both"/>
              <w:rPr>
                <w:rFonts w:cs="Arial"/>
                <w:bCs/>
                <w:sz w:val="20"/>
                <w:szCs w:val="20"/>
                <w:u w:color="000000"/>
              </w:rPr>
            </w:pPr>
          </w:p>
        </w:tc>
        <w:tc>
          <w:tcPr>
            <w:tcW w:w="3272" w:type="dxa"/>
            <w:gridSpan w:val="10"/>
          </w:tcPr>
          <w:p w14:paraId="071F11EC" w14:textId="77777777" w:rsidR="003C2DD3" w:rsidRPr="00941D04" w:rsidRDefault="003C2DD3" w:rsidP="00903F89">
            <w:pPr>
              <w:pStyle w:val="Heading8"/>
              <w:outlineLvl w:val="7"/>
              <w:rPr>
                <w:rFonts w:ascii="Arial" w:hAnsi="Arial" w:cs="Arial"/>
                <w:b w:val="0"/>
                <w:bCs/>
                <w:sz w:val="20"/>
                <w:szCs w:val="20"/>
                <w:u w:val="none"/>
              </w:rPr>
            </w:pPr>
          </w:p>
        </w:tc>
      </w:tr>
      <w:tr w:rsidR="007422AB" w:rsidRPr="00903F89" w14:paraId="1AC79704" w14:textId="77777777" w:rsidTr="00B1212B">
        <w:tc>
          <w:tcPr>
            <w:tcW w:w="10538" w:type="dxa"/>
            <w:gridSpan w:val="27"/>
          </w:tcPr>
          <w:p w14:paraId="5A26BA58" w14:textId="7264AC55" w:rsidR="003C2DD3" w:rsidRPr="00941D04" w:rsidRDefault="008E295C" w:rsidP="00941D04">
            <w:pPr>
              <w:jc w:val="both"/>
              <w:rPr>
                <w:rFonts w:cs="Arial"/>
                <w:bCs/>
                <w:sz w:val="20"/>
                <w:szCs w:val="20"/>
                <w:u w:color="000000"/>
              </w:rPr>
            </w:pPr>
            <w:r w:rsidRPr="00941D04">
              <w:rPr>
                <w:rFonts w:cs="Arial"/>
                <w:bCs/>
                <w:sz w:val="20"/>
                <w:szCs w:val="20"/>
                <w:u w:color="000000"/>
              </w:rPr>
              <w:t>Ο τρόπος υπολογισμού των σχετικών συντάξεων γίνεται σύμφωνα με (α) τις διατάξεις του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 του 2012, (β) των περί Πανεπιστημίου Κύπρου (Διοικητικό Προσωπικό) Κανονισμών του 1990 και 1992 (ΚΔΠ162/90 και ΚΔΠ256/92),και (γ) τους περί Πανεπιστημίου Κύπρου (Συντάξεις Διοικητικού Προσωπικού) Κανονισμούς του 1991 έως 2017, της Συλλογικής Σύμβασης εργασίας Ωρομίσθιου Προσωπικού ΠΚ.</w:t>
            </w:r>
          </w:p>
        </w:tc>
      </w:tr>
      <w:bookmarkEnd w:id="28"/>
      <w:tr w:rsidR="007422AB" w:rsidRPr="00903F89" w14:paraId="736C3C65" w14:textId="77777777" w:rsidTr="00B1212B">
        <w:tc>
          <w:tcPr>
            <w:tcW w:w="10538" w:type="dxa"/>
            <w:gridSpan w:val="27"/>
          </w:tcPr>
          <w:p w14:paraId="75F92E25" w14:textId="77777777" w:rsidR="003C2DD3" w:rsidRPr="00903F89" w:rsidRDefault="003C2DD3" w:rsidP="00903F89">
            <w:pPr>
              <w:jc w:val="both"/>
              <w:rPr>
                <w:rFonts w:cs="Arial"/>
                <w:sz w:val="20"/>
                <w:szCs w:val="20"/>
              </w:rPr>
            </w:pPr>
          </w:p>
        </w:tc>
      </w:tr>
      <w:tr w:rsidR="007422AB" w:rsidRPr="00903F89" w14:paraId="6E27D405" w14:textId="77777777" w:rsidTr="00B1212B">
        <w:tc>
          <w:tcPr>
            <w:tcW w:w="10538" w:type="dxa"/>
            <w:gridSpan w:val="27"/>
          </w:tcPr>
          <w:p w14:paraId="1A55F1BE" w14:textId="683987EC" w:rsidR="003C2DD3" w:rsidRPr="00903F89" w:rsidRDefault="008E295C" w:rsidP="00903F89">
            <w:pPr>
              <w:jc w:val="both"/>
              <w:rPr>
                <w:rFonts w:eastAsia="Arial" w:cs="Arial"/>
                <w:sz w:val="20"/>
                <w:szCs w:val="20"/>
              </w:rPr>
            </w:pPr>
            <w:r>
              <w:rPr>
                <w:rFonts w:cs="Arial"/>
                <w:sz w:val="20"/>
                <w:szCs w:val="20"/>
              </w:rPr>
              <w:t>Διευκρινίζεται ότι σύμφωνα με τον περί Πανεπιστημίου Κύπρου Νόμο, το Συμβούλιο μπορεί ύστερα από συνεννόηση με τη Σύγκλητο να εκδίδει Κανονισμούς για ή αναφορικά με τη ρύθμιση του θέματος παροχής συντάξεων είτε με την ίδρυση ταμείου είτε με την προσχώρηση σε ταμείο που διοικείται από άλλους.</w:t>
            </w:r>
          </w:p>
        </w:tc>
      </w:tr>
      <w:tr w:rsidR="007422AB" w:rsidRPr="00903F89" w14:paraId="0AD71FAC" w14:textId="77777777" w:rsidTr="00B1212B">
        <w:tc>
          <w:tcPr>
            <w:tcW w:w="10538" w:type="dxa"/>
            <w:gridSpan w:val="27"/>
          </w:tcPr>
          <w:p w14:paraId="08FDC765" w14:textId="77777777" w:rsidR="003C2DD3" w:rsidRPr="00903F89" w:rsidRDefault="003C2DD3" w:rsidP="00903F89">
            <w:pPr>
              <w:jc w:val="both"/>
              <w:rPr>
                <w:rFonts w:cs="Arial"/>
                <w:sz w:val="20"/>
                <w:szCs w:val="20"/>
              </w:rPr>
            </w:pPr>
          </w:p>
        </w:tc>
      </w:tr>
      <w:tr w:rsidR="007422AB" w:rsidRPr="00903F89" w14:paraId="24CF10D3" w14:textId="77777777" w:rsidTr="00B1212B">
        <w:tc>
          <w:tcPr>
            <w:tcW w:w="10538" w:type="dxa"/>
            <w:gridSpan w:val="27"/>
          </w:tcPr>
          <w:p w14:paraId="79E6C2E0" w14:textId="0CB7CA72" w:rsidR="003C2DD3" w:rsidRPr="00903F89" w:rsidRDefault="008E295C" w:rsidP="00903F89">
            <w:pPr>
              <w:jc w:val="both"/>
              <w:rPr>
                <w:rFonts w:eastAsia="Arial" w:cs="Arial"/>
                <w:sz w:val="20"/>
                <w:szCs w:val="20"/>
              </w:rPr>
            </w:pPr>
            <w:r>
              <w:rPr>
                <w:rFonts w:cs="Arial"/>
                <w:sz w:val="20"/>
                <w:szCs w:val="20"/>
              </w:rPr>
              <w:t>Τηρουμένων των διατάξεων του περί Καταβολής Φιλοδωρήματος σε Εργοδοτούμενους που απασχολούνται με Σύμβαση στην Κρατική Υπηρεσία και στον Ευρύτερο Δημόσιο Τομέα περιλαμβανομένων και των Αρχών Τοπικής Αυτοδιοίκησης (Διατάξεις Γενικής Εφαρμογής) Νόμου, Ν. 14(Ι)/2014, η έναρξη αποκοπών από το Συμβασιούχο Προσωπικό αορίστου χρόνου θα αρχίσει από τις 14/02/2014 (Απόφαση Επιτροπής Προσωπικού και Κανονισμών του Συμβουλίου, Συνεδρία 280</w:t>
            </w:r>
            <w:r>
              <w:rPr>
                <w:rFonts w:cs="Arial"/>
                <w:sz w:val="20"/>
                <w:szCs w:val="20"/>
                <w:vertAlign w:val="superscript"/>
              </w:rPr>
              <w:t>η</w:t>
            </w:r>
            <w:r>
              <w:rPr>
                <w:rFonts w:cs="Arial"/>
                <w:sz w:val="20"/>
                <w:szCs w:val="20"/>
              </w:rPr>
              <w:t>, ημερ. 30/09/2015).  Το Πανεπιστήμιο Κύπρου δύναται να προβεί σε διευθετήσεις έτσι ώστε, το ποσό συνεισφοράς του προσωπικού (για όσους το επιθυμούν) που αναλογεί από την έναρξη ισχύος του Νόμου μέχρι το τέλος Δεκεμβρίου 2015 να καταβληθεί σε ισόποσες δόσεις.  Ο υπολογισμός του φιλοδωρήματος θα γίνεται με βάση τις πρόνοιες της Εγκυκλίου Αρ. 1498 (ημερ, 08/05/2014) του Τμήματος Δημόσιας Διοίκησης και Προσωπικού του Υπουργείου Οικονομικών.</w:t>
            </w:r>
          </w:p>
        </w:tc>
      </w:tr>
      <w:tr w:rsidR="007422AB" w:rsidRPr="00903F89" w14:paraId="46A0BC4B" w14:textId="77777777" w:rsidTr="00B1212B">
        <w:tc>
          <w:tcPr>
            <w:tcW w:w="10538" w:type="dxa"/>
            <w:gridSpan w:val="27"/>
          </w:tcPr>
          <w:p w14:paraId="36C53576" w14:textId="77777777" w:rsidR="003C2DD3" w:rsidRPr="00903F89" w:rsidRDefault="003C2DD3" w:rsidP="00903F89">
            <w:pPr>
              <w:jc w:val="both"/>
              <w:rPr>
                <w:rFonts w:cs="Arial"/>
                <w:sz w:val="20"/>
                <w:szCs w:val="20"/>
              </w:rPr>
            </w:pPr>
          </w:p>
        </w:tc>
      </w:tr>
      <w:tr w:rsidR="007422AB" w:rsidRPr="00903F89" w14:paraId="6ACC828E" w14:textId="77777777" w:rsidTr="00B1212B">
        <w:tc>
          <w:tcPr>
            <w:tcW w:w="10538" w:type="dxa"/>
            <w:gridSpan w:val="27"/>
          </w:tcPr>
          <w:p w14:paraId="1F646D94" w14:textId="656475DB" w:rsidR="003C2DD3" w:rsidRPr="00903F89" w:rsidRDefault="008E295C" w:rsidP="00903F89">
            <w:pPr>
              <w:jc w:val="both"/>
              <w:rPr>
                <w:rFonts w:cs="Arial"/>
                <w:sz w:val="20"/>
                <w:szCs w:val="20"/>
              </w:rPr>
            </w:pPr>
            <w:r>
              <w:rPr>
                <w:rFonts w:cs="Arial"/>
                <w:sz w:val="20"/>
                <w:szCs w:val="20"/>
              </w:rPr>
              <w:t>Οι σχετικοί υπολογισμοί πραγματοποιούνται με βάση τους περί Πανεπιστημίου Κύπρου (Συντάξεις Διοικητικού Προσωπικού) Κανονισμούς του 1990 έως 2017.</w:t>
            </w:r>
          </w:p>
        </w:tc>
      </w:tr>
      <w:bookmarkEnd w:id="27"/>
      <w:tr w:rsidR="007422AB" w:rsidRPr="00903F89" w14:paraId="616A377E" w14:textId="77777777" w:rsidTr="00B1212B">
        <w:tc>
          <w:tcPr>
            <w:tcW w:w="10538" w:type="dxa"/>
            <w:gridSpan w:val="27"/>
          </w:tcPr>
          <w:p w14:paraId="42B97FD7" w14:textId="77777777" w:rsidR="003C2DD3" w:rsidRPr="00903F89" w:rsidRDefault="003C2DD3" w:rsidP="00903F89">
            <w:pPr>
              <w:jc w:val="both"/>
              <w:rPr>
                <w:rFonts w:cs="Arial"/>
                <w:sz w:val="20"/>
                <w:szCs w:val="20"/>
              </w:rPr>
            </w:pPr>
          </w:p>
        </w:tc>
      </w:tr>
      <w:tr w:rsidR="007422AB" w:rsidRPr="00903F89" w14:paraId="1B36D92B" w14:textId="77777777" w:rsidTr="00B1212B">
        <w:tc>
          <w:tcPr>
            <w:tcW w:w="10538" w:type="dxa"/>
            <w:gridSpan w:val="27"/>
          </w:tcPr>
          <w:p w14:paraId="42DFB530" w14:textId="79E92517" w:rsidR="003C2DD3" w:rsidRPr="00903F89" w:rsidRDefault="003C2DD3" w:rsidP="00903F89">
            <w:pPr>
              <w:pStyle w:val="Heading8"/>
              <w:outlineLvl w:val="7"/>
              <w:rPr>
                <w:rFonts w:ascii="Arial" w:eastAsia="Arial" w:hAnsi="Arial" w:cs="Arial"/>
                <w:sz w:val="20"/>
                <w:szCs w:val="20"/>
                <w:u w:val="single"/>
              </w:rPr>
            </w:pPr>
            <w:r w:rsidRPr="00903F89">
              <w:rPr>
                <w:rFonts w:ascii="Arial" w:eastAsia="Arial" w:hAnsi="Arial" w:cs="Arial"/>
                <w:sz w:val="20"/>
                <w:szCs w:val="20"/>
                <w:u w:val="single"/>
              </w:rPr>
              <w:t>Άρθρο 12-139 – Καταβολή Συνεισφορών προς Σχέδιο Συντάξεων και Φιλοδωρημάτων – €10</w:t>
            </w:r>
          </w:p>
        </w:tc>
      </w:tr>
      <w:tr w:rsidR="007422AB" w:rsidRPr="00903F89" w14:paraId="2CB25922" w14:textId="77777777" w:rsidTr="00B1212B">
        <w:tc>
          <w:tcPr>
            <w:tcW w:w="5269" w:type="dxa"/>
            <w:gridSpan w:val="11"/>
          </w:tcPr>
          <w:p w14:paraId="2235FB39" w14:textId="77777777" w:rsidR="003C2DD3" w:rsidRPr="00903F89" w:rsidRDefault="003C2DD3" w:rsidP="00903F89">
            <w:pPr>
              <w:pStyle w:val="Heading8"/>
              <w:outlineLvl w:val="7"/>
              <w:rPr>
                <w:rFonts w:ascii="Arial" w:hAnsi="Arial" w:cs="Arial"/>
                <w:sz w:val="20"/>
                <w:szCs w:val="20"/>
                <w:u w:val="single"/>
              </w:rPr>
            </w:pPr>
          </w:p>
        </w:tc>
        <w:tc>
          <w:tcPr>
            <w:tcW w:w="2223" w:type="dxa"/>
            <w:gridSpan w:val="7"/>
          </w:tcPr>
          <w:p w14:paraId="0BF380D1" w14:textId="77777777" w:rsidR="003C2DD3" w:rsidRPr="00903F89" w:rsidRDefault="003C2DD3" w:rsidP="00903F89">
            <w:pPr>
              <w:jc w:val="both"/>
              <w:rPr>
                <w:rFonts w:cs="Arial"/>
                <w:sz w:val="20"/>
                <w:szCs w:val="20"/>
              </w:rPr>
            </w:pPr>
          </w:p>
        </w:tc>
        <w:tc>
          <w:tcPr>
            <w:tcW w:w="3046" w:type="dxa"/>
            <w:gridSpan w:val="9"/>
          </w:tcPr>
          <w:p w14:paraId="17A193DE"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40FAC5BF" w14:textId="77777777" w:rsidTr="00B1212B">
        <w:tc>
          <w:tcPr>
            <w:tcW w:w="10538" w:type="dxa"/>
            <w:gridSpan w:val="27"/>
          </w:tcPr>
          <w:p w14:paraId="51122AA4" w14:textId="30416072"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Σύμφωνα με τον περί Πανεπιστημίου Κύπρου Νόμο144/89, Άρθρο 32(1) (</w:t>
            </w:r>
            <w:proofErr w:type="spellStart"/>
            <w:r w:rsidRPr="00903F89">
              <w:rPr>
                <w:rFonts w:ascii="Arial" w:eastAsia="Arial" w:hAnsi="Arial" w:cs="Arial"/>
                <w:b w:val="0"/>
                <w:sz w:val="20"/>
                <w:szCs w:val="20"/>
                <w:u w:val="none"/>
              </w:rPr>
              <w:t>ιδ</w:t>
            </w:r>
            <w:proofErr w:type="spellEnd"/>
            <w:r w:rsidRPr="00903F89">
              <w:rPr>
                <w:rFonts w:ascii="Arial" w:eastAsia="Arial" w:hAnsi="Arial" w:cs="Arial"/>
                <w:b w:val="0"/>
                <w:sz w:val="20"/>
                <w:szCs w:val="20"/>
                <w:u w:val="none"/>
              </w:rPr>
              <w:t>), το Συμβούλιο μπορεί ύστερα από συνεννόηση με τη Σύγκλητο να εκδίδει Κανονισμούς για ή αναφορικά με τη ρύθμιση του θέματος παροχής συντάξεων είτε με την ίδρυση ταμείου είτε με την προσχώρηση σε ταμείο που διοικείται από άλλους.  Σ</w:t>
            </w:r>
            <w:r w:rsidR="003303AF">
              <w:rPr>
                <w:rFonts w:ascii="Arial" w:eastAsia="Arial" w:hAnsi="Arial" w:cs="Arial"/>
                <w:b w:val="0"/>
                <w:sz w:val="20"/>
                <w:szCs w:val="20"/>
                <w:u w:val="none"/>
              </w:rPr>
              <w:t>ε</w:t>
            </w:r>
            <w:r w:rsidRPr="00903F89">
              <w:rPr>
                <w:rFonts w:ascii="Arial" w:eastAsia="Arial" w:hAnsi="Arial" w:cs="Arial"/>
                <w:b w:val="0"/>
                <w:sz w:val="20"/>
                <w:szCs w:val="20"/>
                <w:u w:val="none"/>
              </w:rPr>
              <w:t xml:space="preserve"> εκθέσεις της Ελεγκτικής Υπηρεσίας επισημαίνεται ότι, το Πανεπιστήμιο Κύπρου έπρεπε να ιδρύσει Ταμείο Συντάξεων.  Παρά τις προσπάθειες που έχουν καταβληθεί για την ίδρυση του σχετικού Ταμείου</w:t>
            </w:r>
            <w:r w:rsidR="00EA255F">
              <w:rPr>
                <w:rFonts w:ascii="Arial" w:eastAsia="Arial" w:hAnsi="Arial" w:cs="Arial"/>
                <w:b w:val="0"/>
                <w:sz w:val="20"/>
                <w:szCs w:val="20"/>
                <w:u w:val="none"/>
              </w:rPr>
              <w:t>,</w:t>
            </w:r>
            <w:r w:rsidRPr="00903F89">
              <w:rPr>
                <w:rFonts w:ascii="Arial" w:eastAsia="Arial" w:hAnsi="Arial" w:cs="Arial"/>
                <w:b w:val="0"/>
                <w:sz w:val="20"/>
                <w:szCs w:val="20"/>
                <w:u w:val="none"/>
              </w:rPr>
              <w:t xml:space="preserve"> η ίδρυση του ακόμη εκκρεμεί λόγω της μη έγκρισης του από το κράτος.  Οι συντάξεις και τα φιλοδωρήματα του προσωπικού του Πανεπιστημίου καταβάλλονται μέσω του Προϋπολογισμού του και συγκεκριμένα στο πλαίσιο του Άρθρου 12-137 «Ταμείο Συντάξεων και Φιλοδωρημάτων».  </w:t>
            </w:r>
          </w:p>
        </w:tc>
      </w:tr>
      <w:tr w:rsidR="007422AB" w:rsidRPr="00903F89" w14:paraId="6BAF25E2" w14:textId="77777777" w:rsidTr="00B1212B">
        <w:tc>
          <w:tcPr>
            <w:tcW w:w="5269" w:type="dxa"/>
            <w:gridSpan w:val="11"/>
          </w:tcPr>
          <w:p w14:paraId="6F810700" w14:textId="77777777" w:rsidR="003C2DD3" w:rsidRPr="00903F89" w:rsidRDefault="003C2DD3" w:rsidP="00903F89">
            <w:pPr>
              <w:pStyle w:val="Heading8"/>
              <w:outlineLvl w:val="7"/>
              <w:rPr>
                <w:rFonts w:ascii="Arial" w:hAnsi="Arial" w:cs="Arial"/>
                <w:b w:val="0"/>
                <w:sz w:val="20"/>
                <w:szCs w:val="20"/>
                <w:u w:val="none"/>
              </w:rPr>
            </w:pPr>
          </w:p>
        </w:tc>
        <w:tc>
          <w:tcPr>
            <w:tcW w:w="2223" w:type="dxa"/>
            <w:gridSpan w:val="7"/>
          </w:tcPr>
          <w:p w14:paraId="43F68A4E" w14:textId="77777777" w:rsidR="003C2DD3" w:rsidRPr="00903F89" w:rsidRDefault="003C2DD3" w:rsidP="00903F89">
            <w:pPr>
              <w:jc w:val="both"/>
              <w:rPr>
                <w:rFonts w:cs="Arial"/>
                <w:sz w:val="20"/>
                <w:szCs w:val="20"/>
              </w:rPr>
            </w:pPr>
          </w:p>
        </w:tc>
        <w:tc>
          <w:tcPr>
            <w:tcW w:w="3046" w:type="dxa"/>
            <w:gridSpan w:val="9"/>
          </w:tcPr>
          <w:p w14:paraId="64249D30"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62E01800" w14:textId="77777777" w:rsidTr="00B1212B">
        <w:tc>
          <w:tcPr>
            <w:tcW w:w="10538" w:type="dxa"/>
            <w:gridSpan w:val="27"/>
          </w:tcPr>
          <w:p w14:paraId="394D3B13" w14:textId="74A632D0"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Σύμφωνα με την αναλογιστική μελέτη για το Πανεπιστήμιο Κύπρου που ετοίμασε ο αναλογιστικός οίκος </w:t>
            </w:r>
            <w:proofErr w:type="spellStart"/>
            <w:r w:rsidRPr="00903F89">
              <w:rPr>
                <w:rFonts w:ascii="Arial" w:eastAsia="Arial" w:hAnsi="Arial" w:cs="Arial"/>
                <w:b w:val="0"/>
                <w:sz w:val="20"/>
                <w:szCs w:val="20"/>
                <w:u w:val="none"/>
              </w:rPr>
              <w:t>Muhanna</w:t>
            </w:r>
            <w:proofErr w:type="spellEnd"/>
            <w:r w:rsidRPr="00903F89">
              <w:rPr>
                <w:rFonts w:ascii="Arial" w:eastAsia="Arial" w:hAnsi="Arial" w:cs="Arial"/>
                <w:b w:val="0"/>
                <w:sz w:val="20"/>
                <w:szCs w:val="20"/>
                <w:u w:val="none"/>
              </w:rPr>
              <w:t xml:space="preserve"> &amp; Co με ημερομηνία αναφοράς την 31</w:t>
            </w:r>
            <w:r w:rsidRPr="009E14CC">
              <w:rPr>
                <w:rFonts w:ascii="Arial" w:eastAsia="Arial" w:hAnsi="Arial" w:cs="Arial"/>
                <w:b w:val="0"/>
                <w:sz w:val="20"/>
                <w:szCs w:val="20"/>
                <w:u w:val="none"/>
                <w:vertAlign w:val="superscript"/>
              </w:rPr>
              <w:t>η</w:t>
            </w:r>
            <w:r w:rsidR="009E14CC">
              <w:rPr>
                <w:rFonts w:ascii="Arial" w:eastAsia="Arial" w:hAnsi="Arial" w:cs="Arial"/>
                <w:b w:val="0"/>
                <w:sz w:val="20"/>
                <w:szCs w:val="20"/>
                <w:u w:val="none"/>
              </w:rPr>
              <w:t xml:space="preserve"> </w:t>
            </w:r>
            <w:r w:rsidRPr="00903F89">
              <w:rPr>
                <w:rFonts w:ascii="Arial" w:eastAsia="Arial" w:hAnsi="Arial" w:cs="Arial"/>
                <w:b w:val="0"/>
                <w:sz w:val="20"/>
                <w:szCs w:val="20"/>
                <w:u w:val="none"/>
              </w:rPr>
              <w:t>Δεκεμβρίου 201</w:t>
            </w:r>
            <w:r w:rsidR="00EA255F" w:rsidRPr="00EA255F">
              <w:rPr>
                <w:rFonts w:ascii="Arial" w:eastAsia="Arial" w:hAnsi="Arial" w:cs="Arial"/>
                <w:b w:val="0"/>
                <w:sz w:val="20"/>
                <w:szCs w:val="20"/>
                <w:u w:val="none"/>
              </w:rPr>
              <w:t>9</w:t>
            </w:r>
            <w:r w:rsidRPr="00903F89">
              <w:rPr>
                <w:rFonts w:ascii="Arial" w:eastAsia="Arial" w:hAnsi="Arial" w:cs="Arial"/>
                <w:b w:val="0"/>
                <w:sz w:val="20"/>
                <w:szCs w:val="20"/>
                <w:u w:val="none"/>
              </w:rPr>
              <w:t>, η εκτίμηση του κόστους των συνταξιοδοτικών παροχών του Σχεδίου Συντάξεων και Χορηγημάτων («Σχέδιο») του Πανεπιστημίου Κύπρου κατά τις 31/12/201</w:t>
            </w:r>
            <w:r w:rsidR="00EA255F" w:rsidRPr="00EA255F">
              <w:rPr>
                <w:rFonts w:ascii="Arial" w:eastAsia="Arial" w:hAnsi="Arial" w:cs="Arial"/>
                <w:b w:val="0"/>
                <w:sz w:val="20"/>
                <w:szCs w:val="20"/>
                <w:u w:val="none"/>
              </w:rPr>
              <w:t>9</w:t>
            </w:r>
            <w:r w:rsidRPr="00903F89">
              <w:rPr>
                <w:rFonts w:ascii="Arial" w:eastAsia="Arial" w:hAnsi="Arial" w:cs="Arial"/>
                <w:b w:val="0"/>
                <w:sz w:val="20"/>
                <w:szCs w:val="20"/>
                <w:u w:val="none"/>
              </w:rPr>
              <w:t xml:space="preserve"> για το Διοικητικό Προσωπικό ανέρχεται σε €</w:t>
            </w:r>
            <w:r w:rsidR="00F372CD" w:rsidRPr="00F372CD">
              <w:rPr>
                <w:rFonts w:ascii="Arial" w:eastAsia="Arial" w:hAnsi="Arial" w:cs="Arial"/>
                <w:b w:val="0"/>
                <w:sz w:val="20"/>
                <w:szCs w:val="20"/>
                <w:u w:val="none"/>
              </w:rPr>
              <w:t>80.354.307</w:t>
            </w:r>
            <w:r w:rsidRPr="00903F89">
              <w:rPr>
                <w:rFonts w:ascii="Arial" w:eastAsia="Arial" w:hAnsi="Arial" w:cs="Arial"/>
                <w:b w:val="0"/>
                <w:sz w:val="20"/>
                <w:szCs w:val="20"/>
                <w:u w:val="none"/>
              </w:rPr>
              <w:t xml:space="preserve">, και για το μη μόνιμο Διοικητικό Προσωπικό σε </w:t>
            </w:r>
            <w:r w:rsidRPr="00F372CD">
              <w:rPr>
                <w:rFonts w:ascii="Arial" w:eastAsia="Arial" w:hAnsi="Arial" w:cs="Arial"/>
                <w:b w:val="0"/>
                <w:sz w:val="20"/>
                <w:szCs w:val="20"/>
                <w:u w:val="none"/>
              </w:rPr>
              <w:t>€</w:t>
            </w:r>
            <w:r w:rsidR="00F372CD" w:rsidRPr="00F372CD">
              <w:rPr>
                <w:rFonts w:ascii="Arial" w:eastAsia="Arial" w:hAnsi="Arial" w:cs="Arial"/>
                <w:b w:val="0"/>
                <w:sz w:val="20"/>
                <w:szCs w:val="20"/>
                <w:u w:val="none"/>
              </w:rPr>
              <w:t>3.512.476</w:t>
            </w:r>
            <w:r w:rsidRPr="00903F89">
              <w:rPr>
                <w:rFonts w:ascii="Arial" w:eastAsia="Arial" w:hAnsi="Arial" w:cs="Arial"/>
                <w:b w:val="0"/>
                <w:sz w:val="20"/>
                <w:szCs w:val="20"/>
                <w:u w:val="none"/>
              </w:rPr>
              <w:t>. Το σχετικό ποσό προκύπτει με βάση τον αριθμό και τα στοιχεία των μελών του προσωπικού του Πανεπιστημίου Κύπρου, και τις παραδοχές του αναλογιστικού οίκου που έγιναν κατά την ετοιμασία της μελέτης.</w:t>
            </w:r>
          </w:p>
        </w:tc>
      </w:tr>
      <w:tr w:rsidR="007422AB" w:rsidRPr="00903F89" w14:paraId="0FF5EED9" w14:textId="77777777" w:rsidTr="00B1212B">
        <w:tc>
          <w:tcPr>
            <w:tcW w:w="5269" w:type="dxa"/>
            <w:gridSpan w:val="11"/>
          </w:tcPr>
          <w:p w14:paraId="4A059882" w14:textId="77777777" w:rsidR="003C2DD3" w:rsidRPr="00903F89" w:rsidRDefault="003C2DD3" w:rsidP="00903F89">
            <w:pPr>
              <w:pStyle w:val="Heading8"/>
              <w:outlineLvl w:val="7"/>
              <w:rPr>
                <w:rFonts w:ascii="Arial" w:hAnsi="Arial" w:cs="Arial"/>
                <w:b w:val="0"/>
                <w:sz w:val="20"/>
                <w:szCs w:val="20"/>
                <w:u w:val="none"/>
              </w:rPr>
            </w:pPr>
          </w:p>
        </w:tc>
        <w:tc>
          <w:tcPr>
            <w:tcW w:w="2223" w:type="dxa"/>
            <w:gridSpan w:val="7"/>
          </w:tcPr>
          <w:p w14:paraId="53B88B44" w14:textId="77777777" w:rsidR="003C2DD3" w:rsidRPr="00903F89" w:rsidRDefault="003C2DD3" w:rsidP="00903F89">
            <w:pPr>
              <w:jc w:val="both"/>
              <w:rPr>
                <w:rFonts w:cs="Arial"/>
                <w:sz w:val="20"/>
                <w:szCs w:val="20"/>
              </w:rPr>
            </w:pPr>
          </w:p>
        </w:tc>
        <w:tc>
          <w:tcPr>
            <w:tcW w:w="3046" w:type="dxa"/>
            <w:gridSpan w:val="9"/>
          </w:tcPr>
          <w:p w14:paraId="69C399F3"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5E4D1FB8" w14:textId="77777777" w:rsidTr="00B1212B">
        <w:tc>
          <w:tcPr>
            <w:tcW w:w="10538" w:type="dxa"/>
            <w:gridSpan w:val="27"/>
          </w:tcPr>
          <w:p w14:paraId="68D8C010" w14:textId="77777777"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Η πρόνοια του άρθρου καθορίστηκε στο παρόν στάδιο ενδεικτικά σε €10 μέχρι να ληφθούν υποδείξεις για περαιτέρω χειρισμό του θέματος.</w:t>
            </w:r>
          </w:p>
        </w:tc>
      </w:tr>
      <w:tr w:rsidR="007422AB" w:rsidRPr="00903F89" w14:paraId="1D5548F8" w14:textId="77777777" w:rsidTr="00B1212B">
        <w:tc>
          <w:tcPr>
            <w:tcW w:w="5269" w:type="dxa"/>
            <w:gridSpan w:val="11"/>
          </w:tcPr>
          <w:p w14:paraId="4FC6C3FD" w14:textId="77777777" w:rsidR="003C2DD3" w:rsidRPr="00903F89" w:rsidRDefault="003C2DD3" w:rsidP="00903F89">
            <w:pPr>
              <w:pStyle w:val="Heading8"/>
              <w:outlineLvl w:val="7"/>
              <w:rPr>
                <w:rFonts w:ascii="Arial" w:hAnsi="Arial" w:cs="Arial"/>
                <w:sz w:val="20"/>
                <w:szCs w:val="20"/>
                <w:u w:val="single"/>
              </w:rPr>
            </w:pPr>
          </w:p>
        </w:tc>
        <w:tc>
          <w:tcPr>
            <w:tcW w:w="2223" w:type="dxa"/>
            <w:gridSpan w:val="7"/>
          </w:tcPr>
          <w:p w14:paraId="17599B34" w14:textId="77777777" w:rsidR="003C2DD3" w:rsidRPr="00903F89" w:rsidRDefault="003C2DD3" w:rsidP="00903F89">
            <w:pPr>
              <w:jc w:val="both"/>
              <w:rPr>
                <w:rFonts w:cs="Arial"/>
                <w:sz w:val="20"/>
                <w:szCs w:val="20"/>
              </w:rPr>
            </w:pPr>
          </w:p>
        </w:tc>
        <w:tc>
          <w:tcPr>
            <w:tcW w:w="3046" w:type="dxa"/>
            <w:gridSpan w:val="9"/>
          </w:tcPr>
          <w:p w14:paraId="63A3C8A5" w14:textId="77777777" w:rsidR="003C2DD3" w:rsidRPr="00903F89" w:rsidRDefault="003C2DD3" w:rsidP="00903F89">
            <w:pPr>
              <w:pStyle w:val="Heading8"/>
              <w:outlineLvl w:val="7"/>
              <w:rPr>
                <w:rFonts w:ascii="Arial" w:hAnsi="Arial" w:cs="Arial"/>
                <w:sz w:val="20"/>
                <w:szCs w:val="20"/>
                <w:u w:val="single"/>
              </w:rPr>
            </w:pPr>
          </w:p>
        </w:tc>
      </w:tr>
      <w:tr w:rsidR="007422AB" w:rsidRPr="00903F89" w14:paraId="1D83F1AA" w14:textId="77777777" w:rsidTr="00B1212B">
        <w:tc>
          <w:tcPr>
            <w:tcW w:w="10538" w:type="dxa"/>
            <w:gridSpan w:val="27"/>
          </w:tcPr>
          <w:p w14:paraId="6BDD2290" w14:textId="35242380" w:rsidR="003C2DD3" w:rsidRPr="00903F89" w:rsidRDefault="003C2DD3" w:rsidP="00903F89">
            <w:pPr>
              <w:pStyle w:val="Heading8"/>
              <w:outlineLvl w:val="7"/>
              <w:rPr>
                <w:rFonts w:ascii="Arial" w:hAnsi="Arial" w:cs="Arial"/>
                <w:sz w:val="20"/>
                <w:szCs w:val="20"/>
                <w:u w:val="single"/>
                <w:lang w:val="en-US"/>
              </w:rPr>
            </w:pPr>
            <w:r w:rsidRPr="00903F89">
              <w:rPr>
                <w:rFonts w:ascii="Arial" w:hAnsi="Arial" w:cs="Arial"/>
                <w:bCs/>
                <w:sz w:val="20"/>
                <w:szCs w:val="20"/>
                <w:u w:val="single"/>
              </w:rPr>
              <w:t xml:space="preserve">Άρθρο </w:t>
            </w:r>
            <w:r w:rsidRPr="00903F89">
              <w:rPr>
                <w:rFonts w:ascii="Arial" w:eastAsia="Arial" w:hAnsi="Arial" w:cs="Arial"/>
                <w:sz w:val="20"/>
                <w:szCs w:val="20"/>
                <w:u w:val="single"/>
              </w:rPr>
              <w:t>12-</w:t>
            </w:r>
            <w:r w:rsidRPr="00903F89">
              <w:rPr>
                <w:rFonts w:ascii="Arial" w:hAnsi="Arial" w:cs="Arial"/>
                <w:bCs/>
                <w:sz w:val="20"/>
                <w:szCs w:val="20"/>
                <w:u w:val="single"/>
              </w:rPr>
              <w:t>140 – Γενικό Σχέδιο Υγείας – €</w:t>
            </w:r>
            <w:r w:rsidR="006A39F9" w:rsidRPr="006A39F9">
              <w:rPr>
                <w:rFonts w:ascii="Arial" w:hAnsi="Arial" w:cs="Arial"/>
                <w:bCs/>
                <w:sz w:val="20"/>
                <w:szCs w:val="20"/>
                <w:u w:val="single"/>
              </w:rPr>
              <w:t>376.759</w:t>
            </w:r>
          </w:p>
        </w:tc>
      </w:tr>
      <w:tr w:rsidR="007422AB" w:rsidRPr="00903F89" w14:paraId="5A30CA2A" w14:textId="77777777" w:rsidTr="00B1212B">
        <w:tc>
          <w:tcPr>
            <w:tcW w:w="5269" w:type="dxa"/>
            <w:gridSpan w:val="11"/>
          </w:tcPr>
          <w:p w14:paraId="69DACA44" w14:textId="77777777" w:rsidR="003C2DD3" w:rsidRPr="00903F89" w:rsidRDefault="003C2DD3" w:rsidP="00903F89">
            <w:pPr>
              <w:pStyle w:val="Heading8"/>
              <w:outlineLvl w:val="7"/>
              <w:rPr>
                <w:rFonts w:ascii="Arial" w:hAnsi="Arial" w:cs="Arial"/>
                <w:b w:val="0"/>
                <w:sz w:val="20"/>
                <w:szCs w:val="20"/>
                <w:u w:val="none"/>
              </w:rPr>
            </w:pPr>
          </w:p>
        </w:tc>
        <w:tc>
          <w:tcPr>
            <w:tcW w:w="2223" w:type="dxa"/>
            <w:gridSpan w:val="7"/>
          </w:tcPr>
          <w:p w14:paraId="098E85CC" w14:textId="77777777" w:rsidR="003C2DD3" w:rsidRPr="00903F89" w:rsidRDefault="003C2DD3" w:rsidP="00903F89">
            <w:pPr>
              <w:jc w:val="both"/>
              <w:rPr>
                <w:rFonts w:cs="Arial"/>
                <w:sz w:val="20"/>
                <w:szCs w:val="20"/>
              </w:rPr>
            </w:pPr>
          </w:p>
        </w:tc>
        <w:tc>
          <w:tcPr>
            <w:tcW w:w="3046" w:type="dxa"/>
            <w:gridSpan w:val="9"/>
          </w:tcPr>
          <w:p w14:paraId="3BAF9696"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53E25C87" w14:textId="77777777" w:rsidTr="00B1212B">
        <w:tc>
          <w:tcPr>
            <w:tcW w:w="10538" w:type="dxa"/>
            <w:gridSpan w:val="27"/>
          </w:tcPr>
          <w:p w14:paraId="1CC886A6" w14:textId="31D6B4EB" w:rsidR="003C2DD3" w:rsidRPr="00903F89" w:rsidRDefault="003C2DD3" w:rsidP="00903F89">
            <w:pPr>
              <w:jc w:val="both"/>
              <w:rPr>
                <w:rFonts w:eastAsia="Arial" w:cs="Arial"/>
                <w:sz w:val="20"/>
                <w:szCs w:val="20"/>
                <w:u w:color="000000"/>
              </w:rPr>
            </w:pPr>
            <w:r w:rsidRPr="00903F89">
              <w:rPr>
                <w:rFonts w:eastAsia="Arial" w:cs="Arial"/>
                <w:sz w:val="20"/>
                <w:szCs w:val="20"/>
              </w:rPr>
              <w:t>Το άρθρο δημιουργήθηκε με τον Περί Προϋπολογισμού του Πανεπιστημίου Κύπρου για το 2019, Νόμος του 2019. Το άρθρο περιλαμβάνει την πρόνοια, που αφορά στη συνεισφορά του Πανεπιστημίου ως εργοδότη, ύψους 2,90% επί των ολικών αποδοχών του ακαδημαϊκού προσωπικού, σύμφωνα με το άρθρο 19 των «περί Γενικού Συστήματος Υγείας Νόμων του 2001-2017».</w:t>
            </w:r>
          </w:p>
        </w:tc>
      </w:tr>
      <w:tr w:rsidR="007422AB" w:rsidRPr="00903F89" w14:paraId="017485E0" w14:textId="77777777" w:rsidTr="00B1212B">
        <w:tc>
          <w:tcPr>
            <w:tcW w:w="10538" w:type="dxa"/>
            <w:gridSpan w:val="27"/>
          </w:tcPr>
          <w:p w14:paraId="2E049929" w14:textId="77777777" w:rsidR="003C2DD3" w:rsidRPr="00903F89" w:rsidRDefault="003C2DD3" w:rsidP="00903F89">
            <w:pPr>
              <w:jc w:val="both"/>
              <w:rPr>
                <w:rFonts w:eastAsia="Arial" w:cs="Arial"/>
                <w:sz w:val="20"/>
                <w:szCs w:val="20"/>
                <w:u w:color="000000"/>
              </w:rPr>
            </w:pPr>
          </w:p>
        </w:tc>
      </w:tr>
      <w:tr w:rsidR="007422AB" w:rsidRPr="00903F89" w14:paraId="3FCFD1B6" w14:textId="77777777" w:rsidTr="00B1212B">
        <w:tc>
          <w:tcPr>
            <w:tcW w:w="10538" w:type="dxa"/>
            <w:gridSpan w:val="27"/>
          </w:tcPr>
          <w:p w14:paraId="6E409CE4" w14:textId="68DC0717" w:rsidR="003C2DD3" w:rsidRPr="00903F89" w:rsidRDefault="003C2DD3" w:rsidP="00903F89">
            <w:pPr>
              <w:jc w:val="both"/>
              <w:rPr>
                <w:rFonts w:eastAsia="Arial" w:cs="Arial"/>
                <w:sz w:val="20"/>
                <w:szCs w:val="20"/>
                <w:u w:color="000000"/>
              </w:rPr>
            </w:pPr>
            <w:r w:rsidRPr="00903F89">
              <w:rPr>
                <w:rFonts w:eastAsia="Arial" w:cs="Arial"/>
                <w:sz w:val="20"/>
                <w:szCs w:val="20"/>
                <w:u w:color="000000"/>
              </w:rPr>
              <w:t>Οι πρόνοιες που αφορούν στη συνεισφορά του Πανεπιστημίου στο Γενικό Σύστημα Υγείας για το μη μόνιμο διοικητικό (ύψους €111.574) και το ωρομίσθιο προσωπικό (€19.053) του Πανεπιστημίου, περιλαμβάνονται στα Άρθρα 12-108 «Πρόσθετες Βοηθητικές Υπηρεσίες» και 12-111 «Ωρομίσθια-Αχθοφόροι/ Κλητήρες», αντίστοιχα.</w:t>
            </w:r>
          </w:p>
        </w:tc>
      </w:tr>
      <w:tr w:rsidR="007422AB" w:rsidRPr="00903F89" w14:paraId="308230E1" w14:textId="77777777" w:rsidTr="00B1212B">
        <w:tc>
          <w:tcPr>
            <w:tcW w:w="10538" w:type="dxa"/>
            <w:gridSpan w:val="27"/>
          </w:tcPr>
          <w:p w14:paraId="3AA3946F" w14:textId="77777777" w:rsidR="003C2DD3" w:rsidRPr="00903F89" w:rsidRDefault="003C2DD3" w:rsidP="00903F89">
            <w:pPr>
              <w:jc w:val="both"/>
              <w:rPr>
                <w:rFonts w:eastAsia="Arial" w:cs="Arial"/>
                <w:sz w:val="20"/>
                <w:szCs w:val="20"/>
                <w:u w:color="000000"/>
              </w:rPr>
            </w:pPr>
          </w:p>
        </w:tc>
      </w:tr>
      <w:tr w:rsidR="007422AB" w:rsidRPr="00903F89" w14:paraId="43D9AB9D" w14:textId="77777777" w:rsidTr="00B1212B">
        <w:tc>
          <w:tcPr>
            <w:tcW w:w="10538" w:type="dxa"/>
            <w:gridSpan w:val="27"/>
          </w:tcPr>
          <w:p w14:paraId="07899304" w14:textId="563861BF" w:rsidR="003C2DD3" w:rsidRPr="00903F89" w:rsidRDefault="003C2DD3" w:rsidP="00903F89">
            <w:pPr>
              <w:jc w:val="both"/>
              <w:rPr>
                <w:rFonts w:eastAsia="Arial" w:cs="Arial"/>
                <w:b/>
                <w:sz w:val="20"/>
                <w:szCs w:val="20"/>
                <w:u w:color="000000"/>
              </w:rPr>
            </w:pPr>
            <w:r w:rsidRPr="00903F89">
              <w:rPr>
                <w:rFonts w:eastAsia="Arial" w:cs="Arial"/>
                <w:b/>
                <w:sz w:val="20"/>
                <w:szCs w:val="20"/>
                <w:u w:val="single"/>
              </w:rPr>
              <w:t>Άρθρο 12-150 – Διαρθρωτικά Προγράμματα και Σχέδια – €0</w:t>
            </w:r>
          </w:p>
        </w:tc>
      </w:tr>
      <w:tr w:rsidR="007422AB" w:rsidRPr="00903F89" w14:paraId="15E4DE0D" w14:textId="77777777" w:rsidTr="00B1212B">
        <w:tc>
          <w:tcPr>
            <w:tcW w:w="10538" w:type="dxa"/>
            <w:gridSpan w:val="27"/>
          </w:tcPr>
          <w:p w14:paraId="32D44EEE" w14:textId="0827472F" w:rsidR="003C2DD3" w:rsidRPr="00903F89" w:rsidRDefault="003C2DD3" w:rsidP="00903F89">
            <w:pPr>
              <w:jc w:val="both"/>
              <w:rPr>
                <w:rFonts w:eastAsia="Arial" w:cs="Arial"/>
                <w:sz w:val="20"/>
                <w:szCs w:val="20"/>
                <w:u w:color="000000"/>
              </w:rPr>
            </w:pPr>
          </w:p>
        </w:tc>
      </w:tr>
      <w:tr w:rsidR="007422AB" w:rsidRPr="00903F89" w14:paraId="5AEBE84C" w14:textId="77777777" w:rsidTr="00B1212B">
        <w:tc>
          <w:tcPr>
            <w:tcW w:w="10538" w:type="dxa"/>
            <w:gridSpan w:val="27"/>
          </w:tcPr>
          <w:p w14:paraId="484D5CBF" w14:textId="407C59E2" w:rsidR="003C2DD3" w:rsidRPr="00903F89" w:rsidRDefault="00130787" w:rsidP="00903F89">
            <w:pPr>
              <w:jc w:val="both"/>
              <w:rPr>
                <w:rFonts w:eastAsia="Arial" w:cs="Arial"/>
                <w:sz w:val="20"/>
                <w:szCs w:val="20"/>
                <w:u w:color="000000"/>
              </w:rPr>
            </w:pPr>
            <w:r w:rsidRPr="00130787">
              <w:rPr>
                <w:rFonts w:eastAsia="Arial" w:cs="Arial"/>
                <w:sz w:val="20"/>
                <w:szCs w:val="20"/>
                <w:u w:color="000000"/>
              </w:rPr>
              <w:t xml:space="preserve">Κατάργηση </w:t>
            </w:r>
            <w:r w:rsidR="00160872">
              <w:rPr>
                <w:rFonts w:eastAsia="Arial" w:cs="Arial"/>
                <w:sz w:val="20"/>
                <w:szCs w:val="20"/>
                <w:u w:color="000000"/>
              </w:rPr>
              <w:t>ά</w:t>
            </w:r>
            <w:r w:rsidRPr="00130787">
              <w:rPr>
                <w:rFonts w:eastAsia="Arial" w:cs="Arial"/>
                <w:sz w:val="20"/>
                <w:szCs w:val="20"/>
                <w:u w:color="000000"/>
              </w:rPr>
              <w:t>ρθρου. Οι δαπάνες για το 2022 εμφανίζονται στο Άρθρο 602 με τίτλο «Διαρθρωτικά Προγράμματα και Σχέδια», στην Υποομάδα 601 «Δαπάνες Συγχρηματοδοτούμενες από Κοινοτικούς Πόρους»).</w:t>
            </w:r>
          </w:p>
        </w:tc>
      </w:tr>
      <w:tr w:rsidR="007422AB" w:rsidRPr="00903F89" w14:paraId="3F2AD231" w14:textId="77777777" w:rsidTr="00B1212B">
        <w:tc>
          <w:tcPr>
            <w:tcW w:w="10538" w:type="dxa"/>
            <w:gridSpan w:val="27"/>
          </w:tcPr>
          <w:p w14:paraId="6985701C" w14:textId="77777777" w:rsidR="003C2DD3" w:rsidRPr="00903F89" w:rsidRDefault="003C2DD3" w:rsidP="00903F89">
            <w:pPr>
              <w:jc w:val="both"/>
              <w:rPr>
                <w:rFonts w:eastAsia="Arial" w:cs="Arial"/>
                <w:sz w:val="20"/>
                <w:szCs w:val="20"/>
                <w:u w:color="000000"/>
              </w:rPr>
            </w:pPr>
          </w:p>
        </w:tc>
      </w:tr>
      <w:tr w:rsidR="007422AB" w:rsidRPr="00903F89" w14:paraId="5F6D005E" w14:textId="77777777" w:rsidTr="00B1212B">
        <w:tc>
          <w:tcPr>
            <w:tcW w:w="10538" w:type="dxa"/>
            <w:gridSpan w:val="27"/>
          </w:tcPr>
          <w:p w14:paraId="50AB8729" w14:textId="4C0AAD4F" w:rsidR="003C2DD3" w:rsidRPr="00903F89" w:rsidRDefault="003C2DD3" w:rsidP="00903F89">
            <w:pPr>
              <w:jc w:val="both"/>
              <w:rPr>
                <w:rFonts w:eastAsia="Arial" w:cs="Arial"/>
                <w:b/>
                <w:sz w:val="20"/>
                <w:szCs w:val="20"/>
                <w:u w:color="000000"/>
              </w:rPr>
            </w:pPr>
            <w:r w:rsidRPr="00903F89">
              <w:rPr>
                <w:rFonts w:cs="Arial"/>
                <w:b/>
                <w:sz w:val="20"/>
                <w:szCs w:val="20"/>
                <w:u w:val="single"/>
              </w:rPr>
              <w:t xml:space="preserve">Άρθρο </w:t>
            </w:r>
            <w:r w:rsidRPr="00903F89">
              <w:rPr>
                <w:rFonts w:eastAsia="Arial" w:cs="Arial"/>
                <w:b/>
                <w:sz w:val="20"/>
                <w:szCs w:val="20"/>
                <w:u w:val="single"/>
              </w:rPr>
              <w:t>12-</w:t>
            </w:r>
            <w:r w:rsidRPr="00903F89">
              <w:rPr>
                <w:rFonts w:cs="Arial"/>
                <w:b/>
                <w:sz w:val="20"/>
                <w:szCs w:val="20"/>
                <w:u w:val="single"/>
              </w:rPr>
              <w:t xml:space="preserve">151 </w:t>
            </w:r>
            <w:r w:rsidRPr="00903F89">
              <w:rPr>
                <w:rFonts w:eastAsia="Arial" w:cs="Arial"/>
                <w:b/>
                <w:sz w:val="20"/>
                <w:szCs w:val="20"/>
                <w:u w:val="single"/>
              </w:rPr>
              <w:t xml:space="preserve">– </w:t>
            </w:r>
            <w:r w:rsidRPr="00903F89">
              <w:rPr>
                <w:rFonts w:cs="Arial"/>
                <w:b/>
                <w:sz w:val="20"/>
                <w:szCs w:val="20"/>
                <w:u w:val="single"/>
              </w:rPr>
              <w:t>Έργα και Σχέδια Συγχρηματοδοτούμενα από Κοινοτικούς Πόρους (Δαπάνες από Χρηματοδότηση Πανεπιστημίου) – €0</w:t>
            </w:r>
          </w:p>
        </w:tc>
      </w:tr>
      <w:tr w:rsidR="007422AB" w:rsidRPr="00903F89" w14:paraId="75F64CD6" w14:textId="77777777" w:rsidTr="00B1212B">
        <w:tc>
          <w:tcPr>
            <w:tcW w:w="10538" w:type="dxa"/>
            <w:gridSpan w:val="27"/>
            <w:shd w:val="clear" w:color="auto" w:fill="auto"/>
          </w:tcPr>
          <w:p w14:paraId="021EE2FA" w14:textId="77777777" w:rsidR="003C2DD3" w:rsidRPr="00903F89" w:rsidRDefault="003C2DD3" w:rsidP="00903F89">
            <w:pPr>
              <w:jc w:val="both"/>
              <w:rPr>
                <w:rFonts w:eastAsia="Arial" w:cs="Arial"/>
                <w:sz w:val="20"/>
                <w:szCs w:val="20"/>
                <w:u w:color="000000"/>
              </w:rPr>
            </w:pPr>
          </w:p>
        </w:tc>
      </w:tr>
      <w:tr w:rsidR="007422AB" w:rsidRPr="00903F89" w14:paraId="44A7630E" w14:textId="77777777" w:rsidTr="00B1212B">
        <w:tc>
          <w:tcPr>
            <w:tcW w:w="10538" w:type="dxa"/>
            <w:gridSpan w:val="27"/>
            <w:shd w:val="clear" w:color="auto" w:fill="FFFFFF" w:themeFill="background1"/>
          </w:tcPr>
          <w:p w14:paraId="66B18E27" w14:textId="4E3BEFE1" w:rsidR="003C2DD3" w:rsidRPr="00903F89" w:rsidRDefault="00130787" w:rsidP="00903F89">
            <w:pPr>
              <w:jc w:val="both"/>
              <w:rPr>
                <w:rFonts w:eastAsia="Arial" w:cs="Arial"/>
                <w:sz w:val="20"/>
                <w:szCs w:val="20"/>
                <w:u w:color="000000"/>
              </w:rPr>
            </w:pPr>
            <w:r w:rsidRPr="00130787">
              <w:rPr>
                <w:rFonts w:eastAsia="Arial" w:cs="Arial"/>
                <w:sz w:val="20"/>
                <w:szCs w:val="20"/>
                <w:u w:color="000000"/>
              </w:rPr>
              <w:t xml:space="preserve">Κατάργηση </w:t>
            </w:r>
            <w:r w:rsidR="00160872">
              <w:rPr>
                <w:rFonts w:eastAsia="Arial" w:cs="Arial"/>
                <w:sz w:val="20"/>
                <w:szCs w:val="20"/>
                <w:u w:color="000000"/>
              </w:rPr>
              <w:t>ά</w:t>
            </w:r>
            <w:r w:rsidRPr="00130787">
              <w:rPr>
                <w:rFonts w:eastAsia="Arial" w:cs="Arial"/>
                <w:sz w:val="20"/>
                <w:szCs w:val="20"/>
                <w:u w:color="000000"/>
              </w:rPr>
              <w:t>ρθρου. Οι δαπάνες για το 2022 εμφανίζονται στο Άρθρο 621</w:t>
            </w:r>
            <w:r w:rsidR="00160872">
              <w:rPr>
                <w:rFonts w:eastAsia="Arial" w:cs="Arial"/>
                <w:sz w:val="20"/>
                <w:szCs w:val="20"/>
                <w:u w:color="000000"/>
              </w:rPr>
              <w:t>,</w:t>
            </w:r>
            <w:r w:rsidRPr="00130787">
              <w:rPr>
                <w:rFonts w:eastAsia="Arial" w:cs="Arial"/>
                <w:sz w:val="20"/>
                <w:szCs w:val="20"/>
                <w:u w:color="000000"/>
              </w:rPr>
              <w:t xml:space="preserve"> με τίτλο «Έργα και Σχέδια Συγχρηματοδοτούμενα από Πανεπιστήμιο Κύπρου) - ΚΟΙΟΣ», στην Υποομάδα 620 «Δαπάνες Συγχρηματοδοτούμενες από Πανεπιστήμιο Κύπρου»).</w:t>
            </w:r>
          </w:p>
        </w:tc>
      </w:tr>
      <w:tr w:rsidR="007422AB" w:rsidRPr="00903F89" w14:paraId="2AE6C57F" w14:textId="77777777" w:rsidTr="00B1212B">
        <w:trPr>
          <w:trHeight w:val="60"/>
        </w:trPr>
        <w:tc>
          <w:tcPr>
            <w:tcW w:w="10538" w:type="dxa"/>
            <w:gridSpan w:val="27"/>
          </w:tcPr>
          <w:p w14:paraId="4C0D0788" w14:textId="77777777" w:rsidR="003C2DD3" w:rsidRPr="00903F89" w:rsidRDefault="003C2DD3" w:rsidP="00903F89">
            <w:pPr>
              <w:jc w:val="both"/>
              <w:rPr>
                <w:rFonts w:eastAsia="Arial" w:cs="Arial"/>
                <w:sz w:val="20"/>
                <w:szCs w:val="20"/>
                <w:u w:color="000000"/>
              </w:rPr>
            </w:pPr>
          </w:p>
        </w:tc>
      </w:tr>
      <w:tr w:rsidR="007422AB" w:rsidRPr="00903F89" w14:paraId="7186E285" w14:textId="77777777" w:rsidTr="00B1212B">
        <w:tc>
          <w:tcPr>
            <w:tcW w:w="10538" w:type="dxa"/>
            <w:gridSpan w:val="27"/>
          </w:tcPr>
          <w:p w14:paraId="61F7911D" w14:textId="50A79E84" w:rsidR="003C2DD3" w:rsidRPr="00903F89" w:rsidRDefault="003C2DD3" w:rsidP="00903F89">
            <w:pPr>
              <w:pStyle w:val="Heading8"/>
              <w:outlineLvl w:val="7"/>
              <w:rPr>
                <w:rFonts w:ascii="Arial" w:eastAsia="Arial" w:hAnsi="Arial" w:cs="Arial"/>
                <w:sz w:val="20"/>
                <w:szCs w:val="20"/>
                <w:u w:val="none"/>
              </w:rPr>
            </w:pPr>
            <w:r w:rsidRPr="00903F89">
              <w:rPr>
                <w:rFonts w:ascii="Arial" w:eastAsia="Arial" w:hAnsi="Arial" w:cs="Arial"/>
                <w:sz w:val="20"/>
                <w:szCs w:val="20"/>
                <w:u w:val="single"/>
              </w:rPr>
              <w:t>Άρθρο 12-152 – Ταμείο Προνοίας Ωρομίσθιου Προσωπικού – €60.000</w:t>
            </w:r>
          </w:p>
        </w:tc>
      </w:tr>
      <w:tr w:rsidR="007422AB" w:rsidRPr="00903F89" w14:paraId="2F43A708" w14:textId="77777777" w:rsidTr="00B1212B">
        <w:tc>
          <w:tcPr>
            <w:tcW w:w="10538" w:type="dxa"/>
            <w:gridSpan w:val="27"/>
          </w:tcPr>
          <w:p w14:paraId="5EAD091E" w14:textId="77777777" w:rsidR="003C2DD3" w:rsidRPr="00903F89" w:rsidRDefault="003C2DD3" w:rsidP="00903F89">
            <w:pPr>
              <w:pStyle w:val="Heading8"/>
              <w:outlineLvl w:val="7"/>
              <w:rPr>
                <w:rFonts w:ascii="Arial" w:hAnsi="Arial" w:cs="Arial"/>
                <w:b w:val="0"/>
                <w:sz w:val="20"/>
                <w:szCs w:val="20"/>
                <w:u w:val="none"/>
              </w:rPr>
            </w:pPr>
          </w:p>
        </w:tc>
      </w:tr>
      <w:tr w:rsidR="007422AB" w:rsidRPr="00903F89" w14:paraId="287E39B6" w14:textId="77777777" w:rsidTr="00B1212B">
        <w:tc>
          <w:tcPr>
            <w:tcW w:w="10538" w:type="dxa"/>
            <w:gridSpan w:val="27"/>
          </w:tcPr>
          <w:p w14:paraId="516B9D4B" w14:textId="77777777"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Το άρθρο δημιουργήθηκε με τον Περί Προϋπολογισμού του Πανεπιστημίου Κύπρου του 2015, Νόμο του 2015, για τη δυνατότητα διενέργειας σχετικών δαπανών στην περίπτωση που ολοκληρωθούν οι συζητήσεις για τον καταρτισμό και έγκριση των Κανονισμών για την ίδρυση Ταμείου Προνοίας για το Ωρομίσθιο Προσωπικό του Πανεπιστημίου Κύπρου.  </w:t>
            </w:r>
          </w:p>
        </w:tc>
      </w:tr>
      <w:tr w:rsidR="007422AB" w:rsidRPr="00903F89" w14:paraId="6F0772C0" w14:textId="77777777" w:rsidTr="00B1212B">
        <w:tc>
          <w:tcPr>
            <w:tcW w:w="10538" w:type="dxa"/>
            <w:gridSpan w:val="27"/>
          </w:tcPr>
          <w:p w14:paraId="0D78D170" w14:textId="77777777" w:rsidR="003C2DD3" w:rsidRPr="00903F89" w:rsidRDefault="003C2DD3" w:rsidP="00903F89">
            <w:pPr>
              <w:jc w:val="both"/>
              <w:rPr>
                <w:rFonts w:cs="Arial"/>
                <w:sz w:val="20"/>
                <w:szCs w:val="20"/>
              </w:rPr>
            </w:pPr>
          </w:p>
        </w:tc>
      </w:tr>
      <w:tr w:rsidR="007422AB" w:rsidRPr="00903F89" w14:paraId="17E99301" w14:textId="77777777" w:rsidTr="00B1212B">
        <w:tc>
          <w:tcPr>
            <w:tcW w:w="10538" w:type="dxa"/>
            <w:gridSpan w:val="27"/>
          </w:tcPr>
          <w:p w14:paraId="0BCA3161" w14:textId="62BD4054"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Η πρόνοια αφορά στην καταβολή των ποσοστών εισφορών εργοδότη - εργοδοτούμενου στα πλαίσια της πολιτικής του κράτους για τα νέα Ταμεία Προνοίας.  Συγκεκριμένα η πρόνοια για το 2022 είναι ενδεικτική και αφορά: </w:t>
            </w:r>
          </w:p>
          <w:p w14:paraId="66D51301" w14:textId="77777777" w:rsidR="003C2DD3" w:rsidRPr="00903F89" w:rsidRDefault="003C2DD3" w:rsidP="00903F89">
            <w:pPr>
              <w:pStyle w:val="Heading8"/>
              <w:outlineLvl w:val="7"/>
              <w:rPr>
                <w:rFonts w:ascii="Arial" w:eastAsia="Arial" w:hAnsi="Arial" w:cs="Arial"/>
                <w:b w:val="0"/>
                <w:sz w:val="20"/>
                <w:szCs w:val="20"/>
                <w:u w:val="none"/>
              </w:rPr>
            </w:pPr>
            <w:r w:rsidRPr="00903F89">
              <w:rPr>
                <w:rFonts w:ascii="Arial" w:eastAsia="Arial" w:hAnsi="Arial" w:cs="Arial"/>
                <w:b w:val="0"/>
                <w:sz w:val="20"/>
                <w:szCs w:val="20"/>
                <w:u w:val="none"/>
              </w:rPr>
              <w:t xml:space="preserve">(α) στη συνεισφορά εργοδότη (ύψους 5% επί του μεικτού μηνιαίου μισθού του ωρομίσθιου προσωπικού),  καθώς και </w:t>
            </w:r>
          </w:p>
          <w:p w14:paraId="1746F31E" w14:textId="77777777" w:rsidR="003C2DD3" w:rsidRPr="00903F89" w:rsidRDefault="003C2DD3" w:rsidP="00903F89">
            <w:pPr>
              <w:jc w:val="both"/>
              <w:rPr>
                <w:rFonts w:cs="Arial"/>
                <w:sz w:val="20"/>
                <w:szCs w:val="20"/>
              </w:rPr>
            </w:pPr>
            <w:r w:rsidRPr="00903F89">
              <w:rPr>
                <w:rFonts w:eastAsia="Arial" w:cs="Arial"/>
                <w:sz w:val="20"/>
                <w:szCs w:val="20"/>
              </w:rPr>
              <w:t xml:space="preserve">(β) στη συνεισφορά εργοδοτουμένων (υπολογισμοί για το ελάχιστον 5% επί του μεικτού μηνιαίου μισθού του ωρομίσθιου προσωπικού).  </w:t>
            </w:r>
          </w:p>
        </w:tc>
      </w:tr>
      <w:tr w:rsidR="007422AB" w:rsidRPr="00903F89" w14:paraId="3B722FDB" w14:textId="77777777" w:rsidTr="00B1212B">
        <w:tc>
          <w:tcPr>
            <w:tcW w:w="10538" w:type="dxa"/>
            <w:gridSpan w:val="27"/>
            <w:shd w:val="clear" w:color="auto" w:fill="auto"/>
          </w:tcPr>
          <w:p w14:paraId="76B93D50" w14:textId="77777777" w:rsidR="003C2DD3" w:rsidRPr="00903F89" w:rsidRDefault="003C2DD3" w:rsidP="00903F89">
            <w:pPr>
              <w:jc w:val="both"/>
              <w:rPr>
                <w:rFonts w:eastAsia="Arial" w:cs="Arial"/>
                <w:sz w:val="20"/>
                <w:szCs w:val="20"/>
              </w:rPr>
            </w:pPr>
          </w:p>
        </w:tc>
      </w:tr>
      <w:tr w:rsidR="007422AB" w:rsidRPr="00903F89" w14:paraId="4CA89E24" w14:textId="77777777" w:rsidTr="00B1212B">
        <w:tc>
          <w:tcPr>
            <w:tcW w:w="10538" w:type="dxa"/>
            <w:gridSpan w:val="27"/>
          </w:tcPr>
          <w:p w14:paraId="26A2BFE6" w14:textId="49792098" w:rsidR="003C2DD3" w:rsidRPr="00903F89" w:rsidRDefault="003C2DD3" w:rsidP="00903F89">
            <w:pPr>
              <w:jc w:val="both"/>
              <w:rPr>
                <w:rFonts w:eastAsia="Arial" w:cs="Arial"/>
                <w:b/>
                <w:sz w:val="20"/>
                <w:szCs w:val="20"/>
                <w:lang w:val="en-US"/>
              </w:rPr>
            </w:pPr>
            <w:r w:rsidRPr="00903F89">
              <w:rPr>
                <w:rFonts w:cs="Arial"/>
                <w:b/>
                <w:sz w:val="20"/>
                <w:szCs w:val="20"/>
                <w:u w:val="single"/>
              </w:rPr>
              <w:t xml:space="preserve">Άρθρο </w:t>
            </w:r>
            <w:r w:rsidRPr="00903F89">
              <w:rPr>
                <w:rFonts w:eastAsia="Arial" w:cs="Arial"/>
                <w:b/>
                <w:sz w:val="20"/>
                <w:szCs w:val="20"/>
                <w:u w:val="single"/>
              </w:rPr>
              <w:t>12-</w:t>
            </w:r>
            <w:r w:rsidRPr="00903F89">
              <w:rPr>
                <w:rFonts w:cs="Arial"/>
                <w:b/>
                <w:sz w:val="20"/>
                <w:szCs w:val="20"/>
                <w:u w:val="single"/>
              </w:rPr>
              <w:t>153 – Αντιμισθία– €</w:t>
            </w:r>
            <w:r w:rsidRPr="00903F89">
              <w:rPr>
                <w:rFonts w:cs="Arial"/>
                <w:b/>
                <w:sz w:val="20"/>
                <w:szCs w:val="20"/>
                <w:u w:val="single"/>
                <w:lang w:val="en-US"/>
              </w:rPr>
              <w:t>30.244</w:t>
            </w:r>
          </w:p>
        </w:tc>
      </w:tr>
      <w:tr w:rsidR="007422AB" w:rsidRPr="00903F89" w14:paraId="3422E7A6" w14:textId="77777777" w:rsidTr="00B1212B">
        <w:tc>
          <w:tcPr>
            <w:tcW w:w="10538" w:type="dxa"/>
            <w:gridSpan w:val="27"/>
          </w:tcPr>
          <w:p w14:paraId="7BC79EC5" w14:textId="77777777" w:rsidR="003C2DD3" w:rsidRPr="00903F89" w:rsidRDefault="003C2DD3" w:rsidP="00903F89">
            <w:pPr>
              <w:jc w:val="both"/>
              <w:rPr>
                <w:rFonts w:eastAsia="Arial" w:cs="Arial"/>
                <w:sz w:val="20"/>
                <w:szCs w:val="20"/>
              </w:rPr>
            </w:pPr>
          </w:p>
        </w:tc>
      </w:tr>
      <w:tr w:rsidR="007422AB" w:rsidRPr="00903F89" w14:paraId="1D2A5B91" w14:textId="77777777" w:rsidTr="00B1212B">
        <w:tc>
          <w:tcPr>
            <w:tcW w:w="10538" w:type="dxa"/>
            <w:gridSpan w:val="27"/>
          </w:tcPr>
          <w:p w14:paraId="3A1D9D5A" w14:textId="17A57D63" w:rsidR="003C2DD3" w:rsidRPr="00903F89" w:rsidRDefault="00F372CD" w:rsidP="00903F89">
            <w:pPr>
              <w:jc w:val="both"/>
              <w:rPr>
                <w:rFonts w:cs="Arial"/>
                <w:sz w:val="20"/>
                <w:szCs w:val="20"/>
              </w:rPr>
            </w:pPr>
            <w:r w:rsidRPr="00F372CD">
              <w:rPr>
                <w:rFonts w:eastAsia="Arial" w:cs="Arial"/>
                <w:sz w:val="20"/>
                <w:szCs w:val="20"/>
              </w:rPr>
              <w:t>Η πρόνοια αφορά στην καταβολή ποσών προς άλλους οργανισμούς (απολαβών περιλαμβανομένου και των υπερωριών), από τους οποίους αποσπάστηκε προσωπικό το οποίο υπηρετεί στο Πανεπιστήμιο Κύπρου, σύμφωνα με τις πρόνοιες του Περί Απόσπασης Υπαλλήλων της Δημόσιας Υπηρεσίας και των Οργανισμών Δημοσίου Δικαίου Νόμο του 2017 (Ν.47(Ι)/2017). Συγκεκριμένα αφορά στην καταβολή ποσού προς το Υπουργείο Παιδείας, Πολιτισμού, Αθλητισμού και Νεολαίας.</w:t>
            </w:r>
          </w:p>
        </w:tc>
      </w:tr>
      <w:tr w:rsidR="007422AB" w:rsidRPr="00903F89" w14:paraId="2444C83D" w14:textId="77777777" w:rsidTr="00B1212B">
        <w:tc>
          <w:tcPr>
            <w:tcW w:w="10538" w:type="dxa"/>
            <w:gridSpan w:val="27"/>
            <w:shd w:val="clear" w:color="auto" w:fill="auto"/>
          </w:tcPr>
          <w:p w14:paraId="7D07834B" w14:textId="77777777" w:rsidR="003C2DD3" w:rsidRPr="00903F89" w:rsidRDefault="003C2DD3" w:rsidP="00903F89">
            <w:pPr>
              <w:pStyle w:val="Heading8"/>
              <w:outlineLvl w:val="7"/>
              <w:rPr>
                <w:rFonts w:ascii="Arial" w:eastAsia="Arial" w:hAnsi="Arial" w:cs="Arial"/>
                <w:b w:val="0"/>
                <w:sz w:val="20"/>
                <w:szCs w:val="20"/>
                <w:u w:val="none"/>
              </w:rPr>
            </w:pPr>
          </w:p>
        </w:tc>
      </w:tr>
      <w:tr w:rsidR="007422AB" w:rsidRPr="00903F89" w14:paraId="2AAFD5FE" w14:textId="77777777" w:rsidTr="00B1212B">
        <w:tc>
          <w:tcPr>
            <w:tcW w:w="10538" w:type="dxa"/>
            <w:gridSpan w:val="27"/>
            <w:shd w:val="clear" w:color="auto" w:fill="auto"/>
          </w:tcPr>
          <w:p w14:paraId="7DC28687" w14:textId="46E43D9C" w:rsidR="003C2DD3" w:rsidRPr="00903F89" w:rsidRDefault="003C2DD3" w:rsidP="00903F89">
            <w:pPr>
              <w:pStyle w:val="Heading8"/>
              <w:outlineLvl w:val="7"/>
              <w:rPr>
                <w:rFonts w:ascii="Arial" w:eastAsia="Arial" w:hAnsi="Arial" w:cs="Arial"/>
                <w:sz w:val="20"/>
                <w:szCs w:val="20"/>
                <w:u w:val="none"/>
              </w:rPr>
            </w:pPr>
            <w:r w:rsidRPr="00903F89">
              <w:rPr>
                <w:rFonts w:ascii="Arial" w:hAnsi="Arial" w:cs="Arial"/>
                <w:bCs/>
                <w:sz w:val="20"/>
                <w:szCs w:val="20"/>
                <w:u w:val="single"/>
              </w:rPr>
              <w:t xml:space="preserve">Άρθρο </w:t>
            </w:r>
            <w:r w:rsidRPr="00903F89">
              <w:rPr>
                <w:rFonts w:ascii="Arial" w:eastAsia="Arial" w:hAnsi="Arial" w:cs="Arial"/>
                <w:sz w:val="20"/>
                <w:szCs w:val="20"/>
                <w:u w:val="single"/>
              </w:rPr>
              <w:t>12-</w:t>
            </w:r>
            <w:r w:rsidRPr="00903F89">
              <w:rPr>
                <w:rFonts w:ascii="Arial" w:hAnsi="Arial" w:cs="Arial"/>
                <w:bCs/>
                <w:sz w:val="20"/>
                <w:szCs w:val="20"/>
                <w:u w:val="single"/>
              </w:rPr>
              <w:t xml:space="preserve">154 </w:t>
            </w:r>
            <w:r w:rsidRPr="00903F89">
              <w:rPr>
                <w:rFonts w:ascii="Arial" w:eastAsia="Arial" w:hAnsi="Arial" w:cs="Arial"/>
                <w:bCs/>
                <w:sz w:val="20"/>
                <w:szCs w:val="20"/>
                <w:u w:val="single"/>
              </w:rPr>
              <w:t xml:space="preserve">– </w:t>
            </w:r>
            <w:r w:rsidRPr="00903F89">
              <w:rPr>
                <w:rFonts w:ascii="Arial" w:hAnsi="Arial" w:cs="Arial"/>
                <w:bCs/>
                <w:sz w:val="20"/>
                <w:szCs w:val="20"/>
                <w:u w:val="single"/>
              </w:rPr>
              <w:t>Έργα και Σχέδια Συγχρηματοδοτούμενα από Κοινοτικούς Πόρους (Δαπάνες από Χρηματοδότηση Πανεπιστημίου) - BIOBANK - Biobanking and the Cyprus Human Genome Project</w:t>
            </w:r>
            <w:r w:rsidRPr="00903F89">
              <w:rPr>
                <w:rFonts w:ascii="Arial" w:eastAsia="Arial" w:hAnsi="Arial" w:cs="Arial"/>
                <w:bCs/>
                <w:sz w:val="20"/>
                <w:szCs w:val="20"/>
                <w:u w:val="single"/>
                <w:shd w:val="clear" w:color="auto" w:fill="FFFFFF" w:themeFill="background1"/>
              </w:rPr>
              <w:t>–</w:t>
            </w:r>
            <w:r w:rsidRPr="00903F89">
              <w:rPr>
                <w:rFonts w:ascii="Arial" w:hAnsi="Arial" w:cs="Arial"/>
                <w:bCs/>
                <w:sz w:val="20"/>
                <w:szCs w:val="20"/>
                <w:u w:val="single"/>
                <w:shd w:val="clear" w:color="auto" w:fill="FFFFFF" w:themeFill="background1"/>
              </w:rPr>
              <w:t xml:space="preserve"> €0</w:t>
            </w:r>
          </w:p>
        </w:tc>
      </w:tr>
      <w:tr w:rsidR="007422AB" w:rsidRPr="00903F89" w14:paraId="457CA42E" w14:textId="77777777" w:rsidTr="00B1212B">
        <w:tc>
          <w:tcPr>
            <w:tcW w:w="10538" w:type="dxa"/>
            <w:gridSpan w:val="27"/>
            <w:shd w:val="clear" w:color="auto" w:fill="auto"/>
          </w:tcPr>
          <w:p w14:paraId="36B128F2" w14:textId="77777777" w:rsidR="003C2DD3" w:rsidRPr="00903F89" w:rsidRDefault="003C2DD3" w:rsidP="00903F89">
            <w:pPr>
              <w:pStyle w:val="Heading8"/>
              <w:outlineLvl w:val="7"/>
              <w:rPr>
                <w:rFonts w:ascii="Arial" w:eastAsia="Arial" w:hAnsi="Arial" w:cs="Arial"/>
                <w:b w:val="0"/>
                <w:sz w:val="20"/>
                <w:szCs w:val="20"/>
                <w:u w:val="none"/>
              </w:rPr>
            </w:pPr>
          </w:p>
        </w:tc>
      </w:tr>
      <w:tr w:rsidR="007422AB" w:rsidRPr="00903F89" w14:paraId="0C430498" w14:textId="77777777" w:rsidTr="00B1212B">
        <w:tc>
          <w:tcPr>
            <w:tcW w:w="10538" w:type="dxa"/>
            <w:gridSpan w:val="27"/>
            <w:shd w:val="clear" w:color="auto" w:fill="auto"/>
          </w:tcPr>
          <w:p w14:paraId="7545A7CB" w14:textId="49512C05" w:rsidR="003C2DD3" w:rsidRPr="00903F89" w:rsidRDefault="00686014" w:rsidP="00903F89">
            <w:pPr>
              <w:jc w:val="both"/>
              <w:rPr>
                <w:rFonts w:eastAsia="Arial" w:cs="Arial"/>
                <w:strike/>
                <w:sz w:val="20"/>
                <w:szCs w:val="20"/>
              </w:rPr>
            </w:pPr>
            <w:r w:rsidRPr="00686014">
              <w:rPr>
                <w:rFonts w:cs="Arial"/>
                <w:sz w:val="20"/>
                <w:szCs w:val="20"/>
              </w:rPr>
              <w:t xml:space="preserve">Κατάργηση </w:t>
            </w:r>
            <w:r w:rsidR="00160872">
              <w:rPr>
                <w:rFonts w:cs="Arial"/>
                <w:sz w:val="20"/>
                <w:szCs w:val="20"/>
              </w:rPr>
              <w:t>ά</w:t>
            </w:r>
            <w:r w:rsidRPr="00686014">
              <w:rPr>
                <w:rFonts w:cs="Arial"/>
                <w:sz w:val="20"/>
                <w:szCs w:val="20"/>
              </w:rPr>
              <w:t>ρθρου. Οι δαπάνες για το 2022 εμφανίζονται στο Άρθρο 622</w:t>
            </w:r>
            <w:r w:rsidR="00160872">
              <w:rPr>
                <w:rFonts w:cs="Arial"/>
                <w:sz w:val="20"/>
                <w:szCs w:val="20"/>
              </w:rPr>
              <w:t>,</w:t>
            </w:r>
            <w:r w:rsidRPr="00686014">
              <w:rPr>
                <w:rFonts w:cs="Arial"/>
                <w:sz w:val="20"/>
                <w:szCs w:val="20"/>
              </w:rPr>
              <w:t xml:space="preserve"> με τίτλο «Έργα και Σχέδια Συγχρηματοδοτούμενα από Πανεπιστήμιο Κύπρου) - BIOBANK - Biobanking and the Cyprus Human Genome Project», στην Υποομάδα 620 «Δαπάνες Συγχρηματοδοτούμενες από Πανεπιστήμιο Κύπρου»).</w:t>
            </w:r>
          </w:p>
        </w:tc>
      </w:tr>
      <w:tr w:rsidR="007422AB" w:rsidRPr="00903F89" w14:paraId="3DCBAF8A" w14:textId="77777777" w:rsidTr="00B1212B">
        <w:tc>
          <w:tcPr>
            <w:tcW w:w="10538" w:type="dxa"/>
            <w:gridSpan w:val="27"/>
            <w:shd w:val="clear" w:color="auto" w:fill="auto"/>
          </w:tcPr>
          <w:p w14:paraId="70DBDD74" w14:textId="77777777" w:rsidR="003C2DD3" w:rsidRPr="00903F89" w:rsidRDefault="003C2DD3" w:rsidP="00903F89">
            <w:pPr>
              <w:jc w:val="both"/>
              <w:rPr>
                <w:rFonts w:cs="Arial"/>
                <w:sz w:val="20"/>
                <w:szCs w:val="20"/>
              </w:rPr>
            </w:pPr>
          </w:p>
        </w:tc>
      </w:tr>
      <w:tr w:rsidR="007422AB" w:rsidRPr="00903F89" w14:paraId="19BFDBDF" w14:textId="77777777" w:rsidTr="00B1212B">
        <w:tc>
          <w:tcPr>
            <w:tcW w:w="10538" w:type="dxa"/>
            <w:gridSpan w:val="27"/>
          </w:tcPr>
          <w:p w14:paraId="1E7215ED" w14:textId="62C8C30D" w:rsidR="003C2DD3" w:rsidRPr="00903F89" w:rsidRDefault="003C2DD3" w:rsidP="00903F89">
            <w:pPr>
              <w:jc w:val="both"/>
              <w:rPr>
                <w:rFonts w:eastAsia="Arial" w:cs="Arial"/>
                <w:b/>
                <w:bCs/>
                <w:sz w:val="20"/>
                <w:szCs w:val="20"/>
                <w:u w:val="double"/>
              </w:rPr>
            </w:pPr>
            <w:r w:rsidRPr="00903F89">
              <w:rPr>
                <w:rFonts w:cs="Arial"/>
                <w:b/>
                <w:bCs/>
                <w:sz w:val="20"/>
                <w:szCs w:val="20"/>
                <w:u w:val="double"/>
              </w:rPr>
              <w:t>ΟΜΑΔΑ 200 – ΛΕΙΤΟΥΡΓΙΚΕΣ ΔΑΠΑΝΕΣ</w:t>
            </w:r>
          </w:p>
        </w:tc>
      </w:tr>
      <w:tr w:rsidR="007422AB" w:rsidRPr="00903F89" w14:paraId="1D9F27D2" w14:textId="77777777" w:rsidTr="00B1212B">
        <w:tc>
          <w:tcPr>
            <w:tcW w:w="3795" w:type="dxa"/>
            <w:gridSpan w:val="4"/>
          </w:tcPr>
          <w:p w14:paraId="7062CB62" w14:textId="77777777" w:rsidR="003C2DD3" w:rsidRPr="00903F89" w:rsidRDefault="003C2DD3" w:rsidP="00903F89">
            <w:pPr>
              <w:jc w:val="both"/>
              <w:rPr>
                <w:rFonts w:cs="Arial"/>
                <w:b/>
                <w:sz w:val="20"/>
                <w:szCs w:val="20"/>
                <w:u w:val="single"/>
              </w:rPr>
            </w:pPr>
          </w:p>
        </w:tc>
        <w:tc>
          <w:tcPr>
            <w:tcW w:w="6128" w:type="dxa"/>
            <w:gridSpan w:val="22"/>
          </w:tcPr>
          <w:p w14:paraId="1921527C" w14:textId="77777777" w:rsidR="003C2DD3" w:rsidRPr="00903F89" w:rsidRDefault="003C2DD3" w:rsidP="00903F89">
            <w:pPr>
              <w:jc w:val="both"/>
              <w:rPr>
                <w:rFonts w:cs="Arial"/>
                <w:b/>
                <w:sz w:val="20"/>
                <w:szCs w:val="20"/>
                <w:u w:val="single"/>
              </w:rPr>
            </w:pPr>
          </w:p>
        </w:tc>
        <w:tc>
          <w:tcPr>
            <w:tcW w:w="615" w:type="dxa"/>
          </w:tcPr>
          <w:p w14:paraId="2E661778" w14:textId="77777777" w:rsidR="003C2DD3" w:rsidRPr="00903F89" w:rsidRDefault="003C2DD3" w:rsidP="00903F89">
            <w:pPr>
              <w:jc w:val="both"/>
              <w:rPr>
                <w:rFonts w:cs="Arial"/>
                <w:b/>
                <w:sz w:val="20"/>
                <w:szCs w:val="20"/>
                <w:u w:val="single"/>
              </w:rPr>
            </w:pPr>
          </w:p>
        </w:tc>
      </w:tr>
      <w:tr w:rsidR="007422AB" w:rsidRPr="00903F89" w14:paraId="0EEC82A1" w14:textId="77777777" w:rsidTr="00B1212B">
        <w:tc>
          <w:tcPr>
            <w:tcW w:w="10538" w:type="dxa"/>
            <w:gridSpan w:val="27"/>
          </w:tcPr>
          <w:p w14:paraId="6C54DE99" w14:textId="4885E665" w:rsidR="003C2DD3" w:rsidRPr="00903F89" w:rsidRDefault="003C2DD3" w:rsidP="00903F89">
            <w:pPr>
              <w:jc w:val="both"/>
              <w:rPr>
                <w:rFonts w:eastAsia="Arial" w:cs="Arial"/>
                <w:b/>
                <w:bCs/>
                <w:sz w:val="20"/>
                <w:szCs w:val="20"/>
                <w:u w:val="single"/>
              </w:rPr>
            </w:pPr>
            <w:r w:rsidRPr="00903F89">
              <w:rPr>
                <w:rFonts w:cs="Arial"/>
                <w:b/>
                <w:bCs/>
                <w:sz w:val="20"/>
                <w:szCs w:val="20"/>
                <w:u w:val="double"/>
              </w:rPr>
              <w:t>Υποομάδα 201 – Οδοιπορικά</w:t>
            </w:r>
          </w:p>
        </w:tc>
      </w:tr>
      <w:tr w:rsidR="007422AB" w:rsidRPr="00903F89" w14:paraId="4D46CDB3" w14:textId="77777777" w:rsidTr="00B1212B">
        <w:tc>
          <w:tcPr>
            <w:tcW w:w="3795" w:type="dxa"/>
            <w:gridSpan w:val="4"/>
          </w:tcPr>
          <w:p w14:paraId="225C1576" w14:textId="77777777" w:rsidR="003C2DD3" w:rsidRPr="00903F89" w:rsidRDefault="003C2DD3" w:rsidP="00903F89">
            <w:pPr>
              <w:jc w:val="both"/>
              <w:rPr>
                <w:rFonts w:cs="Arial"/>
                <w:b/>
                <w:sz w:val="20"/>
                <w:szCs w:val="20"/>
                <w:u w:val="single"/>
              </w:rPr>
            </w:pPr>
          </w:p>
        </w:tc>
        <w:tc>
          <w:tcPr>
            <w:tcW w:w="6128" w:type="dxa"/>
            <w:gridSpan w:val="22"/>
          </w:tcPr>
          <w:p w14:paraId="41B00178" w14:textId="77777777" w:rsidR="003C2DD3" w:rsidRPr="00903F89" w:rsidRDefault="003C2DD3" w:rsidP="00903F89">
            <w:pPr>
              <w:jc w:val="both"/>
              <w:rPr>
                <w:rFonts w:cs="Arial"/>
                <w:b/>
                <w:sz w:val="20"/>
                <w:szCs w:val="20"/>
                <w:u w:val="single"/>
              </w:rPr>
            </w:pPr>
          </w:p>
        </w:tc>
        <w:tc>
          <w:tcPr>
            <w:tcW w:w="615" w:type="dxa"/>
          </w:tcPr>
          <w:p w14:paraId="18353BE0" w14:textId="77777777" w:rsidR="003C2DD3" w:rsidRPr="00903F89" w:rsidRDefault="003C2DD3" w:rsidP="00903F89">
            <w:pPr>
              <w:jc w:val="both"/>
              <w:rPr>
                <w:rFonts w:cs="Arial"/>
                <w:b/>
                <w:sz w:val="20"/>
                <w:szCs w:val="20"/>
                <w:u w:val="single"/>
              </w:rPr>
            </w:pPr>
          </w:p>
        </w:tc>
      </w:tr>
      <w:tr w:rsidR="007422AB" w:rsidRPr="00903F89" w14:paraId="706C17FA" w14:textId="77777777" w:rsidTr="00B1212B">
        <w:tc>
          <w:tcPr>
            <w:tcW w:w="10538" w:type="dxa"/>
            <w:gridSpan w:val="27"/>
          </w:tcPr>
          <w:p w14:paraId="7B9724CF" w14:textId="28D0993A"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202 – Έξοδα Κινήσεως – €21.850</w:t>
            </w:r>
          </w:p>
        </w:tc>
      </w:tr>
      <w:tr w:rsidR="007422AB" w:rsidRPr="00903F89" w14:paraId="5F86CA89" w14:textId="77777777" w:rsidTr="00B1212B">
        <w:tc>
          <w:tcPr>
            <w:tcW w:w="3795" w:type="dxa"/>
            <w:gridSpan w:val="4"/>
          </w:tcPr>
          <w:p w14:paraId="7DE0B88B" w14:textId="77777777" w:rsidR="003C2DD3" w:rsidRPr="00903F89" w:rsidRDefault="003C2DD3" w:rsidP="00903F89">
            <w:pPr>
              <w:jc w:val="both"/>
              <w:rPr>
                <w:rFonts w:cs="Arial"/>
                <w:b/>
                <w:sz w:val="20"/>
                <w:szCs w:val="20"/>
                <w:u w:val="single"/>
              </w:rPr>
            </w:pPr>
          </w:p>
        </w:tc>
        <w:tc>
          <w:tcPr>
            <w:tcW w:w="6128" w:type="dxa"/>
            <w:gridSpan w:val="22"/>
          </w:tcPr>
          <w:p w14:paraId="3114ADE6" w14:textId="77777777" w:rsidR="003C2DD3" w:rsidRPr="00903F89" w:rsidRDefault="003C2DD3" w:rsidP="00903F89">
            <w:pPr>
              <w:jc w:val="both"/>
              <w:rPr>
                <w:rFonts w:cs="Arial"/>
                <w:b/>
                <w:sz w:val="20"/>
                <w:szCs w:val="20"/>
                <w:u w:val="single"/>
              </w:rPr>
            </w:pPr>
          </w:p>
        </w:tc>
        <w:tc>
          <w:tcPr>
            <w:tcW w:w="615" w:type="dxa"/>
          </w:tcPr>
          <w:p w14:paraId="01601EB6" w14:textId="77777777" w:rsidR="003C2DD3" w:rsidRPr="00903F89" w:rsidRDefault="003C2DD3" w:rsidP="00903F89">
            <w:pPr>
              <w:jc w:val="both"/>
              <w:rPr>
                <w:rFonts w:cs="Arial"/>
                <w:b/>
                <w:sz w:val="20"/>
                <w:szCs w:val="20"/>
                <w:u w:val="single"/>
              </w:rPr>
            </w:pPr>
          </w:p>
        </w:tc>
      </w:tr>
      <w:tr w:rsidR="007422AB" w:rsidRPr="00903F89" w14:paraId="4F0033F3" w14:textId="77777777" w:rsidTr="00B1212B">
        <w:tc>
          <w:tcPr>
            <w:tcW w:w="10538" w:type="dxa"/>
            <w:gridSpan w:val="27"/>
            <w:shd w:val="clear" w:color="auto" w:fill="auto"/>
          </w:tcPr>
          <w:p w14:paraId="16016805" w14:textId="00AE5AC9" w:rsidR="003C2DD3" w:rsidRPr="00903F89" w:rsidRDefault="003C2DD3" w:rsidP="00903F89">
            <w:pPr>
              <w:jc w:val="both"/>
              <w:rPr>
                <w:rFonts w:eastAsia="Arial" w:cs="Arial"/>
                <w:b/>
                <w:bCs/>
                <w:sz w:val="20"/>
                <w:szCs w:val="20"/>
                <w:u w:val="single"/>
              </w:rPr>
            </w:pPr>
            <w:r w:rsidRPr="00903F89">
              <w:rPr>
                <w:rFonts w:cs="Arial"/>
                <w:sz w:val="20"/>
                <w:szCs w:val="20"/>
              </w:rPr>
              <w:t>Η πρόνοια καλύπτει οδοιπορικά έξοδα του ακαδημαϊκού, διοικητικού και άλλου προσωπικού</w:t>
            </w:r>
            <w:r w:rsidR="009E14CC">
              <w:rPr>
                <w:rFonts w:cs="Arial"/>
                <w:sz w:val="20"/>
                <w:szCs w:val="20"/>
              </w:rPr>
              <w:t>, με εξαίρεση της περίπτωσης του Διευθυντή Διοίκησης Οικονομικών, ο οποίος λαμβάνει επίδομα οδοιπορικών</w:t>
            </w:r>
            <w:r w:rsidRPr="00903F89">
              <w:rPr>
                <w:rFonts w:cs="Arial"/>
                <w:sz w:val="20"/>
                <w:szCs w:val="20"/>
              </w:rPr>
              <w:t>.  Το ύψος των επιδομάτων οδοιπορικών παραχωρούνται σύμφωνα με σχετική εγκύκλιο του Υπουργείου Οικονομικών.</w:t>
            </w:r>
            <w:r w:rsidRPr="00903F89">
              <w:rPr>
                <w:rFonts w:eastAsia="Arial" w:cs="Arial"/>
                <w:sz w:val="20"/>
                <w:szCs w:val="20"/>
              </w:rPr>
              <w:t xml:space="preserve"> </w:t>
            </w:r>
          </w:p>
        </w:tc>
      </w:tr>
      <w:tr w:rsidR="007422AB" w:rsidRPr="00903F89" w14:paraId="53C0FD18" w14:textId="77777777" w:rsidTr="00B1212B">
        <w:tc>
          <w:tcPr>
            <w:tcW w:w="3795" w:type="dxa"/>
            <w:gridSpan w:val="4"/>
          </w:tcPr>
          <w:p w14:paraId="44AD71C4" w14:textId="77777777" w:rsidR="003C2DD3" w:rsidRPr="00903F89" w:rsidRDefault="003C2DD3" w:rsidP="00903F89">
            <w:pPr>
              <w:jc w:val="both"/>
              <w:rPr>
                <w:rFonts w:cs="Arial"/>
                <w:b/>
                <w:sz w:val="20"/>
                <w:szCs w:val="20"/>
                <w:u w:val="single"/>
              </w:rPr>
            </w:pPr>
          </w:p>
        </w:tc>
        <w:tc>
          <w:tcPr>
            <w:tcW w:w="6128" w:type="dxa"/>
            <w:gridSpan w:val="22"/>
          </w:tcPr>
          <w:p w14:paraId="4CF2509B" w14:textId="77777777" w:rsidR="003C2DD3" w:rsidRPr="00903F89" w:rsidRDefault="003C2DD3" w:rsidP="00903F89">
            <w:pPr>
              <w:jc w:val="both"/>
              <w:rPr>
                <w:rFonts w:cs="Arial"/>
                <w:b/>
                <w:sz w:val="20"/>
                <w:szCs w:val="20"/>
                <w:u w:val="single"/>
              </w:rPr>
            </w:pPr>
          </w:p>
        </w:tc>
        <w:tc>
          <w:tcPr>
            <w:tcW w:w="615" w:type="dxa"/>
          </w:tcPr>
          <w:p w14:paraId="070B3370" w14:textId="77777777" w:rsidR="003C2DD3" w:rsidRPr="00903F89" w:rsidRDefault="003C2DD3" w:rsidP="00903F89">
            <w:pPr>
              <w:jc w:val="both"/>
              <w:rPr>
                <w:rFonts w:cs="Arial"/>
                <w:b/>
                <w:sz w:val="20"/>
                <w:szCs w:val="20"/>
                <w:u w:val="single"/>
              </w:rPr>
            </w:pPr>
          </w:p>
        </w:tc>
      </w:tr>
      <w:tr w:rsidR="007422AB" w:rsidRPr="00903F89" w14:paraId="57CC8EF3" w14:textId="77777777" w:rsidTr="00B1212B">
        <w:tc>
          <w:tcPr>
            <w:tcW w:w="10538" w:type="dxa"/>
            <w:gridSpan w:val="27"/>
          </w:tcPr>
          <w:p w14:paraId="577FAAE9" w14:textId="1EE8F296" w:rsidR="003C2DD3" w:rsidRPr="00903F89" w:rsidRDefault="003C2DD3" w:rsidP="00903F89">
            <w:pPr>
              <w:jc w:val="both"/>
              <w:rPr>
                <w:rFonts w:eastAsia="Arial" w:cs="Arial"/>
                <w:b/>
                <w:bCs/>
                <w:sz w:val="20"/>
                <w:szCs w:val="20"/>
                <w:u w:val="single"/>
              </w:rPr>
            </w:pPr>
            <w:r w:rsidRPr="00903F89">
              <w:rPr>
                <w:rFonts w:cs="Arial"/>
                <w:sz w:val="20"/>
                <w:szCs w:val="20"/>
              </w:rPr>
              <w:t>Μέρος του ποσού προορίζεται για κάλυψη οδοιπορικών για επίβλεψη φοιτητών του Τμήματος Επιστημών της Αγωγής μέσα στο πλαίσιο της σχολικής εμπειρίας, φοιτητών της κατεύθυνσης Βιοποικιλότητας και Οικολογίας του Τμήματος Βιολογικών Επιστημών που εκπονούν ερευνητικές εργασίες σε ερευνητικά πεδία, και για επισκέψεις φοιτητών σε εξωτερικούς χώρους για περιβαλλοντική και γεωγραφική διερεύνηση, καθώς επίσης και την κάλυψη οδοιπορικών που αφορούν στις έρευνες πεδίου που διενεργεί το Πανεπιστημιακό Κέντρο Ερευνών Πεδίου.  Προορίζεται επίσης και για κάλυψη οδοιπορικών προσωπικού του Πανεπιστημίου Κύπρου από και προς τα διάφορα κτήρια του Πανεπιστημίου Κύπρου καθώς επίσης και για άλλες ανάγκες, στα πλαίσια των καθηκόντων τους, που προκύπτουν εκτός των εγκαταστάσεων του Πανεπιστημίου Κύπρου.</w:t>
            </w:r>
          </w:p>
        </w:tc>
      </w:tr>
      <w:tr w:rsidR="007422AB" w:rsidRPr="00903F89" w14:paraId="2B324C51" w14:textId="77777777" w:rsidTr="00B1212B">
        <w:tc>
          <w:tcPr>
            <w:tcW w:w="10538" w:type="dxa"/>
            <w:gridSpan w:val="27"/>
          </w:tcPr>
          <w:p w14:paraId="5B06B3F3" w14:textId="77777777" w:rsidR="003C2DD3" w:rsidRPr="00903F89" w:rsidRDefault="003C2DD3" w:rsidP="00903F89">
            <w:pPr>
              <w:jc w:val="both"/>
              <w:rPr>
                <w:rFonts w:cs="Arial"/>
                <w:sz w:val="20"/>
                <w:szCs w:val="20"/>
              </w:rPr>
            </w:pPr>
          </w:p>
        </w:tc>
      </w:tr>
      <w:tr w:rsidR="007422AB" w:rsidRPr="00903F89" w14:paraId="7F57266D" w14:textId="77777777" w:rsidTr="00B1212B">
        <w:tc>
          <w:tcPr>
            <w:tcW w:w="10538" w:type="dxa"/>
            <w:gridSpan w:val="27"/>
            <w:shd w:val="clear" w:color="auto" w:fill="auto"/>
          </w:tcPr>
          <w:p w14:paraId="678F4BAD" w14:textId="6FC22333" w:rsidR="003C2DD3" w:rsidRPr="00903F89" w:rsidRDefault="003C2DD3" w:rsidP="00903F89">
            <w:pPr>
              <w:jc w:val="both"/>
              <w:rPr>
                <w:rFonts w:eastAsia="Arial" w:cs="Arial"/>
                <w:sz w:val="20"/>
                <w:szCs w:val="20"/>
              </w:rPr>
            </w:pPr>
            <w:r w:rsidRPr="00903F89">
              <w:rPr>
                <w:rFonts w:cs="Arial"/>
                <w:sz w:val="20"/>
                <w:szCs w:val="20"/>
              </w:rPr>
              <w:t>Πρόνοια αφορά στο Προγράμματος Παιδαγωγικής Κατάρτισης Υποψηφίων Εκπαιδευτικών Λειτουργών Μέσης Γενικής και Μέσης Τεχνικής και Επαγγελματικής Εκπαίδευσης από εισπράξεις που ήδη πραγματοποιήθηκαν για το σκοπό αυτό, για την κάλυψη οδοιπορικών εξόδων που απορρέουν από την παρακολούθηση εκπαιδευομένων στα σχολεία μέσης εκπαίδευσης όλων των επαρχιών στο πλαίσιο της σχολικής εμπειρίας από αποσπασμένους διδάσκοντες εκτός Πανεπιστημίου καθώς και από τη διδασκαλία μαθημάτων εκτός Λευκωσίας.</w:t>
            </w:r>
          </w:p>
        </w:tc>
      </w:tr>
      <w:tr w:rsidR="007422AB" w:rsidRPr="00903F89" w14:paraId="0B23303E" w14:textId="77777777" w:rsidTr="00B1212B">
        <w:tc>
          <w:tcPr>
            <w:tcW w:w="3795" w:type="dxa"/>
            <w:gridSpan w:val="4"/>
          </w:tcPr>
          <w:p w14:paraId="3C0C83C2" w14:textId="77777777" w:rsidR="003C2DD3" w:rsidRPr="00903F89" w:rsidRDefault="003C2DD3" w:rsidP="00903F89">
            <w:pPr>
              <w:jc w:val="both"/>
              <w:rPr>
                <w:rFonts w:cs="Arial"/>
                <w:b/>
                <w:sz w:val="20"/>
                <w:szCs w:val="20"/>
                <w:u w:val="single"/>
              </w:rPr>
            </w:pPr>
          </w:p>
        </w:tc>
        <w:tc>
          <w:tcPr>
            <w:tcW w:w="6128" w:type="dxa"/>
            <w:gridSpan w:val="22"/>
          </w:tcPr>
          <w:p w14:paraId="4727892A" w14:textId="77777777" w:rsidR="003C2DD3" w:rsidRPr="00903F89" w:rsidRDefault="003C2DD3" w:rsidP="00903F89">
            <w:pPr>
              <w:jc w:val="both"/>
              <w:rPr>
                <w:rFonts w:cs="Arial"/>
                <w:b/>
                <w:sz w:val="20"/>
                <w:szCs w:val="20"/>
                <w:u w:val="single"/>
              </w:rPr>
            </w:pPr>
          </w:p>
        </w:tc>
        <w:tc>
          <w:tcPr>
            <w:tcW w:w="615" w:type="dxa"/>
          </w:tcPr>
          <w:p w14:paraId="52C5D903" w14:textId="77777777" w:rsidR="003C2DD3" w:rsidRPr="00903F89" w:rsidRDefault="003C2DD3" w:rsidP="00903F89">
            <w:pPr>
              <w:jc w:val="both"/>
              <w:rPr>
                <w:rFonts w:cs="Arial"/>
                <w:b/>
                <w:sz w:val="20"/>
                <w:szCs w:val="20"/>
                <w:u w:val="single"/>
              </w:rPr>
            </w:pPr>
          </w:p>
        </w:tc>
      </w:tr>
      <w:tr w:rsidR="007422AB" w:rsidRPr="00903F89" w14:paraId="2876CDBD" w14:textId="77777777" w:rsidTr="00B1212B">
        <w:tc>
          <w:tcPr>
            <w:tcW w:w="10538" w:type="dxa"/>
            <w:gridSpan w:val="27"/>
          </w:tcPr>
          <w:p w14:paraId="11CE0A88" w14:textId="2C7763B2"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203 – Μεταφορικά – €85.200</w:t>
            </w:r>
          </w:p>
        </w:tc>
      </w:tr>
      <w:tr w:rsidR="007422AB" w:rsidRPr="00903F89" w14:paraId="6F57F06E" w14:textId="77777777" w:rsidTr="00B1212B">
        <w:tc>
          <w:tcPr>
            <w:tcW w:w="3795" w:type="dxa"/>
            <w:gridSpan w:val="4"/>
          </w:tcPr>
          <w:p w14:paraId="4FBAE291" w14:textId="77777777" w:rsidR="003C2DD3" w:rsidRPr="00903F89" w:rsidRDefault="003C2DD3" w:rsidP="00903F89">
            <w:pPr>
              <w:jc w:val="both"/>
              <w:rPr>
                <w:rFonts w:cs="Arial"/>
                <w:b/>
                <w:sz w:val="20"/>
                <w:szCs w:val="20"/>
                <w:u w:val="single"/>
              </w:rPr>
            </w:pPr>
          </w:p>
        </w:tc>
        <w:tc>
          <w:tcPr>
            <w:tcW w:w="6128" w:type="dxa"/>
            <w:gridSpan w:val="22"/>
          </w:tcPr>
          <w:p w14:paraId="4F92A659" w14:textId="77777777" w:rsidR="003C2DD3" w:rsidRPr="00903F89" w:rsidRDefault="003C2DD3" w:rsidP="00903F89">
            <w:pPr>
              <w:jc w:val="both"/>
              <w:rPr>
                <w:rFonts w:cs="Arial"/>
                <w:b/>
                <w:sz w:val="20"/>
                <w:szCs w:val="20"/>
                <w:u w:val="single"/>
              </w:rPr>
            </w:pPr>
          </w:p>
        </w:tc>
        <w:tc>
          <w:tcPr>
            <w:tcW w:w="615" w:type="dxa"/>
          </w:tcPr>
          <w:p w14:paraId="48047DB9" w14:textId="77777777" w:rsidR="003C2DD3" w:rsidRPr="00903F89" w:rsidRDefault="003C2DD3" w:rsidP="00903F89">
            <w:pPr>
              <w:jc w:val="both"/>
              <w:rPr>
                <w:rFonts w:cs="Arial"/>
                <w:b/>
                <w:sz w:val="20"/>
                <w:szCs w:val="20"/>
                <w:u w:val="single"/>
              </w:rPr>
            </w:pPr>
          </w:p>
        </w:tc>
      </w:tr>
      <w:tr w:rsidR="007422AB" w:rsidRPr="00903F89" w14:paraId="6AD81E37" w14:textId="77777777" w:rsidTr="00B1212B">
        <w:tc>
          <w:tcPr>
            <w:tcW w:w="10538" w:type="dxa"/>
            <w:gridSpan w:val="27"/>
          </w:tcPr>
          <w:p w14:paraId="0B80E4D9" w14:textId="066CC0C0" w:rsidR="003C2DD3" w:rsidRPr="00903F89" w:rsidRDefault="003C2DD3" w:rsidP="00903F89">
            <w:pPr>
              <w:jc w:val="both"/>
              <w:rPr>
                <w:rFonts w:eastAsia="Arial" w:cs="Arial"/>
                <w:b/>
                <w:bCs/>
                <w:sz w:val="20"/>
                <w:szCs w:val="20"/>
                <w:u w:val="single"/>
              </w:rPr>
            </w:pPr>
            <w:r w:rsidRPr="00903F89">
              <w:rPr>
                <w:rFonts w:cs="Arial"/>
                <w:sz w:val="20"/>
                <w:szCs w:val="20"/>
              </w:rPr>
              <w:t xml:space="preserve">Η πρόνοια καλύπτει έξοδα για: </w:t>
            </w:r>
          </w:p>
        </w:tc>
      </w:tr>
      <w:tr w:rsidR="007422AB" w:rsidRPr="00903F89" w14:paraId="4C3F4964" w14:textId="77777777" w:rsidTr="00B1212B">
        <w:tc>
          <w:tcPr>
            <w:tcW w:w="3795" w:type="dxa"/>
            <w:gridSpan w:val="4"/>
          </w:tcPr>
          <w:p w14:paraId="7F79ACE8" w14:textId="77777777" w:rsidR="003C2DD3" w:rsidRPr="00903F89" w:rsidRDefault="003C2DD3" w:rsidP="00903F89">
            <w:pPr>
              <w:jc w:val="both"/>
              <w:rPr>
                <w:rFonts w:cs="Arial"/>
                <w:b/>
                <w:sz w:val="20"/>
                <w:szCs w:val="20"/>
                <w:u w:val="single"/>
              </w:rPr>
            </w:pPr>
          </w:p>
        </w:tc>
        <w:tc>
          <w:tcPr>
            <w:tcW w:w="6128" w:type="dxa"/>
            <w:gridSpan w:val="22"/>
          </w:tcPr>
          <w:p w14:paraId="79EB4D71" w14:textId="77777777" w:rsidR="003C2DD3" w:rsidRPr="00903F89" w:rsidRDefault="003C2DD3" w:rsidP="00903F89">
            <w:pPr>
              <w:jc w:val="both"/>
              <w:rPr>
                <w:rFonts w:cs="Arial"/>
                <w:b/>
                <w:sz w:val="20"/>
                <w:szCs w:val="20"/>
                <w:u w:val="single"/>
              </w:rPr>
            </w:pPr>
          </w:p>
        </w:tc>
        <w:tc>
          <w:tcPr>
            <w:tcW w:w="615" w:type="dxa"/>
          </w:tcPr>
          <w:p w14:paraId="5306F058" w14:textId="77777777" w:rsidR="003C2DD3" w:rsidRPr="00903F89" w:rsidRDefault="003C2DD3" w:rsidP="00903F89">
            <w:pPr>
              <w:jc w:val="both"/>
              <w:rPr>
                <w:rFonts w:cs="Arial"/>
                <w:b/>
                <w:sz w:val="20"/>
                <w:szCs w:val="20"/>
                <w:u w:val="single"/>
              </w:rPr>
            </w:pPr>
          </w:p>
        </w:tc>
      </w:tr>
      <w:tr w:rsidR="007422AB" w:rsidRPr="00903F89" w14:paraId="0A5274F1" w14:textId="77777777" w:rsidTr="00B1212B">
        <w:tc>
          <w:tcPr>
            <w:tcW w:w="10538" w:type="dxa"/>
            <w:gridSpan w:val="27"/>
          </w:tcPr>
          <w:p w14:paraId="3880FDC0" w14:textId="135971FC" w:rsidR="003C2DD3" w:rsidRPr="00903F89" w:rsidRDefault="003C2DD3" w:rsidP="00903F89">
            <w:pPr>
              <w:numPr>
                <w:ilvl w:val="0"/>
                <w:numId w:val="8"/>
              </w:numPr>
              <w:ind w:left="284" w:right="54" w:hanging="284"/>
              <w:jc w:val="both"/>
              <w:rPr>
                <w:rFonts w:eastAsia="Arial" w:cs="Arial"/>
                <w:b/>
                <w:bCs/>
                <w:sz w:val="20"/>
                <w:szCs w:val="20"/>
              </w:rPr>
            </w:pPr>
            <w:r w:rsidRPr="00903F89">
              <w:rPr>
                <w:rFonts w:cs="Arial"/>
                <w:sz w:val="20"/>
                <w:szCs w:val="20"/>
              </w:rPr>
              <w:t>Μεταφορά φοιτητών από και προς τα κτήρια και τις εγκαταστάσεις του Πανεπιστημίου Κύπρου και για εκπαιδευτικές επισκέψεις εντός Κύπρου. Το Πανεπιστήμιο Κύπρου παρέχει μεταφορά φοιτητών από και προς τα κτήρια και τις εγκαταστάσεις του Πανεπιστημίου Κύπρου μέσω ιδιωτικής εταιρείας η οποία έχει επιλεγεί μετά από διαδικασία προκήρυξης και κατακύρωσης σχετικής προσφοράς.  Μεγάλο μέρος της υπηρεσίας διακίνησης φοιτητών με δημόσια μέσα έχει αναλάβει η «</w:t>
            </w:r>
            <w:r w:rsidRPr="00903F89">
              <w:rPr>
                <w:rFonts w:cs="Arial"/>
                <w:sz w:val="20"/>
                <w:szCs w:val="20"/>
                <w:lang w:val="en-GB"/>
              </w:rPr>
              <w:t>Cyprus</w:t>
            </w:r>
            <w:r w:rsidRPr="00903F89">
              <w:rPr>
                <w:rFonts w:cs="Arial"/>
                <w:sz w:val="20"/>
                <w:szCs w:val="20"/>
              </w:rPr>
              <w:t xml:space="preserve"> </w:t>
            </w:r>
            <w:r w:rsidRPr="00903F89">
              <w:rPr>
                <w:rFonts w:cs="Arial"/>
                <w:sz w:val="20"/>
                <w:szCs w:val="20"/>
                <w:lang w:val="en-GB"/>
              </w:rPr>
              <w:t>Public</w:t>
            </w:r>
            <w:r w:rsidRPr="00903F89">
              <w:rPr>
                <w:rFonts w:cs="Arial"/>
                <w:sz w:val="20"/>
                <w:szCs w:val="20"/>
              </w:rPr>
              <w:t xml:space="preserve"> </w:t>
            </w:r>
            <w:r w:rsidRPr="00903F89">
              <w:rPr>
                <w:rFonts w:cs="Arial"/>
                <w:sz w:val="20"/>
                <w:szCs w:val="20"/>
                <w:lang w:val="en-GB"/>
              </w:rPr>
              <w:t>Transport</w:t>
            </w:r>
            <w:r w:rsidRPr="00903F89">
              <w:rPr>
                <w:rFonts w:cs="Arial"/>
                <w:sz w:val="20"/>
                <w:szCs w:val="20"/>
              </w:rPr>
              <w:t xml:space="preserve">».   </w:t>
            </w:r>
          </w:p>
          <w:p w14:paraId="27E4A9CA" w14:textId="47937170" w:rsidR="003C2DD3" w:rsidRPr="00903F89" w:rsidRDefault="003C2DD3" w:rsidP="00903F89">
            <w:pPr>
              <w:numPr>
                <w:ilvl w:val="0"/>
                <w:numId w:val="8"/>
              </w:numPr>
              <w:ind w:left="284" w:hanging="284"/>
              <w:jc w:val="both"/>
              <w:rPr>
                <w:rFonts w:eastAsia="Arial" w:cs="Arial"/>
                <w:b/>
                <w:bCs/>
                <w:sz w:val="20"/>
                <w:szCs w:val="20"/>
              </w:rPr>
            </w:pPr>
            <w:r w:rsidRPr="00903F89">
              <w:rPr>
                <w:rFonts w:cs="Arial"/>
                <w:sz w:val="20"/>
                <w:szCs w:val="20"/>
              </w:rPr>
              <w:t xml:space="preserve">Αγορά υπηρεσιών για μεταφορές/μετακινήσεις υλικών και αγαθών από και προς τις διάφορες εγκαταστάσεις του Πανεπιστημίου Κύπρου, μετά από διαδικασία προκήρυξης και κατακύρωσης σχετικής προσφοράς. </w:t>
            </w:r>
          </w:p>
        </w:tc>
      </w:tr>
      <w:tr w:rsidR="007422AB" w:rsidRPr="00903F89" w14:paraId="3825AADB" w14:textId="77777777" w:rsidTr="00B1212B">
        <w:tc>
          <w:tcPr>
            <w:tcW w:w="3795" w:type="dxa"/>
            <w:gridSpan w:val="4"/>
          </w:tcPr>
          <w:p w14:paraId="7C58F8D2" w14:textId="77777777" w:rsidR="003C2DD3" w:rsidRPr="00903F89" w:rsidRDefault="003C2DD3" w:rsidP="00903F89">
            <w:pPr>
              <w:jc w:val="both"/>
              <w:rPr>
                <w:rFonts w:cs="Arial"/>
                <w:b/>
                <w:sz w:val="20"/>
                <w:szCs w:val="20"/>
                <w:u w:val="single"/>
              </w:rPr>
            </w:pPr>
          </w:p>
        </w:tc>
        <w:tc>
          <w:tcPr>
            <w:tcW w:w="6128" w:type="dxa"/>
            <w:gridSpan w:val="22"/>
          </w:tcPr>
          <w:p w14:paraId="7C4E9103" w14:textId="77777777" w:rsidR="003C2DD3" w:rsidRPr="00903F89" w:rsidRDefault="003C2DD3" w:rsidP="00903F89">
            <w:pPr>
              <w:jc w:val="both"/>
              <w:rPr>
                <w:rFonts w:cs="Arial"/>
                <w:b/>
                <w:sz w:val="20"/>
                <w:szCs w:val="20"/>
                <w:u w:val="single"/>
              </w:rPr>
            </w:pPr>
          </w:p>
        </w:tc>
        <w:tc>
          <w:tcPr>
            <w:tcW w:w="615" w:type="dxa"/>
          </w:tcPr>
          <w:p w14:paraId="6D1E22B0" w14:textId="77777777" w:rsidR="003C2DD3" w:rsidRPr="00903F89" w:rsidRDefault="003C2DD3" w:rsidP="00903F89">
            <w:pPr>
              <w:jc w:val="both"/>
              <w:rPr>
                <w:rFonts w:cs="Arial"/>
                <w:b/>
                <w:sz w:val="20"/>
                <w:szCs w:val="20"/>
                <w:u w:val="single"/>
              </w:rPr>
            </w:pPr>
          </w:p>
        </w:tc>
      </w:tr>
      <w:tr w:rsidR="007422AB" w:rsidRPr="00903F89" w14:paraId="28068D96" w14:textId="77777777" w:rsidTr="00B1212B">
        <w:tc>
          <w:tcPr>
            <w:tcW w:w="9923" w:type="dxa"/>
            <w:gridSpan w:val="26"/>
          </w:tcPr>
          <w:p w14:paraId="3CFE87EC" w14:textId="1CFB50E1" w:rsidR="003C2DD3" w:rsidRPr="00C7404B" w:rsidRDefault="003C2DD3" w:rsidP="00903F89">
            <w:pPr>
              <w:pStyle w:val="Heading8"/>
              <w:outlineLvl w:val="7"/>
              <w:rPr>
                <w:rFonts w:ascii="Arial" w:eastAsia="Arial" w:hAnsi="Arial" w:cs="Arial"/>
                <w:sz w:val="20"/>
                <w:szCs w:val="20"/>
                <w:u w:val="single"/>
              </w:rPr>
            </w:pPr>
            <w:r w:rsidRPr="00C7404B">
              <w:rPr>
                <w:rFonts w:ascii="Arial" w:eastAsia="Arial" w:hAnsi="Arial" w:cs="Arial"/>
                <w:sz w:val="20"/>
                <w:szCs w:val="20"/>
                <w:u w:val="single"/>
              </w:rPr>
              <w:t xml:space="preserve">Υποομάδα 210 – Έξοδα Λειτουργίας </w:t>
            </w:r>
          </w:p>
        </w:tc>
        <w:tc>
          <w:tcPr>
            <w:tcW w:w="615" w:type="dxa"/>
          </w:tcPr>
          <w:p w14:paraId="0BB13337" w14:textId="77777777" w:rsidR="003C2DD3" w:rsidRPr="00903F89" w:rsidRDefault="003C2DD3" w:rsidP="00903F89">
            <w:pPr>
              <w:jc w:val="both"/>
              <w:rPr>
                <w:rFonts w:cs="Arial"/>
                <w:b/>
                <w:sz w:val="20"/>
                <w:szCs w:val="20"/>
                <w:u w:val="single"/>
              </w:rPr>
            </w:pPr>
          </w:p>
        </w:tc>
      </w:tr>
      <w:tr w:rsidR="007422AB" w:rsidRPr="00903F89" w14:paraId="23812AFA" w14:textId="77777777" w:rsidTr="00B1212B">
        <w:tc>
          <w:tcPr>
            <w:tcW w:w="9923" w:type="dxa"/>
            <w:gridSpan w:val="26"/>
          </w:tcPr>
          <w:p w14:paraId="0596C506" w14:textId="77777777" w:rsidR="003C2DD3" w:rsidRPr="00903F89" w:rsidRDefault="003C2DD3" w:rsidP="00903F89">
            <w:pPr>
              <w:pStyle w:val="Heading8"/>
              <w:outlineLvl w:val="7"/>
              <w:rPr>
                <w:rFonts w:ascii="Arial" w:hAnsi="Arial" w:cs="Arial"/>
                <w:bCs/>
                <w:sz w:val="20"/>
                <w:szCs w:val="20"/>
              </w:rPr>
            </w:pPr>
          </w:p>
        </w:tc>
        <w:tc>
          <w:tcPr>
            <w:tcW w:w="615" w:type="dxa"/>
          </w:tcPr>
          <w:p w14:paraId="0411373F" w14:textId="77777777" w:rsidR="003C2DD3" w:rsidRPr="00903F89" w:rsidRDefault="003C2DD3" w:rsidP="00903F89">
            <w:pPr>
              <w:jc w:val="both"/>
              <w:rPr>
                <w:rFonts w:cs="Arial"/>
                <w:b/>
                <w:sz w:val="20"/>
                <w:szCs w:val="20"/>
                <w:u w:val="single"/>
              </w:rPr>
            </w:pPr>
          </w:p>
        </w:tc>
      </w:tr>
      <w:tr w:rsidR="007422AB" w:rsidRPr="00903F89" w14:paraId="18FE37F9" w14:textId="77777777" w:rsidTr="00B1212B">
        <w:tc>
          <w:tcPr>
            <w:tcW w:w="3795" w:type="dxa"/>
            <w:gridSpan w:val="4"/>
          </w:tcPr>
          <w:p w14:paraId="7D0C373D" w14:textId="38556A05" w:rsidR="003C2DD3" w:rsidRPr="00903F89" w:rsidRDefault="003C2DD3" w:rsidP="00903F89">
            <w:pPr>
              <w:jc w:val="both"/>
              <w:rPr>
                <w:rFonts w:eastAsia="Arial" w:cs="Arial"/>
                <w:b/>
                <w:bCs/>
                <w:sz w:val="20"/>
                <w:szCs w:val="20"/>
                <w:u w:val="single"/>
                <w:lang w:val="en-US"/>
              </w:rPr>
            </w:pPr>
            <w:r w:rsidRPr="00903F89">
              <w:rPr>
                <w:rFonts w:cs="Arial"/>
                <w:b/>
                <w:bCs/>
                <w:sz w:val="20"/>
                <w:szCs w:val="20"/>
                <w:u w:val="single"/>
              </w:rPr>
              <w:t>Άρθρο 211 – Ταχυδρομικά - €55.400</w:t>
            </w:r>
          </w:p>
        </w:tc>
        <w:tc>
          <w:tcPr>
            <w:tcW w:w="6128" w:type="dxa"/>
            <w:gridSpan w:val="22"/>
          </w:tcPr>
          <w:p w14:paraId="58B01B2B" w14:textId="77777777" w:rsidR="003C2DD3" w:rsidRPr="00903F89" w:rsidRDefault="003C2DD3" w:rsidP="00903F89">
            <w:pPr>
              <w:jc w:val="both"/>
              <w:rPr>
                <w:rFonts w:cs="Arial"/>
                <w:b/>
                <w:sz w:val="20"/>
                <w:szCs w:val="20"/>
                <w:u w:val="single"/>
              </w:rPr>
            </w:pPr>
          </w:p>
        </w:tc>
        <w:tc>
          <w:tcPr>
            <w:tcW w:w="615" w:type="dxa"/>
          </w:tcPr>
          <w:p w14:paraId="770F174F" w14:textId="77777777" w:rsidR="003C2DD3" w:rsidRPr="00903F89" w:rsidRDefault="003C2DD3" w:rsidP="00903F89">
            <w:pPr>
              <w:jc w:val="both"/>
              <w:rPr>
                <w:rFonts w:cs="Arial"/>
                <w:b/>
                <w:sz w:val="20"/>
                <w:szCs w:val="20"/>
                <w:u w:val="single"/>
              </w:rPr>
            </w:pPr>
          </w:p>
        </w:tc>
      </w:tr>
      <w:tr w:rsidR="007422AB" w:rsidRPr="00903F89" w14:paraId="1F4A18A7" w14:textId="77777777" w:rsidTr="00B1212B">
        <w:tc>
          <w:tcPr>
            <w:tcW w:w="3795" w:type="dxa"/>
            <w:gridSpan w:val="4"/>
          </w:tcPr>
          <w:p w14:paraId="530ECC9A" w14:textId="77777777" w:rsidR="003C2DD3" w:rsidRPr="00903F89" w:rsidRDefault="003C2DD3" w:rsidP="00903F89">
            <w:pPr>
              <w:jc w:val="both"/>
              <w:rPr>
                <w:rFonts w:cs="Arial"/>
                <w:b/>
                <w:sz w:val="20"/>
                <w:szCs w:val="20"/>
                <w:u w:val="single"/>
              </w:rPr>
            </w:pPr>
          </w:p>
        </w:tc>
        <w:tc>
          <w:tcPr>
            <w:tcW w:w="6128" w:type="dxa"/>
            <w:gridSpan w:val="22"/>
          </w:tcPr>
          <w:p w14:paraId="79CC0044" w14:textId="77777777" w:rsidR="003C2DD3" w:rsidRPr="00903F89" w:rsidRDefault="003C2DD3" w:rsidP="00903F89">
            <w:pPr>
              <w:jc w:val="both"/>
              <w:rPr>
                <w:rFonts w:cs="Arial"/>
                <w:b/>
                <w:sz w:val="20"/>
                <w:szCs w:val="20"/>
                <w:u w:val="single"/>
              </w:rPr>
            </w:pPr>
          </w:p>
        </w:tc>
        <w:tc>
          <w:tcPr>
            <w:tcW w:w="615" w:type="dxa"/>
          </w:tcPr>
          <w:p w14:paraId="2233261E" w14:textId="77777777" w:rsidR="003C2DD3" w:rsidRPr="00903F89" w:rsidRDefault="003C2DD3" w:rsidP="00903F89">
            <w:pPr>
              <w:jc w:val="both"/>
              <w:rPr>
                <w:rFonts w:cs="Arial"/>
                <w:b/>
                <w:sz w:val="20"/>
                <w:szCs w:val="20"/>
                <w:u w:val="single"/>
              </w:rPr>
            </w:pPr>
          </w:p>
        </w:tc>
      </w:tr>
      <w:tr w:rsidR="007422AB" w:rsidRPr="00903F89" w14:paraId="17E7F3DE" w14:textId="77777777" w:rsidTr="00B1212B">
        <w:tc>
          <w:tcPr>
            <w:tcW w:w="10538" w:type="dxa"/>
            <w:gridSpan w:val="27"/>
          </w:tcPr>
          <w:p w14:paraId="1E5E04B9" w14:textId="1C5D1623" w:rsidR="003C2DD3" w:rsidRPr="00903F89" w:rsidRDefault="003C2DD3" w:rsidP="00903F89">
            <w:pPr>
              <w:jc w:val="both"/>
              <w:rPr>
                <w:rFonts w:eastAsia="Arial" w:cs="Arial"/>
                <w:b/>
                <w:bCs/>
                <w:sz w:val="20"/>
                <w:szCs w:val="20"/>
                <w:u w:val="single"/>
              </w:rPr>
            </w:pPr>
            <w:r w:rsidRPr="00903F89">
              <w:rPr>
                <w:rFonts w:cs="Arial"/>
                <w:sz w:val="20"/>
                <w:szCs w:val="20"/>
              </w:rPr>
              <w:t xml:space="preserve">Το ποσό προορίζεται να καλύψει τα ταχυδρομικά έξοδα των διαφόρων Σχολών, Τμημάτων, Υπηρεσιών, Ερευνητικών Μονάδων και άλλων οργανωτικών μονάδων του Πανεπιστημίου Κύπρου, συμπεριλαμβανομένων και των ταχυδρομικών εξόδων των διαφόρων συνεδρίων, συμποσίων και άλλων εκδηλώσεων. </w:t>
            </w:r>
          </w:p>
        </w:tc>
      </w:tr>
      <w:tr w:rsidR="007422AB" w:rsidRPr="00903F89" w14:paraId="4C788913" w14:textId="77777777" w:rsidTr="00B1212B">
        <w:tc>
          <w:tcPr>
            <w:tcW w:w="3795" w:type="dxa"/>
            <w:gridSpan w:val="4"/>
          </w:tcPr>
          <w:p w14:paraId="66408508" w14:textId="77777777" w:rsidR="003C2DD3" w:rsidRPr="00903F89" w:rsidRDefault="003C2DD3" w:rsidP="00903F89">
            <w:pPr>
              <w:jc w:val="both"/>
              <w:rPr>
                <w:rFonts w:cs="Arial"/>
                <w:b/>
                <w:sz w:val="20"/>
                <w:szCs w:val="20"/>
                <w:u w:val="single"/>
              </w:rPr>
            </w:pPr>
          </w:p>
        </w:tc>
        <w:tc>
          <w:tcPr>
            <w:tcW w:w="6128" w:type="dxa"/>
            <w:gridSpan w:val="22"/>
          </w:tcPr>
          <w:p w14:paraId="543C6310" w14:textId="77777777" w:rsidR="003C2DD3" w:rsidRPr="00903F89" w:rsidRDefault="003C2DD3" w:rsidP="00903F89">
            <w:pPr>
              <w:jc w:val="both"/>
              <w:rPr>
                <w:rFonts w:cs="Arial"/>
                <w:b/>
                <w:sz w:val="20"/>
                <w:szCs w:val="20"/>
                <w:u w:val="single"/>
              </w:rPr>
            </w:pPr>
          </w:p>
        </w:tc>
        <w:tc>
          <w:tcPr>
            <w:tcW w:w="615" w:type="dxa"/>
          </w:tcPr>
          <w:p w14:paraId="2BB150E1" w14:textId="77777777" w:rsidR="003C2DD3" w:rsidRPr="00903F89" w:rsidRDefault="003C2DD3" w:rsidP="00903F89">
            <w:pPr>
              <w:jc w:val="both"/>
              <w:rPr>
                <w:rFonts w:cs="Arial"/>
                <w:b/>
                <w:sz w:val="20"/>
                <w:szCs w:val="20"/>
                <w:u w:val="single"/>
              </w:rPr>
            </w:pPr>
          </w:p>
        </w:tc>
      </w:tr>
      <w:tr w:rsidR="007422AB" w:rsidRPr="00903F89" w14:paraId="76AF188F" w14:textId="77777777" w:rsidTr="00B1212B">
        <w:tc>
          <w:tcPr>
            <w:tcW w:w="10538" w:type="dxa"/>
            <w:gridSpan w:val="27"/>
          </w:tcPr>
          <w:p w14:paraId="51459D44" w14:textId="26AF15F2" w:rsidR="003C2DD3" w:rsidRPr="00903F89" w:rsidRDefault="003C2DD3" w:rsidP="00903F89">
            <w:pPr>
              <w:jc w:val="both"/>
              <w:rPr>
                <w:rFonts w:eastAsia="Arial" w:cs="Arial"/>
                <w:b/>
                <w:bCs/>
                <w:sz w:val="20"/>
                <w:szCs w:val="20"/>
                <w:u w:val="single"/>
              </w:rPr>
            </w:pPr>
            <w:r w:rsidRPr="00903F89">
              <w:rPr>
                <w:rFonts w:cs="Arial"/>
                <w:sz w:val="20"/>
                <w:szCs w:val="20"/>
              </w:rPr>
              <w:t>Διευκρινίζεται ότι σε έκτακτες περιπτώσεις το Πανεπιστήμιο Κύπρου χρησιμοποιεί πέραν από τις υπηρεσίες που προσφέρουν μέλη του μόνιμου ωρομίσθιου προσωπικού και τις υπηρεσίες ιδιωτικής εταιρείας ταχυμεταφορών για αποστολή ή/και παραλαβή εγγράφων και δεμάτων, η οποία έχει επιλεγεί μετά από διαδικασία προκήρυξης και κατακύρωσης σχετικής προσφοράς.</w:t>
            </w:r>
          </w:p>
        </w:tc>
      </w:tr>
      <w:tr w:rsidR="007422AB" w:rsidRPr="00903F89" w14:paraId="75931AB3" w14:textId="77777777" w:rsidTr="00B1212B">
        <w:tc>
          <w:tcPr>
            <w:tcW w:w="3795" w:type="dxa"/>
            <w:gridSpan w:val="4"/>
          </w:tcPr>
          <w:p w14:paraId="7B7396A1" w14:textId="77777777" w:rsidR="003C2DD3" w:rsidRPr="00903F89" w:rsidRDefault="003C2DD3" w:rsidP="00903F89">
            <w:pPr>
              <w:jc w:val="both"/>
              <w:rPr>
                <w:rFonts w:cs="Arial"/>
                <w:b/>
                <w:sz w:val="20"/>
                <w:szCs w:val="20"/>
                <w:u w:val="single"/>
              </w:rPr>
            </w:pPr>
          </w:p>
        </w:tc>
        <w:tc>
          <w:tcPr>
            <w:tcW w:w="6128" w:type="dxa"/>
            <w:gridSpan w:val="22"/>
          </w:tcPr>
          <w:p w14:paraId="1C66A836" w14:textId="77777777" w:rsidR="003C2DD3" w:rsidRPr="00903F89" w:rsidRDefault="003C2DD3" w:rsidP="00903F89">
            <w:pPr>
              <w:jc w:val="both"/>
              <w:rPr>
                <w:rFonts w:cs="Arial"/>
                <w:b/>
                <w:sz w:val="20"/>
                <w:szCs w:val="20"/>
                <w:u w:val="single"/>
              </w:rPr>
            </w:pPr>
          </w:p>
        </w:tc>
        <w:tc>
          <w:tcPr>
            <w:tcW w:w="615" w:type="dxa"/>
          </w:tcPr>
          <w:p w14:paraId="294FCDB3" w14:textId="77777777" w:rsidR="003C2DD3" w:rsidRPr="00903F89" w:rsidRDefault="003C2DD3" w:rsidP="00903F89">
            <w:pPr>
              <w:jc w:val="both"/>
              <w:rPr>
                <w:rFonts w:cs="Arial"/>
                <w:b/>
                <w:sz w:val="20"/>
                <w:szCs w:val="20"/>
                <w:u w:val="single"/>
              </w:rPr>
            </w:pPr>
          </w:p>
        </w:tc>
      </w:tr>
      <w:tr w:rsidR="007422AB" w:rsidRPr="00903F89" w14:paraId="54919AA8" w14:textId="77777777" w:rsidTr="00B1212B">
        <w:tc>
          <w:tcPr>
            <w:tcW w:w="10538" w:type="dxa"/>
            <w:gridSpan w:val="27"/>
          </w:tcPr>
          <w:p w14:paraId="21BC6C40" w14:textId="0F8D1752"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212 – Γραφική Ύλη και Φωτοτυπικά Υλικά – €176.100</w:t>
            </w:r>
          </w:p>
        </w:tc>
      </w:tr>
      <w:tr w:rsidR="007422AB" w:rsidRPr="00903F89" w14:paraId="5E5E2594" w14:textId="77777777" w:rsidTr="00B1212B">
        <w:tc>
          <w:tcPr>
            <w:tcW w:w="3795" w:type="dxa"/>
            <w:gridSpan w:val="4"/>
          </w:tcPr>
          <w:p w14:paraId="3FBACA93" w14:textId="77777777" w:rsidR="003C2DD3" w:rsidRPr="00903F89" w:rsidRDefault="003C2DD3" w:rsidP="00903F89">
            <w:pPr>
              <w:jc w:val="both"/>
              <w:rPr>
                <w:rFonts w:cs="Arial"/>
                <w:b/>
                <w:sz w:val="20"/>
                <w:szCs w:val="20"/>
                <w:u w:val="single"/>
              </w:rPr>
            </w:pPr>
          </w:p>
        </w:tc>
        <w:tc>
          <w:tcPr>
            <w:tcW w:w="6128" w:type="dxa"/>
            <w:gridSpan w:val="22"/>
          </w:tcPr>
          <w:p w14:paraId="7BFA3633" w14:textId="77777777" w:rsidR="003C2DD3" w:rsidRPr="00903F89" w:rsidRDefault="003C2DD3" w:rsidP="00903F89">
            <w:pPr>
              <w:jc w:val="both"/>
              <w:rPr>
                <w:rFonts w:cs="Arial"/>
                <w:b/>
                <w:sz w:val="20"/>
                <w:szCs w:val="20"/>
                <w:u w:val="single"/>
              </w:rPr>
            </w:pPr>
          </w:p>
        </w:tc>
        <w:tc>
          <w:tcPr>
            <w:tcW w:w="615" w:type="dxa"/>
          </w:tcPr>
          <w:p w14:paraId="48FE49B3" w14:textId="77777777" w:rsidR="003C2DD3" w:rsidRPr="00903F89" w:rsidRDefault="003C2DD3" w:rsidP="00903F89">
            <w:pPr>
              <w:jc w:val="both"/>
              <w:rPr>
                <w:rFonts w:cs="Arial"/>
                <w:b/>
                <w:sz w:val="20"/>
                <w:szCs w:val="20"/>
                <w:u w:val="single"/>
              </w:rPr>
            </w:pPr>
          </w:p>
        </w:tc>
      </w:tr>
      <w:tr w:rsidR="007422AB" w:rsidRPr="00903F89" w14:paraId="1002FF3B" w14:textId="77777777" w:rsidTr="00B1212B">
        <w:tc>
          <w:tcPr>
            <w:tcW w:w="10538" w:type="dxa"/>
            <w:gridSpan w:val="27"/>
            <w:shd w:val="clear" w:color="auto" w:fill="auto"/>
          </w:tcPr>
          <w:p w14:paraId="62952D98" w14:textId="1464F709" w:rsidR="003C2DD3" w:rsidRPr="00903F89" w:rsidRDefault="003C2DD3" w:rsidP="00903F89">
            <w:pPr>
              <w:jc w:val="both"/>
              <w:rPr>
                <w:rFonts w:eastAsia="Arial" w:cs="Arial"/>
                <w:b/>
                <w:bCs/>
                <w:sz w:val="20"/>
                <w:szCs w:val="20"/>
                <w:u w:val="single"/>
              </w:rPr>
            </w:pPr>
            <w:r w:rsidRPr="00903F89">
              <w:rPr>
                <w:rFonts w:cs="Arial"/>
                <w:sz w:val="20"/>
                <w:szCs w:val="20"/>
              </w:rPr>
              <w:t xml:space="preserve">Το ποσό προορίζεται να καλύψει δαπάνες για την αγορά γραφικής ύλης και φωτοτυπικών υλικών (χαρτί φωτοτυπίας, αναλώσιμα είδη γραφείου, είδη αλληλογραφίας κ.ά.), για σκοπούς διδασκαλίας και υπολογιστικών μηχανών για τις ανάγκες του Πανεπιστημίου.  Οι αγορές αυτές γίνονται είτε κεντρικά είτε απευθείας από τις διάφορες οργανωτικές οντότητες του Πανεπιστημίου Κύπρου μέσω των Συμφωνιών Πλαισίου του Δημοσίου. </w:t>
            </w:r>
            <w:r w:rsidRPr="00903F89">
              <w:rPr>
                <w:rFonts w:cs="Arial"/>
                <w:sz w:val="20"/>
                <w:szCs w:val="20"/>
                <w:shd w:val="clear" w:color="auto" w:fill="FFFFFF" w:themeFill="background1"/>
              </w:rPr>
              <w:t>Η απόκτηση αγαθών που καλύπτονται από το άρθρο αυτό και τα οποία δεν είναι διαθέσιμα μέσω των Συμφωνιών Πλαισίου του Δημοσίου, θα γίνεται με την εφαρμογή των προνοιών του Ν.73(Ι)/2016 που διέπει τη σύναψη συμβάσεων για την απόκτηση αγαθών, υπηρεσιών και έργων</w:t>
            </w:r>
            <w:r w:rsidR="002164F2" w:rsidRPr="00903F89">
              <w:rPr>
                <w:rFonts w:cs="Arial"/>
                <w:sz w:val="20"/>
                <w:szCs w:val="20"/>
                <w:shd w:val="clear" w:color="auto" w:fill="FFFFFF" w:themeFill="background1"/>
              </w:rPr>
              <w:t>.</w:t>
            </w:r>
            <w:r w:rsidRPr="00903F89">
              <w:rPr>
                <w:rFonts w:cs="Arial"/>
                <w:sz w:val="20"/>
                <w:szCs w:val="20"/>
              </w:rPr>
              <w:t xml:space="preserve">  </w:t>
            </w:r>
          </w:p>
        </w:tc>
      </w:tr>
      <w:tr w:rsidR="007422AB" w:rsidRPr="00903F89" w14:paraId="1710DB27" w14:textId="77777777" w:rsidTr="00B1212B">
        <w:tc>
          <w:tcPr>
            <w:tcW w:w="3795" w:type="dxa"/>
            <w:gridSpan w:val="4"/>
          </w:tcPr>
          <w:p w14:paraId="333F87AF" w14:textId="77777777" w:rsidR="003C2DD3" w:rsidRPr="00903F89" w:rsidRDefault="003C2DD3" w:rsidP="00903F89">
            <w:pPr>
              <w:jc w:val="both"/>
              <w:rPr>
                <w:rFonts w:cs="Arial"/>
                <w:b/>
                <w:sz w:val="20"/>
                <w:szCs w:val="20"/>
                <w:u w:val="single"/>
              </w:rPr>
            </w:pPr>
          </w:p>
        </w:tc>
        <w:tc>
          <w:tcPr>
            <w:tcW w:w="6128" w:type="dxa"/>
            <w:gridSpan w:val="22"/>
          </w:tcPr>
          <w:p w14:paraId="27452070" w14:textId="77777777" w:rsidR="003C2DD3" w:rsidRPr="00903F89" w:rsidRDefault="003C2DD3" w:rsidP="00903F89">
            <w:pPr>
              <w:jc w:val="both"/>
              <w:rPr>
                <w:rFonts w:cs="Arial"/>
                <w:sz w:val="20"/>
                <w:szCs w:val="20"/>
              </w:rPr>
            </w:pPr>
          </w:p>
        </w:tc>
        <w:tc>
          <w:tcPr>
            <w:tcW w:w="615" w:type="dxa"/>
          </w:tcPr>
          <w:p w14:paraId="21FA36B1" w14:textId="77777777" w:rsidR="003C2DD3" w:rsidRPr="00903F89" w:rsidRDefault="003C2DD3" w:rsidP="00903F89">
            <w:pPr>
              <w:jc w:val="both"/>
              <w:rPr>
                <w:rFonts w:cs="Arial"/>
                <w:b/>
                <w:sz w:val="20"/>
                <w:szCs w:val="20"/>
                <w:u w:val="single"/>
              </w:rPr>
            </w:pPr>
          </w:p>
        </w:tc>
      </w:tr>
      <w:tr w:rsidR="007422AB" w:rsidRPr="00903F89" w14:paraId="726B5E01" w14:textId="77777777" w:rsidTr="00B1212B">
        <w:tc>
          <w:tcPr>
            <w:tcW w:w="10538" w:type="dxa"/>
            <w:gridSpan w:val="27"/>
          </w:tcPr>
          <w:p w14:paraId="736B3208" w14:textId="72A0DBDE"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213 – Ηλεκτροδότηση και Θέρμανση – €4.200.000</w:t>
            </w:r>
          </w:p>
        </w:tc>
      </w:tr>
      <w:tr w:rsidR="007422AB" w:rsidRPr="00903F89" w14:paraId="30B192EB" w14:textId="77777777" w:rsidTr="00B1212B">
        <w:tc>
          <w:tcPr>
            <w:tcW w:w="3795" w:type="dxa"/>
            <w:gridSpan w:val="4"/>
          </w:tcPr>
          <w:p w14:paraId="4F0E6914" w14:textId="77777777" w:rsidR="003C2DD3" w:rsidRPr="00903F89" w:rsidRDefault="003C2DD3" w:rsidP="00903F89">
            <w:pPr>
              <w:jc w:val="both"/>
              <w:rPr>
                <w:rFonts w:cs="Arial"/>
                <w:b/>
                <w:sz w:val="20"/>
                <w:szCs w:val="20"/>
                <w:u w:val="single"/>
              </w:rPr>
            </w:pPr>
          </w:p>
        </w:tc>
        <w:tc>
          <w:tcPr>
            <w:tcW w:w="6128" w:type="dxa"/>
            <w:gridSpan w:val="22"/>
          </w:tcPr>
          <w:p w14:paraId="76E2025F" w14:textId="77777777" w:rsidR="003C2DD3" w:rsidRPr="00903F89" w:rsidRDefault="003C2DD3" w:rsidP="00903F89">
            <w:pPr>
              <w:jc w:val="both"/>
              <w:rPr>
                <w:rFonts w:cs="Arial"/>
                <w:sz w:val="20"/>
                <w:szCs w:val="20"/>
              </w:rPr>
            </w:pPr>
          </w:p>
        </w:tc>
        <w:tc>
          <w:tcPr>
            <w:tcW w:w="615" w:type="dxa"/>
          </w:tcPr>
          <w:p w14:paraId="5781FC1C" w14:textId="77777777" w:rsidR="003C2DD3" w:rsidRPr="00903F89" w:rsidRDefault="003C2DD3" w:rsidP="00903F89">
            <w:pPr>
              <w:jc w:val="both"/>
              <w:rPr>
                <w:rFonts w:cs="Arial"/>
                <w:b/>
                <w:sz w:val="20"/>
                <w:szCs w:val="20"/>
                <w:u w:val="single"/>
              </w:rPr>
            </w:pPr>
          </w:p>
        </w:tc>
      </w:tr>
      <w:tr w:rsidR="007422AB" w:rsidRPr="00903F89" w14:paraId="32C0A3E2" w14:textId="77777777" w:rsidTr="00B1212B">
        <w:tc>
          <w:tcPr>
            <w:tcW w:w="10538" w:type="dxa"/>
            <w:gridSpan w:val="27"/>
          </w:tcPr>
          <w:p w14:paraId="64B94609" w14:textId="04585584" w:rsidR="003C2DD3" w:rsidRPr="00903F89" w:rsidRDefault="003C2DD3" w:rsidP="00903F89">
            <w:pPr>
              <w:jc w:val="both"/>
              <w:rPr>
                <w:rFonts w:eastAsia="Arial" w:cs="Arial"/>
                <w:sz w:val="20"/>
                <w:szCs w:val="20"/>
              </w:rPr>
            </w:pPr>
            <w:r w:rsidRPr="00903F89">
              <w:rPr>
                <w:rFonts w:cs="Arial"/>
                <w:sz w:val="20"/>
                <w:szCs w:val="20"/>
              </w:rPr>
              <w:t xml:space="preserve">Η πρόνοια προορίζεται να καλύψει τις ανάγκες του Πανεπιστημίου Κύπρου που αφορούν δαπάνες για παροχή ηλεκτρικού ρεύματος και αγορά καυσίμων για θέρμανση που απαιτούνται για τη λειτουργία των κτηριακών εγκαταστάσεων του Πανεπιστημίου. </w:t>
            </w:r>
          </w:p>
        </w:tc>
      </w:tr>
      <w:tr w:rsidR="007422AB" w:rsidRPr="00903F89" w14:paraId="5E6A4F68" w14:textId="77777777" w:rsidTr="00B1212B">
        <w:tc>
          <w:tcPr>
            <w:tcW w:w="10538" w:type="dxa"/>
            <w:gridSpan w:val="27"/>
          </w:tcPr>
          <w:p w14:paraId="715B80D5" w14:textId="77777777" w:rsidR="003C2DD3" w:rsidRPr="00903F89" w:rsidRDefault="003C2DD3" w:rsidP="00903F89">
            <w:pPr>
              <w:jc w:val="both"/>
              <w:rPr>
                <w:rFonts w:cs="Arial"/>
                <w:sz w:val="20"/>
                <w:szCs w:val="20"/>
              </w:rPr>
            </w:pPr>
          </w:p>
        </w:tc>
      </w:tr>
      <w:tr w:rsidR="007422AB" w:rsidRPr="00903F89" w14:paraId="6D82A51A" w14:textId="77777777" w:rsidTr="00B1212B">
        <w:tc>
          <w:tcPr>
            <w:tcW w:w="10538" w:type="dxa"/>
            <w:gridSpan w:val="27"/>
          </w:tcPr>
          <w:p w14:paraId="26D5A75F" w14:textId="4C418B21" w:rsidR="003C2DD3" w:rsidRPr="00903F89" w:rsidRDefault="003C2DD3" w:rsidP="00903F89">
            <w:pPr>
              <w:jc w:val="both"/>
              <w:rPr>
                <w:rFonts w:eastAsia="Arial" w:cs="Arial"/>
                <w:sz w:val="20"/>
                <w:szCs w:val="20"/>
              </w:rPr>
            </w:pPr>
            <w:r w:rsidRPr="00903F89">
              <w:rPr>
                <w:rFonts w:cs="Arial"/>
                <w:sz w:val="20"/>
                <w:szCs w:val="20"/>
              </w:rPr>
              <w:t>Η διαφοροποίηση μέχρι τώρα αλλά και η αναμενόμενη αύξηση κατά τους προσεχείς μήνες στις τιμές των καυσίμων και του ηλεκτρικού ρεύματος έχει ληφθεί υπόψη στον υπολογισμό της πρόνοιας, όσο αυτό είναι δυνατόν.  Το Πανεπιστήμιο Κύπρου καταβάλλει προσπάθειες για περιορισμό των σχετικών δαπανών, με υιοθέτηση πολιτικών και αποφάσεων που αφορούν σε θέματα εξοικονόμησης ενέργειας, ωστόσο λόγω του εύρους και ιδιαίτερα λόγω της αύξησης των κτηριακών εγκαταστάσεων (βλ. Κέντρο Πληροφόρησης - Βιβλιοθήκη «Στέλιος Ιωάννου» εμβαδού περί των 16.000τμ) και των ειδικών λειτουργικών απαιτήσεων σε χώρους εργαστηρίων και άλλων χρήσεων τεχνολογικής αιχμής, η σχετική πρόνοια του άρθρου για το έτος 2022 καθορίζεται στο ποσό των €4.200.000</w:t>
            </w:r>
          </w:p>
        </w:tc>
      </w:tr>
      <w:tr w:rsidR="007422AB" w:rsidRPr="00903F89" w14:paraId="34DA03AE" w14:textId="77777777" w:rsidTr="00B1212B">
        <w:tc>
          <w:tcPr>
            <w:tcW w:w="10538" w:type="dxa"/>
            <w:gridSpan w:val="27"/>
          </w:tcPr>
          <w:p w14:paraId="768A5B35" w14:textId="77777777" w:rsidR="003C2DD3" w:rsidRPr="00903F89" w:rsidRDefault="003C2DD3" w:rsidP="00903F89">
            <w:pPr>
              <w:jc w:val="both"/>
              <w:rPr>
                <w:rFonts w:cs="Arial"/>
                <w:sz w:val="20"/>
                <w:szCs w:val="20"/>
              </w:rPr>
            </w:pPr>
          </w:p>
        </w:tc>
      </w:tr>
      <w:tr w:rsidR="007422AB" w:rsidRPr="00903F89" w14:paraId="5115698C" w14:textId="77777777" w:rsidTr="00B1212B">
        <w:tc>
          <w:tcPr>
            <w:tcW w:w="10538" w:type="dxa"/>
            <w:gridSpan w:val="27"/>
          </w:tcPr>
          <w:p w14:paraId="57B18A59" w14:textId="21E4A313"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214 – Τέλη Νερού, Αποχετευτικά κ.ά. – €290.000</w:t>
            </w:r>
          </w:p>
        </w:tc>
      </w:tr>
      <w:tr w:rsidR="007422AB" w:rsidRPr="00903F89" w14:paraId="322BFEC4" w14:textId="77777777" w:rsidTr="00B1212B">
        <w:tc>
          <w:tcPr>
            <w:tcW w:w="3795" w:type="dxa"/>
            <w:gridSpan w:val="4"/>
            <w:shd w:val="clear" w:color="auto" w:fill="auto"/>
          </w:tcPr>
          <w:p w14:paraId="765293BE" w14:textId="77777777" w:rsidR="003C2DD3" w:rsidRPr="00903F89" w:rsidRDefault="003C2DD3" w:rsidP="00903F89">
            <w:pPr>
              <w:jc w:val="both"/>
              <w:rPr>
                <w:rFonts w:cs="Arial"/>
                <w:b/>
                <w:sz w:val="20"/>
                <w:szCs w:val="20"/>
                <w:u w:val="single"/>
              </w:rPr>
            </w:pPr>
          </w:p>
        </w:tc>
        <w:tc>
          <w:tcPr>
            <w:tcW w:w="3237" w:type="dxa"/>
            <w:gridSpan w:val="11"/>
            <w:shd w:val="clear" w:color="auto" w:fill="auto"/>
          </w:tcPr>
          <w:p w14:paraId="58FAE28C" w14:textId="77777777" w:rsidR="003C2DD3" w:rsidRPr="00903F89" w:rsidRDefault="003C2DD3" w:rsidP="00903F89">
            <w:pPr>
              <w:jc w:val="both"/>
              <w:rPr>
                <w:rFonts w:cs="Arial"/>
                <w:sz w:val="20"/>
                <w:szCs w:val="20"/>
              </w:rPr>
            </w:pPr>
          </w:p>
        </w:tc>
        <w:tc>
          <w:tcPr>
            <w:tcW w:w="3506" w:type="dxa"/>
            <w:gridSpan w:val="12"/>
            <w:shd w:val="clear" w:color="auto" w:fill="auto"/>
          </w:tcPr>
          <w:p w14:paraId="2BD1FEE2" w14:textId="02C60EA1" w:rsidR="003C2DD3" w:rsidRPr="00903F89" w:rsidRDefault="003C2DD3" w:rsidP="00903F89">
            <w:pPr>
              <w:jc w:val="both"/>
              <w:rPr>
                <w:rFonts w:cs="Arial"/>
                <w:b/>
                <w:sz w:val="20"/>
                <w:szCs w:val="20"/>
                <w:u w:val="single"/>
              </w:rPr>
            </w:pPr>
          </w:p>
        </w:tc>
      </w:tr>
      <w:tr w:rsidR="007422AB" w:rsidRPr="00903F89" w14:paraId="32A2A31D" w14:textId="77777777" w:rsidTr="00B1212B">
        <w:tc>
          <w:tcPr>
            <w:tcW w:w="10538" w:type="dxa"/>
            <w:gridSpan w:val="27"/>
            <w:shd w:val="clear" w:color="auto" w:fill="auto"/>
          </w:tcPr>
          <w:p w14:paraId="1491A639" w14:textId="7C225EBD" w:rsidR="003C2DD3" w:rsidRPr="00903F89" w:rsidRDefault="003C2DD3" w:rsidP="00903F89">
            <w:pPr>
              <w:jc w:val="both"/>
              <w:rPr>
                <w:rFonts w:eastAsia="Arial" w:cs="Arial"/>
                <w:sz w:val="20"/>
                <w:szCs w:val="20"/>
                <w:u w:val="single"/>
              </w:rPr>
            </w:pPr>
            <w:r w:rsidRPr="00903F89">
              <w:rPr>
                <w:rFonts w:cs="Arial"/>
                <w:sz w:val="20"/>
                <w:szCs w:val="20"/>
              </w:rPr>
              <w:t xml:space="preserve">Η πρόνοια προορίζεται να καλύψει τα έξοδα του Πανεπιστημίου που αφορούν στην επαρκή παροχή καθαρού και κατάλληλου για πόση νερού, για τα αποχετευτικά τέλη κ.λπ. που αφορούν  την Πανεπιστημιούπολη και τα οποία έχουν πρόσφατα αυξηθεί καθώς επίσης και τους κεντρικούς χώρους του Πανεπιστημίου και άλλες κτηριακές εγκαταστάσεις που χρησιμοποιεί το Πανεπιστήμιο.  Η πρόνοια έλαβε υπόψη την προσθήκη νέων εγκαταστάσεων και την αύξηση κατανάλωσης που σημειώνεται στις κτηριακές εγκαταστάσεις του Πανεπιστημίου λόγω αύξησης και του αριθμού των χρηστών.  </w:t>
            </w:r>
          </w:p>
        </w:tc>
      </w:tr>
      <w:tr w:rsidR="007422AB" w:rsidRPr="00903F89" w14:paraId="39193ECE" w14:textId="77777777" w:rsidTr="00B1212B">
        <w:tc>
          <w:tcPr>
            <w:tcW w:w="3795" w:type="dxa"/>
            <w:gridSpan w:val="4"/>
          </w:tcPr>
          <w:p w14:paraId="18ED6322" w14:textId="77777777" w:rsidR="003C2DD3" w:rsidRPr="00903F89" w:rsidRDefault="003C2DD3" w:rsidP="00903F89">
            <w:pPr>
              <w:jc w:val="both"/>
              <w:rPr>
                <w:rFonts w:cs="Arial"/>
                <w:b/>
                <w:sz w:val="20"/>
                <w:szCs w:val="20"/>
                <w:u w:val="single"/>
              </w:rPr>
            </w:pPr>
          </w:p>
        </w:tc>
        <w:tc>
          <w:tcPr>
            <w:tcW w:w="6128" w:type="dxa"/>
            <w:gridSpan w:val="22"/>
          </w:tcPr>
          <w:p w14:paraId="6600D243" w14:textId="77777777" w:rsidR="003C2DD3" w:rsidRPr="00903F89" w:rsidRDefault="003C2DD3" w:rsidP="00903F89">
            <w:pPr>
              <w:jc w:val="both"/>
              <w:rPr>
                <w:rFonts w:cs="Arial"/>
                <w:b/>
                <w:sz w:val="20"/>
                <w:szCs w:val="20"/>
                <w:u w:val="single"/>
              </w:rPr>
            </w:pPr>
          </w:p>
        </w:tc>
        <w:tc>
          <w:tcPr>
            <w:tcW w:w="615" w:type="dxa"/>
          </w:tcPr>
          <w:p w14:paraId="488F360C" w14:textId="77777777" w:rsidR="003C2DD3" w:rsidRPr="00903F89" w:rsidRDefault="003C2DD3" w:rsidP="00903F89">
            <w:pPr>
              <w:jc w:val="both"/>
              <w:rPr>
                <w:rFonts w:cs="Arial"/>
                <w:b/>
                <w:sz w:val="20"/>
                <w:szCs w:val="20"/>
                <w:u w:val="single"/>
              </w:rPr>
            </w:pPr>
          </w:p>
        </w:tc>
      </w:tr>
      <w:tr w:rsidR="007422AB" w:rsidRPr="00903F89" w14:paraId="6E468EC8" w14:textId="77777777" w:rsidTr="00B1212B">
        <w:tc>
          <w:tcPr>
            <w:tcW w:w="10538" w:type="dxa"/>
            <w:gridSpan w:val="27"/>
          </w:tcPr>
          <w:p w14:paraId="74AEBAF0" w14:textId="4CCB8A13"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215 – Καθαριότητα – €1.500</w:t>
            </w:r>
            <w:r w:rsidRPr="00903F89">
              <w:rPr>
                <w:rFonts w:cs="Arial"/>
                <w:b/>
                <w:bCs/>
                <w:sz w:val="20"/>
                <w:szCs w:val="20"/>
                <w:u w:val="single"/>
                <w:lang w:val="en-US"/>
              </w:rPr>
              <w:t>.000</w:t>
            </w:r>
          </w:p>
        </w:tc>
      </w:tr>
      <w:tr w:rsidR="007422AB" w:rsidRPr="00903F89" w14:paraId="2D40AD6C" w14:textId="77777777" w:rsidTr="00B1212B">
        <w:tc>
          <w:tcPr>
            <w:tcW w:w="3795" w:type="dxa"/>
            <w:gridSpan w:val="4"/>
          </w:tcPr>
          <w:p w14:paraId="380F3384" w14:textId="77777777" w:rsidR="003C2DD3" w:rsidRPr="00903F89" w:rsidRDefault="003C2DD3" w:rsidP="00903F89">
            <w:pPr>
              <w:jc w:val="both"/>
              <w:rPr>
                <w:rFonts w:cs="Arial"/>
                <w:b/>
                <w:sz w:val="20"/>
                <w:szCs w:val="20"/>
                <w:u w:val="single"/>
              </w:rPr>
            </w:pPr>
          </w:p>
        </w:tc>
        <w:tc>
          <w:tcPr>
            <w:tcW w:w="6128" w:type="dxa"/>
            <w:gridSpan w:val="22"/>
          </w:tcPr>
          <w:p w14:paraId="3A382F89" w14:textId="77777777" w:rsidR="003C2DD3" w:rsidRPr="00903F89" w:rsidRDefault="003C2DD3" w:rsidP="00903F89">
            <w:pPr>
              <w:jc w:val="both"/>
              <w:rPr>
                <w:rFonts w:cs="Arial"/>
                <w:b/>
                <w:sz w:val="20"/>
                <w:szCs w:val="20"/>
                <w:u w:val="single"/>
              </w:rPr>
            </w:pPr>
          </w:p>
        </w:tc>
        <w:tc>
          <w:tcPr>
            <w:tcW w:w="615" w:type="dxa"/>
          </w:tcPr>
          <w:p w14:paraId="188479C8" w14:textId="77777777" w:rsidR="003C2DD3" w:rsidRPr="00903F89" w:rsidRDefault="003C2DD3" w:rsidP="00903F89">
            <w:pPr>
              <w:jc w:val="both"/>
              <w:rPr>
                <w:rFonts w:cs="Arial"/>
                <w:b/>
                <w:sz w:val="20"/>
                <w:szCs w:val="20"/>
                <w:u w:val="single"/>
              </w:rPr>
            </w:pPr>
          </w:p>
        </w:tc>
      </w:tr>
      <w:tr w:rsidR="007422AB" w:rsidRPr="00903F89" w14:paraId="1B01AA96" w14:textId="77777777" w:rsidTr="00B1212B">
        <w:tc>
          <w:tcPr>
            <w:tcW w:w="10538" w:type="dxa"/>
            <w:gridSpan w:val="27"/>
          </w:tcPr>
          <w:p w14:paraId="42037DE6" w14:textId="7E1CDEC4" w:rsidR="003C2DD3" w:rsidRPr="00903F89" w:rsidRDefault="003C2DD3" w:rsidP="00903F89">
            <w:pPr>
              <w:jc w:val="both"/>
              <w:rPr>
                <w:rFonts w:eastAsiaTheme="minorEastAsia" w:cs="Arial"/>
                <w:sz w:val="20"/>
                <w:szCs w:val="20"/>
                <w:lang w:eastAsia="zh-CN"/>
              </w:rPr>
            </w:pPr>
            <w:r w:rsidRPr="00903F89">
              <w:rPr>
                <w:rFonts w:cs="Arial"/>
                <w:sz w:val="20"/>
                <w:szCs w:val="20"/>
              </w:rPr>
              <w:t xml:space="preserve">Η πρόνοια προορίζεται να καλύψει την αγορά υπηρεσιών καθαριότητας από εταιρεία η οποία έχει επιλεγεί μετά από διαδικασία προκήρυξης και κατακύρωσης σχετικής προσφοράς, καθώς επίσης έξοδα υλικών καθαριότητας για όλα τα κτήρια και τις εγκαταστάσεις όπου στεγάζεται το Πανεπιστημίου Κύπρου, τέλη σκυβάλων κ.α.. Η πρόνοια του άρθρου καλύπτει και δαπάνες που σχετίζονται με την επίλυση του προβλήματος της αντιμετώπισης τρωκτικών, φιδιών και εντόμων στους χώρους του Πανεπιστημίου.  Το ΠΚ συμμετέχει ήδη στο πιλοτικό πρόγραμμα του Δήμου </w:t>
            </w:r>
            <w:proofErr w:type="spellStart"/>
            <w:r w:rsidRPr="00903F89">
              <w:rPr>
                <w:rFonts w:cs="Arial"/>
                <w:sz w:val="20"/>
                <w:szCs w:val="20"/>
              </w:rPr>
              <w:t>Αγλαντζιάς</w:t>
            </w:r>
            <w:proofErr w:type="spellEnd"/>
            <w:r w:rsidRPr="00903F89">
              <w:rPr>
                <w:rFonts w:cs="Arial"/>
                <w:sz w:val="20"/>
                <w:szCs w:val="20"/>
              </w:rPr>
              <w:t xml:space="preserve"> «</w:t>
            </w:r>
            <w:proofErr w:type="spellStart"/>
            <w:r w:rsidRPr="00903F89">
              <w:rPr>
                <w:rFonts w:cs="Arial"/>
                <w:sz w:val="20"/>
                <w:szCs w:val="20"/>
              </w:rPr>
              <w:t>Pay</w:t>
            </w:r>
            <w:proofErr w:type="spellEnd"/>
            <w:r w:rsidRPr="00903F89">
              <w:rPr>
                <w:rFonts w:cs="Arial"/>
                <w:sz w:val="20"/>
                <w:szCs w:val="20"/>
              </w:rPr>
              <w:t xml:space="preserve"> </w:t>
            </w:r>
            <w:proofErr w:type="spellStart"/>
            <w:r w:rsidRPr="00903F89">
              <w:rPr>
                <w:rFonts w:cs="Arial"/>
                <w:sz w:val="20"/>
                <w:szCs w:val="20"/>
              </w:rPr>
              <w:t>as</w:t>
            </w:r>
            <w:proofErr w:type="spellEnd"/>
            <w:r w:rsidRPr="00903F89">
              <w:rPr>
                <w:rFonts w:cs="Arial"/>
                <w:sz w:val="20"/>
                <w:szCs w:val="20"/>
              </w:rPr>
              <w:t xml:space="preserve"> </w:t>
            </w:r>
            <w:proofErr w:type="spellStart"/>
            <w:r w:rsidRPr="00903F89">
              <w:rPr>
                <w:rFonts w:cs="Arial"/>
                <w:sz w:val="20"/>
                <w:szCs w:val="20"/>
              </w:rPr>
              <w:t>you</w:t>
            </w:r>
            <w:proofErr w:type="spellEnd"/>
            <w:r w:rsidRPr="00903F89">
              <w:rPr>
                <w:rFonts w:cs="Arial"/>
                <w:sz w:val="20"/>
                <w:szCs w:val="20"/>
              </w:rPr>
              <w:t xml:space="preserve"> </w:t>
            </w:r>
            <w:proofErr w:type="spellStart"/>
            <w:r w:rsidRPr="00903F89">
              <w:rPr>
                <w:rFonts w:cs="Arial"/>
                <w:sz w:val="20"/>
                <w:szCs w:val="20"/>
              </w:rPr>
              <w:t>Throw</w:t>
            </w:r>
            <w:proofErr w:type="spellEnd"/>
            <w:r w:rsidRPr="00903F89">
              <w:rPr>
                <w:rFonts w:cs="Arial"/>
                <w:sz w:val="20"/>
                <w:szCs w:val="20"/>
              </w:rPr>
              <w:t xml:space="preserve">», το οποίο συνδέει την παραγωγή αποβλήτων με τη χρέωσή </w:t>
            </w:r>
            <w:r w:rsidR="00380448" w:rsidRPr="00903F89">
              <w:rPr>
                <w:rFonts w:cs="Arial"/>
                <w:sz w:val="20"/>
                <w:szCs w:val="20"/>
              </w:rPr>
              <w:t>τους.</w:t>
            </w:r>
          </w:p>
        </w:tc>
      </w:tr>
    </w:tbl>
    <w:p w14:paraId="630A0206" w14:textId="77777777" w:rsidR="00B1212B" w:rsidRDefault="00B1212B">
      <w:r>
        <w:br w:type="page"/>
      </w:r>
    </w:p>
    <w:tbl>
      <w:tblPr>
        <w:tblStyle w:val="TableGrid"/>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925"/>
        <w:gridCol w:w="3207"/>
        <w:gridCol w:w="2921"/>
        <w:gridCol w:w="615"/>
      </w:tblGrid>
      <w:tr w:rsidR="007422AB" w:rsidRPr="00903F89" w14:paraId="31C5B883" w14:textId="77777777" w:rsidTr="00B1212B">
        <w:tc>
          <w:tcPr>
            <w:tcW w:w="10538" w:type="dxa"/>
            <w:gridSpan w:val="5"/>
            <w:shd w:val="clear" w:color="auto" w:fill="auto"/>
          </w:tcPr>
          <w:p w14:paraId="02F2A58D" w14:textId="1ED4D654"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216 – Ενοίκια – €847.000</w:t>
            </w:r>
          </w:p>
        </w:tc>
      </w:tr>
      <w:tr w:rsidR="007422AB" w:rsidRPr="00903F89" w14:paraId="18557664" w14:textId="77777777" w:rsidTr="00B1212B">
        <w:tc>
          <w:tcPr>
            <w:tcW w:w="3795" w:type="dxa"/>
            <w:gridSpan w:val="2"/>
          </w:tcPr>
          <w:p w14:paraId="45E06D23" w14:textId="77777777" w:rsidR="003C2DD3" w:rsidRPr="00903F89" w:rsidRDefault="003C2DD3" w:rsidP="00903F89">
            <w:pPr>
              <w:jc w:val="both"/>
              <w:rPr>
                <w:rFonts w:cs="Arial"/>
                <w:b/>
                <w:sz w:val="20"/>
                <w:szCs w:val="20"/>
                <w:u w:val="single"/>
              </w:rPr>
            </w:pPr>
          </w:p>
        </w:tc>
        <w:tc>
          <w:tcPr>
            <w:tcW w:w="6128" w:type="dxa"/>
            <w:gridSpan w:val="2"/>
          </w:tcPr>
          <w:p w14:paraId="4DC7BBD2" w14:textId="77777777" w:rsidR="003C2DD3" w:rsidRPr="00903F89" w:rsidRDefault="003C2DD3" w:rsidP="00903F89">
            <w:pPr>
              <w:jc w:val="both"/>
              <w:rPr>
                <w:rFonts w:cs="Arial"/>
                <w:b/>
                <w:sz w:val="20"/>
                <w:szCs w:val="20"/>
                <w:u w:val="single"/>
              </w:rPr>
            </w:pPr>
          </w:p>
        </w:tc>
        <w:tc>
          <w:tcPr>
            <w:tcW w:w="615" w:type="dxa"/>
          </w:tcPr>
          <w:p w14:paraId="027D348B" w14:textId="77777777" w:rsidR="003C2DD3" w:rsidRPr="00903F89" w:rsidRDefault="003C2DD3" w:rsidP="00903F89">
            <w:pPr>
              <w:jc w:val="both"/>
              <w:rPr>
                <w:rFonts w:cs="Arial"/>
                <w:b/>
                <w:sz w:val="20"/>
                <w:szCs w:val="20"/>
                <w:u w:val="single"/>
              </w:rPr>
            </w:pPr>
          </w:p>
        </w:tc>
      </w:tr>
      <w:tr w:rsidR="007422AB" w:rsidRPr="00903F89" w14:paraId="23E4CC54" w14:textId="77777777" w:rsidTr="00B1212B">
        <w:tc>
          <w:tcPr>
            <w:tcW w:w="10538" w:type="dxa"/>
            <w:gridSpan w:val="5"/>
          </w:tcPr>
          <w:p w14:paraId="208EDDEF" w14:textId="1A08DDF8" w:rsidR="003C2DD3" w:rsidRPr="00903F89" w:rsidRDefault="003C2DD3" w:rsidP="00903F89">
            <w:pPr>
              <w:jc w:val="both"/>
              <w:rPr>
                <w:rFonts w:eastAsia="Arial" w:cs="Arial"/>
                <w:b/>
                <w:bCs/>
                <w:sz w:val="20"/>
                <w:szCs w:val="20"/>
                <w:u w:val="single"/>
              </w:rPr>
            </w:pPr>
            <w:r w:rsidRPr="00903F89">
              <w:rPr>
                <w:rFonts w:cs="Arial"/>
                <w:sz w:val="20"/>
                <w:szCs w:val="20"/>
              </w:rPr>
              <w:t xml:space="preserve">Η πρόνοια προορίζεται να καλύψει την ενοικίαση κτηρίων ή άλλων χώρων για την προσωρινή στέγαση διαφόρων λειτουργιών του Πανεπιστημίου, συμπεριλαμβανομένων της στέγασης μελών ακαδημαϊκού και διοικητικού προσωπικού, της φιλοξενίας φοιτητών και Επισκεπτών Καθηγητών, όπως επίσης και για άλλους λειτουργικούς σκοπούς που απαιτούνται για την εύρυθμη λειτουργία του οργανισμού. </w:t>
            </w:r>
          </w:p>
        </w:tc>
      </w:tr>
      <w:tr w:rsidR="007422AB" w:rsidRPr="00903F89" w14:paraId="4D11EAB8" w14:textId="77777777" w:rsidTr="00B1212B">
        <w:trPr>
          <w:trHeight w:val="80"/>
        </w:trPr>
        <w:tc>
          <w:tcPr>
            <w:tcW w:w="10538" w:type="dxa"/>
            <w:gridSpan w:val="5"/>
          </w:tcPr>
          <w:p w14:paraId="1C3C36E0" w14:textId="41CDA4FB" w:rsidR="003C2DD3" w:rsidRPr="00903F89" w:rsidRDefault="003C2DD3" w:rsidP="00903F89">
            <w:pPr>
              <w:tabs>
                <w:tab w:val="left" w:pos="3195"/>
              </w:tabs>
              <w:jc w:val="both"/>
              <w:rPr>
                <w:rFonts w:cs="Arial"/>
                <w:sz w:val="20"/>
                <w:szCs w:val="20"/>
              </w:rPr>
            </w:pPr>
            <w:r w:rsidRPr="00903F89">
              <w:rPr>
                <w:rFonts w:cs="Arial"/>
                <w:sz w:val="20"/>
                <w:szCs w:val="20"/>
              </w:rPr>
              <w:tab/>
            </w:r>
          </w:p>
        </w:tc>
      </w:tr>
      <w:tr w:rsidR="007422AB" w:rsidRPr="00903F89" w14:paraId="7DCBD8C4" w14:textId="77777777" w:rsidTr="00B1212B">
        <w:tc>
          <w:tcPr>
            <w:tcW w:w="10538" w:type="dxa"/>
            <w:gridSpan w:val="5"/>
            <w:shd w:val="clear" w:color="auto" w:fill="auto"/>
          </w:tcPr>
          <w:p w14:paraId="7BC63428" w14:textId="2AC1D9A6" w:rsidR="003C2DD3" w:rsidRPr="00903F89" w:rsidRDefault="003C2DD3" w:rsidP="00903F89">
            <w:pPr>
              <w:jc w:val="both"/>
              <w:rPr>
                <w:rFonts w:eastAsia="Arial" w:cs="Arial"/>
                <w:sz w:val="20"/>
                <w:szCs w:val="20"/>
                <w:u w:val="single"/>
              </w:rPr>
            </w:pPr>
            <w:r w:rsidRPr="00903F89">
              <w:rPr>
                <w:rFonts w:cs="Arial"/>
                <w:sz w:val="20"/>
                <w:szCs w:val="20"/>
              </w:rPr>
              <w:t>Το Πανεπιστήμιο Κύπρου καταβάλλει ιδιαίτερη προσπάθεια για μείωση του αριθμού και μεγέθους των ενοικιαζόμενων κτηρίων αλλά και των ενοικίων που προκύπτουν επί των υφιστάμενων συμβάσεων κατόπιν διαβουλεύσεων με τους ιδιοκτήτες</w:t>
            </w:r>
            <w:r w:rsidRPr="00903F89">
              <w:rPr>
                <w:rFonts w:eastAsia="Arial" w:cs="Arial"/>
                <w:sz w:val="20"/>
                <w:szCs w:val="20"/>
              </w:rPr>
              <w:t>.</w:t>
            </w:r>
          </w:p>
        </w:tc>
      </w:tr>
      <w:tr w:rsidR="00B1212B" w:rsidRPr="00903F89" w14:paraId="104C215A" w14:textId="77777777" w:rsidTr="00B1212B">
        <w:tc>
          <w:tcPr>
            <w:tcW w:w="10538" w:type="dxa"/>
            <w:gridSpan w:val="5"/>
            <w:shd w:val="clear" w:color="auto" w:fill="auto"/>
          </w:tcPr>
          <w:p w14:paraId="32340261" w14:textId="77777777" w:rsidR="00B1212B" w:rsidRPr="00903F89" w:rsidRDefault="00B1212B" w:rsidP="00903F89">
            <w:pPr>
              <w:jc w:val="both"/>
              <w:rPr>
                <w:rFonts w:cs="Arial"/>
                <w:sz w:val="20"/>
                <w:szCs w:val="20"/>
              </w:rPr>
            </w:pPr>
          </w:p>
        </w:tc>
      </w:tr>
      <w:tr w:rsidR="007422AB" w:rsidRPr="00903F89" w14:paraId="7BE942D5" w14:textId="77777777" w:rsidTr="00686014">
        <w:tc>
          <w:tcPr>
            <w:tcW w:w="10538" w:type="dxa"/>
            <w:gridSpan w:val="5"/>
          </w:tcPr>
          <w:p w14:paraId="5F2725FD" w14:textId="5785707A"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217 – Εκδόσεις, Δημοσιεύσεις, Δημοσιότητα και Διαφημίσεις – €345.500</w:t>
            </w:r>
          </w:p>
        </w:tc>
      </w:tr>
      <w:tr w:rsidR="007422AB" w:rsidRPr="00903F89" w14:paraId="4BA84483" w14:textId="77777777" w:rsidTr="00686014">
        <w:tc>
          <w:tcPr>
            <w:tcW w:w="3795" w:type="dxa"/>
            <w:gridSpan w:val="2"/>
          </w:tcPr>
          <w:p w14:paraId="509C9C9A" w14:textId="224DD4F0" w:rsidR="003C2DD3" w:rsidRPr="00903F89" w:rsidRDefault="003C2DD3" w:rsidP="00903F89">
            <w:pPr>
              <w:jc w:val="both"/>
              <w:rPr>
                <w:rFonts w:cs="Arial"/>
                <w:b/>
                <w:sz w:val="20"/>
                <w:szCs w:val="20"/>
                <w:u w:val="single"/>
              </w:rPr>
            </w:pPr>
          </w:p>
        </w:tc>
        <w:tc>
          <w:tcPr>
            <w:tcW w:w="6128" w:type="dxa"/>
            <w:gridSpan w:val="2"/>
          </w:tcPr>
          <w:p w14:paraId="23308D93" w14:textId="77777777" w:rsidR="003C2DD3" w:rsidRPr="00903F89" w:rsidRDefault="003C2DD3" w:rsidP="00903F89">
            <w:pPr>
              <w:jc w:val="both"/>
              <w:rPr>
                <w:rFonts w:cs="Arial"/>
                <w:sz w:val="20"/>
                <w:szCs w:val="20"/>
              </w:rPr>
            </w:pPr>
          </w:p>
        </w:tc>
        <w:tc>
          <w:tcPr>
            <w:tcW w:w="615" w:type="dxa"/>
          </w:tcPr>
          <w:p w14:paraId="18B3FAC6" w14:textId="77777777" w:rsidR="003C2DD3" w:rsidRPr="00903F89" w:rsidRDefault="003C2DD3" w:rsidP="00903F89">
            <w:pPr>
              <w:jc w:val="both"/>
              <w:rPr>
                <w:rFonts w:cs="Arial"/>
                <w:b/>
                <w:sz w:val="20"/>
                <w:szCs w:val="20"/>
                <w:u w:val="single"/>
              </w:rPr>
            </w:pPr>
          </w:p>
        </w:tc>
      </w:tr>
      <w:tr w:rsidR="007422AB" w:rsidRPr="00903F89" w14:paraId="16989255" w14:textId="77777777" w:rsidTr="00686014">
        <w:tc>
          <w:tcPr>
            <w:tcW w:w="10538" w:type="dxa"/>
            <w:gridSpan w:val="5"/>
          </w:tcPr>
          <w:p w14:paraId="5C17C2C9" w14:textId="04943334" w:rsidR="003C2DD3" w:rsidRPr="00903F89" w:rsidRDefault="003C2DD3" w:rsidP="00903F89">
            <w:pPr>
              <w:jc w:val="both"/>
              <w:rPr>
                <w:rFonts w:eastAsia="Arial" w:cs="Arial"/>
                <w:b/>
                <w:bCs/>
                <w:sz w:val="20"/>
                <w:szCs w:val="20"/>
                <w:u w:val="single"/>
              </w:rPr>
            </w:pPr>
            <w:r w:rsidRPr="00903F89">
              <w:rPr>
                <w:rFonts w:cs="Arial"/>
                <w:sz w:val="20"/>
                <w:szCs w:val="20"/>
                <w:lang w:val="en-GB"/>
              </w:rPr>
              <w:t>H</w:t>
            </w:r>
            <w:r w:rsidRPr="00903F89">
              <w:rPr>
                <w:rFonts w:cs="Arial"/>
                <w:sz w:val="20"/>
                <w:szCs w:val="20"/>
              </w:rPr>
              <w:t xml:space="preserve"> πρόνοια προορίζεται να καλύψει δαπάνες που αφορούν τα πιο κάτω:</w:t>
            </w:r>
          </w:p>
        </w:tc>
      </w:tr>
      <w:tr w:rsidR="007422AB" w:rsidRPr="00903F89" w14:paraId="163C0887" w14:textId="77777777" w:rsidTr="00686014">
        <w:tc>
          <w:tcPr>
            <w:tcW w:w="3795" w:type="dxa"/>
            <w:gridSpan w:val="2"/>
          </w:tcPr>
          <w:p w14:paraId="3264CF28" w14:textId="77777777" w:rsidR="003C2DD3" w:rsidRPr="00903F89" w:rsidRDefault="003C2DD3" w:rsidP="00903F89">
            <w:pPr>
              <w:jc w:val="both"/>
              <w:rPr>
                <w:rFonts w:cs="Arial"/>
                <w:b/>
                <w:sz w:val="20"/>
                <w:szCs w:val="20"/>
                <w:u w:val="single"/>
              </w:rPr>
            </w:pPr>
          </w:p>
        </w:tc>
        <w:tc>
          <w:tcPr>
            <w:tcW w:w="6743" w:type="dxa"/>
            <w:gridSpan w:val="3"/>
          </w:tcPr>
          <w:p w14:paraId="2BAC90CE" w14:textId="4B9637A9" w:rsidR="003C2DD3" w:rsidRPr="00903F89" w:rsidRDefault="003C2DD3" w:rsidP="00903F89">
            <w:pPr>
              <w:jc w:val="both"/>
              <w:rPr>
                <w:rFonts w:cs="Arial"/>
                <w:b/>
                <w:i/>
                <w:sz w:val="20"/>
                <w:szCs w:val="20"/>
                <w:u w:val="single"/>
              </w:rPr>
            </w:pPr>
          </w:p>
        </w:tc>
      </w:tr>
      <w:tr w:rsidR="00903F89" w:rsidRPr="00903F89" w14:paraId="1307966D" w14:textId="77777777" w:rsidTr="00686014">
        <w:tc>
          <w:tcPr>
            <w:tcW w:w="10538" w:type="dxa"/>
            <w:gridSpan w:val="5"/>
            <w:shd w:val="clear" w:color="auto" w:fill="auto"/>
          </w:tcPr>
          <w:p w14:paraId="3F07384C" w14:textId="54C52833" w:rsidR="003C2DD3" w:rsidRPr="00903F89" w:rsidRDefault="003C2DD3" w:rsidP="00903F89">
            <w:pPr>
              <w:pStyle w:val="ListParagraph"/>
              <w:numPr>
                <w:ilvl w:val="0"/>
                <w:numId w:val="34"/>
              </w:numPr>
              <w:jc w:val="both"/>
              <w:rPr>
                <w:rFonts w:cs="Arial"/>
                <w:sz w:val="20"/>
                <w:szCs w:val="20"/>
              </w:rPr>
            </w:pPr>
            <w:r w:rsidRPr="00903F89">
              <w:rPr>
                <w:rFonts w:cs="Arial"/>
                <w:sz w:val="20"/>
                <w:szCs w:val="20"/>
              </w:rPr>
              <w:t xml:space="preserve">Παραγωγή εκδόσεων/εντύπων: (α) Ημερολόγιο 2022-2023, (β) Ψηφίσματα σε «Περγαμηνή», (γ) Οδηγός Ενημέρωσης Υποψηφίων 2022-2023 (δ) Κατάλογος Αποφοίτων Φεβρουάριος και Ιούνιος 2022, (ε) UCY  International Student </w:t>
            </w:r>
            <w:proofErr w:type="spellStart"/>
            <w:r w:rsidRPr="00903F89">
              <w:rPr>
                <w:rFonts w:cs="Arial"/>
                <w:sz w:val="20"/>
                <w:szCs w:val="20"/>
              </w:rPr>
              <w:t>Guide</w:t>
            </w:r>
            <w:proofErr w:type="spellEnd"/>
            <w:r w:rsidRPr="00903F89">
              <w:rPr>
                <w:rFonts w:cs="Arial"/>
                <w:sz w:val="20"/>
                <w:szCs w:val="20"/>
              </w:rPr>
              <w:t xml:space="preserve"> 2022-2023, (</w:t>
            </w:r>
            <w:proofErr w:type="spellStart"/>
            <w:r w:rsidRPr="00903F89">
              <w:rPr>
                <w:rFonts w:cs="Arial"/>
                <w:sz w:val="20"/>
                <w:szCs w:val="20"/>
              </w:rPr>
              <w:t>στ</w:t>
            </w:r>
            <w:proofErr w:type="spellEnd"/>
            <w:r w:rsidRPr="00903F89">
              <w:rPr>
                <w:rFonts w:cs="Arial"/>
                <w:sz w:val="20"/>
                <w:szCs w:val="20"/>
              </w:rPr>
              <w:t>) Έκδοση για προώθηση Σχολών ΠΚ.</w:t>
            </w:r>
          </w:p>
        </w:tc>
      </w:tr>
      <w:tr w:rsidR="007422AB" w:rsidRPr="00903F89" w14:paraId="60EBC087" w14:textId="77777777" w:rsidTr="00686014">
        <w:trPr>
          <w:trHeight w:val="108"/>
        </w:trPr>
        <w:tc>
          <w:tcPr>
            <w:tcW w:w="3795" w:type="dxa"/>
            <w:gridSpan w:val="2"/>
            <w:shd w:val="clear" w:color="auto" w:fill="auto"/>
          </w:tcPr>
          <w:p w14:paraId="0CEC3898" w14:textId="77777777" w:rsidR="003C2DD3" w:rsidRPr="00903F89" w:rsidRDefault="003C2DD3" w:rsidP="00903F89">
            <w:pPr>
              <w:jc w:val="both"/>
              <w:rPr>
                <w:rFonts w:cs="Arial"/>
                <w:sz w:val="20"/>
                <w:szCs w:val="20"/>
                <w:u w:val="single"/>
              </w:rPr>
            </w:pPr>
          </w:p>
        </w:tc>
        <w:tc>
          <w:tcPr>
            <w:tcW w:w="6743" w:type="dxa"/>
            <w:gridSpan w:val="3"/>
            <w:shd w:val="clear" w:color="auto" w:fill="auto"/>
          </w:tcPr>
          <w:p w14:paraId="0F6997A8" w14:textId="415B06E9" w:rsidR="003C2DD3" w:rsidRPr="00903F89" w:rsidRDefault="003C2DD3" w:rsidP="00903F89">
            <w:pPr>
              <w:jc w:val="both"/>
              <w:rPr>
                <w:rFonts w:cs="Arial"/>
                <w:i/>
                <w:sz w:val="20"/>
                <w:szCs w:val="20"/>
                <w:u w:val="single"/>
              </w:rPr>
            </w:pPr>
          </w:p>
        </w:tc>
      </w:tr>
      <w:tr w:rsidR="007422AB" w:rsidRPr="00903F89" w14:paraId="35F367E6" w14:textId="77777777" w:rsidTr="00686014">
        <w:tc>
          <w:tcPr>
            <w:tcW w:w="10538" w:type="dxa"/>
            <w:gridSpan w:val="5"/>
            <w:shd w:val="clear" w:color="auto" w:fill="auto"/>
          </w:tcPr>
          <w:p w14:paraId="25B543B6" w14:textId="60CE59DD" w:rsidR="003C2DD3" w:rsidRPr="00903F89" w:rsidRDefault="003C2DD3" w:rsidP="00903F89">
            <w:pPr>
              <w:pStyle w:val="ListParagraph"/>
              <w:numPr>
                <w:ilvl w:val="0"/>
                <w:numId w:val="18"/>
              </w:numPr>
              <w:jc w:val="both"/>
              <w:rPr>
                <w:rFonts w:eastAsia="Arial" w:cs="Arial"/>
                <w:sz w:val="20"/>
                <w:szCs w:val="20"/>
                <w:u w:val="single"/>
              </w:rPr>
            </w:pPr>
            <w:r w:rsidRPr="00903F89">
              <w:rPr>
                <w:rFonts w:cs="Arial"/>
                <w:sz w:val="20"/>
                <w:szCs w:val="20"/>
              </w:rPr>
              <w:t>Παραγωγή ηλεκτρονικών εκδόσεων (περιλαμβανομένων του περιοδικού «</w:t>
            </w:r>
            <w:proofErr w:type="spellStart"/>
            <w:r w:rsidRPr="00903F89">
              <w:rPr>
                <w:rFonts w:cs="Arial"/>
                <w:sz w:val="20"/>
                <w:szCs w:val="20"/>
              </w:rPr>
              <w:t>Ενδείκτης</w:t>
            </w:r>
            <w:proofErr w:type="spellEnd"/>
            <w:r w:rsidRPr="00903F89">
              <w:rPr>
                <w:rFonts w:cs="Arial"/>
                <w:sz w:val="20"/>
                <w:szCs w:val="20"/>
              </w:rPr>
              <w:t>», της έκδοσης «Απόφοιτος» και της ιστοσελίδας του Πανεπιστημίου) και οπτικοακουστικού υλικού για προβολή του Πανεπιστημίου.</w:t>
            </w:r>
          </w:p>
        </w:tc>
      </w:tr>
      <w:tr w:rsidR="007422AB" w:rsidRPr="00903F89" w14:paraId="3C5C570C" w14:textId="77777777" w:rsidTr="00686014">
        <w:tc>
          <w:tcPr>
            <w:tcW w:w="3795" w:type="dxa"/>
            <w:gridSpan w:val="2"/>
          </w:tcPr>
          <w:p w14:paraId="4A54E6B6" w14:textId="77777777" w:rsidR="003C2DD3" w:rsidRPr="00903F89" w:rsidRDefault="003C2DD3" w:rsidP="00903F89">
            <w:pPr>
              <w:jc w:val="both"/>
              <w:rPr>
                <w:rFonts w:cs="Arial"/>
                <w:b/>
                <w:sz w:val="20"/>
                <w:szCs w:val="20"/>
                <w:u w:val="single"/>
              </w:rPr>
            </w:pPr>
          </w:p>
        </w:tc>
        <w:tc>
          <w:tcPr>
            <w:tcW w:w="6128" w:type="dxa"/>
            <w:gridSpan w:val="2"/>
          </w:tcPr>
          <w:p w14:paraId="3623A5DD" w14:textId="77777777" w:rsidR="003C2DD3" w:rsidRPr="00903F89" w:rsidRDefault="003C2DD3" w:rsidP="00903F89">
            <w:pPr>
              <w:pStyle w:val="ListParagraph"/>
              <w:jc w:val="both"/>
              <w:rPr>
                <w:rFonts w:cs="Arial"/>
                <w:sz w:val="20"/>
                <w:szCs w:val="20"/>
              </w:rPr>
            </w:pPr>
          </w:p>
        </w:tc>
        <w:tc>
          <w:tcPr>
            <w:tcW w:w="615" w:type="dxa"/>
          </w:tcPr>
          <w:p w14:paraId="109EEFA5" w14:textId="77777777" w:rsidR="003C2DD3" w:rsidRPr="00903F89" w:rsidRDefault="003C2DD3" w:rsidP="00903F89">
            <w:pPr>
              <w:jc w:val="both"/>
              <w:rPr>
                <w:rFonts w:cs="Arial"/>
                <w:b/>
                <w:sz w:val="20"/>
                <w:szCs w:val="20"/>
                <w:u w:val="single"/>
              </w:rPr>
            </w:pPr>
          </w:p>
        </w:tc>
      </w:tr>
      <w:tr w:rsidR="007422AB" w:rsidRPr="00903F89" w14:paraId="2A6079F6" w14:textId="77777777" w:rsidTr="00686014">
        <w:tc>
          <w:tcPr>
            <w:tcW w:w="10538" w:type="dxa"/>
            <w:gridSpan w:val="5"/>
          </w:tcPr>
          <w:p w14:paraId="733DF157" w14:textId="102AC0D5" w:rsidR="003C2DD3" w:rsidRPr="00903F89" w:rsidRDefault="003C2DD3" w:rsidP="00903F89">
            <w:pPr>
              <w:pStyle w:val="ListParagraph"/>
              <w:numPr>
                <w:ilvl w:val="0"/>
                <w:numId w:val="18"/>
              </w:numPr>
              <w:jc w:val="both"/>
              <w:rPr>
                <w:rFonts w:eastAsia="Arial" w:cs="Arial"/>
                <w:b/>
                <w:bCs/>
                <w:sz w:val="20"/>
                <w:szCs w:val="20"/>
                <w:u w:val="single"/>
              </w:rPr>
            </w:pPr>
            <w:r w:rsidRPr="00903F89">
              <w:rPr>
                <w:rFonts w:cs="Arial"/>
                <w:sz w:val="20"/>
                <w:szCs w:val="20"/>
              </w:rPr>
              <w:t>Παραγωγή έντυπων και ηλεκτρονικών εκδόσεων που εμπίπτουν στο πλαίσιο της προσπάθειας ενημέρωσης του κοινού, των φοιτητών, των υποψηφίων φοιτητών και των ακαδημαϊκών, καθώς και της προβολής του Πανεπιστημίου Κύπρου στο εξωτερικό και της προσέλκυσης φοιτητών από το διεθνή χώρο.</w:t>
            </w:r>
          </w:p>
        </w:tc>
      </w:tr>
      <w:tr w:rsidR="007422AB" w:rsidRPr="00903F89" w14:paraId="447CDE4D" w14:textId="77777777" w:rsidTr="00686014">
        <w:tc>
          <w:tcPr>
            <w:tcW w:w="3795" w:type="dxa"/>
            <w:gridSpan w:val="2"/>
          </w:tcPr>
          <w:p w14:paraId="4DF17209" w14:textId="77777777" w:rsidR="003C2DD3" w:rsidRPr="00903F89" w:rsidRDefault="003C2DD3" w:rsidP="00903F89">
            <w:pPr>
              <w:jc w:val="both"/>
              <w:rPr>
                <w:rFonts w:cs="Arial"/>
                <w:b/>
                <w:sz w:val="20"/>
                <w:szCs w:val="20"/>
                <w:u w:val="single"/>
              </w:rPr>
            </w:pPr>
          </w:p>
        </w:tc>
        <w:tc>
          <w:tcPr>
            <w:tcW w:w="6128" w:type="dxa"/>
            <w:gridSpan w:val="2"/>
          </w:tcPr>
          <w:p w14:paraId="42B0A666" w14:textId="77777777" w:rsidR="003C2DD3" w:rsidRPr="00903F89" w:rsidRDefault="003C2DD3" w:rsidP="00903F89">
            <w:pPr>
              <w:pStyle w:val="ListParagraph"/>
              <w:jc w:val="both"/>
              <w:rPr>
                <w:rFonts w:cs="Arial"/>
                <w:sz w:val="20"/>
                <w:szCs w:val="20"/>
              </w:rPr>
            </w:pPr>
          </w:p>
        </w:tc>
        <w:tc>
          <w:tcPr>
            <w:tcW w:w="615" w:type="dxa"/>
          </w:tcPr>
          <w:p w14:paraId="0DEC7CD0" w14:textId="77777777" w:rsidR="003C2DD3" w:rsidRPr="00903F89" w:rsidRDefault="003C2DD3" w:rsidP="00903F89">
            <w:pPr>
              <w:jc w:val="both"/>
              <w:rPr>
                <w:rFonts w:cs="Arial"/>
                <w:b/>
                <w:sz w:val="20"/>
                <w:szCs w:val="20"/>
                <w:u w:val="single"/>
              </w:rPr>
            </w:pPr>
          </w:p>
        </w:tc>
      </w:tr>
      <w:tr w:rsidR="007422AB" w:rsidRPr="00903F89" w14:paraId="4B4EB64C" w14:textId="77777777" w:rsidTr="00686014">
        <w:tc>
          <w:tcPr>
            <w:tcW w:w="10538" w:type="dxa"/>
            <w:gridSpan w:val="5"/>
          </w:tcPr>
          <w:p w14:paraId="336881F7" w14:textId="1C0DBEE3" w:rsidR="003C2DD3" w:rsidRPr="00903F89" w:rsidRDefault="003C2DD3" w:rsidP="00903F89">
            <w:pPr>
              <w:pStyle w:val="ListParagraph"/>
              <w:numPr>
                <w:ilvl w:val="0"/>
                <w:numId w:val="18"/>
              </w:numPr>
              <w:jc w:val="both"/>
              <w:rPr>
                <w:rFonts w:eastAsia="Arial" w:cs="Arial"/>
                <w:b/>
                <w:bCs/>
                <w:sz w:val="20"/>
                <w:szCs w:val="20"/>
                <w:u w:val="single"/>
              </w:rPr>
            </w:pPr>
            <w:r w:rsidRPr="00903F89">
              <w:rPr>
                <w:rFonts w:cs="Arial"/>
                <w:sz w:val="20"/>
                <w:szCs w:val="20"/>
              </w:rPr>
              <w:t>Εκδόσεις πανεπιστημιακών βιβλίων, καθώς επίσης και εκδόσεις επιστημονικών περιοδικών στα οποία αναλαμβάνουν ως επικεφαλής εκδότες μέλη του ακαδημαϊκού προσωπικού του Πανεπιστημίου.</w:t>
            </w:r>
          </w:p>
        </w:tc>
      </w:tr>
      <w:tr w:rsidR="007422AB" w:rsidRPr="00903F89" w14:paraId="477B08C4" w14:textId="77777777" w:rsidTr="00686014">
        <w:tc>
          <w:tcPr>
            <w:tcW w:w="3795" w:type="dxa"/>
            <w:gridSpan w:val="2"/>
          </w:tcPr>
          <w:p w14:paraId="1A1B69DD" w14:textId="77777777" w:rsidR="003C2DD3" w:rsidRPr="00903F89" w:rsidRDefault="003C2DD3" w:rsidP="00903F89">
            <w:pPr>
              <w:jc w:val="both"/>
              <w:rPr>
                <w:rFonts w:cs="Arial"/>
                <w:b/>
                <w:sz w:val="20"/>
                <w:szCs w:val="20"/>
                <w:u w:val="single"/>
              </w:rPr>
            </w:pPr>
          </w:p>
        </w:tc>
        <w:tc>
          <w:tcPr>
            <w:tcW w:w="6128" w:type="dxa"/>
            <w:gridSpan w:val="2"/>
          </w:tcPr>
          <w:p w14:paraId="28B90081" w14:textId="77777777" w:rsidR="003C2DD3" w:rsidRPr="00903F89" w:rsidRDefault="003C2DD3" w:rsidP="00903F89">
            <w:pPr>
              <w:pStyle w:val="ListParagraph"/>
              <w:jc w:val="both"/>
              <w:rPr>
                <w:rFonts w:cs="Arial"/>
                <w:sz w:val="20"/>
                <w:szCs w:val="20"/>
              </w:rPr>
            </w:pPr>
          </w:p>
        </w:tc>
        <w:tc>
          <w:tcPr>
            <w:tcW w:w="615" w:type="dxa"/>
          </w:tcPr>
          <w:p w14:paraId="5C5517B3" w14:textId="77777777" w:rsidR="003C2DD3" w:rsidRPr="00903F89" w:rsidRDefault="003C2DD3" w:rsidP="00903F89">
            <w:pPr>
              <w:jc w:val="both"/>
              <w:rPr>
                <w:rFonts w:cs="Arial"/>
                <w:b/>
                <w:sz w:val="20"/>
                <w:szCs w:val="20"/>
                <w:u w:val="single"/>
              </w:rPr>
            </w:pPr>
          </w:p>
        </w:tc>
      </w:tr>
      <w:tr w:rsidR="007422AB" w:rsidRPr="00903F89" w14:paraId="30316FC5" w14:textId="77777777" w:rsidTr="00686014">
        <w:trPr>
          <w:trHeight w:val="525"/>
        </w:trPr>
        <w:tc>
          <w:tcPr>
            <w:tcW w:w="10538" w:type="dxa"/>
            <w:gridSpan w:val="5"/>
            <w:shd w:val="clear" w:color="auto" w:fill="auto"/>
          </w:tcPr>
          <w:p w14:paraId="608A2EC7" w14:textId="1E2B93EB" w:rsidR="003C2DD3" w:rsidRPr="00903F89" w:rsidRDefault="003C2DD3" w:rsidP="00903F89">
            <w:pPr>
              <w:pStyle w:val="ListParagraph"/>
              <w:numPr>
                <w:ilvl w:val="0"/>
                <w:numId w:val="18"/>
              </w:numPr>
              <w:jc w:val="both"/>
              <w:rPr>
                <w:rFonts w:eastAsia="Arial" w:cs="Arial"/>
                <w:sz w:val="20"/>
                <w:szCs w:val="20"/>
              </w:rPr>
            </w:pPr>
            <w:r w:rsidRPr="00903F89">
              <w:rPr>
                <w:rFonts w:cs="Arial"/>
                <w:sz w:val="20"/>
                <w:szCs w:val="20"/>
              </w:rPr>
              <w:t>Δημοσιεύσεις, διαφημίσεις, ανακοινώσεις στον εγχώριο τύπο και τον τύπο του εξωτερικού, όπως και σε διεθνή έντυπα και ιστοσελίδες. (Το Πανεπιστήμιο Κύπρου καλύπτει κεντρικά (Άρθρο 217), το κόστος της προκήρυξης θέσεων ακαδημαϊκού προσωπικού σε διεθνή περιοδικά, μέχρι €800 (ανά θέση) (</w:t>
            </w:r>
            <w:r w:rsidR="00524745" w:rsidRPr="00903F89">
              <w:rPr>
                <w:rFonts w:cs="Arial"/>
                <w:sz w:val="20"/>
                <w:szCs w:val="20"/>
              </w:rPr>
              <w:t>Αποφάσεις</w:t>
            </w:r>
            <w:r w:rsidRPr="00903F89">
              <w:rPr>
                <w:rFonts w:cs="Arial"/>
                <w:sz w:val="20"/>
                <w:szCs w:val="20"/>
              </w:rPr>
              <w:t xml:space="preserve"> Συγκλήτου</w:t>
            </w:r>
            <w:r w:rsidR="00D737E6" w:rsidRPr="00903F89">
              <w:rPr>
                <w:rFonts w:cs="Arial"/>
                <w:sz w:val="20"/>
                <w:szCs w:val="20"/>
              </w:rPr>
              <w:t>, Συνεδρί</w:t>
            </w:r>
            <w:r w:rsidR="00524745" w:rsidRPr="00903F89">
              <w:rPr>
                <w:rFonts w:cs="Arial"/>
                <w:sz w:val="20"/>
                <w:szCs w:val="20"/>
              </w:rPr>
              <w:t>ες</w:t>
            </w:r>
            <w:r w:rsidRPr="00903F89">
              <w:rPr>
                <w:rFonts w:cs="Arial"/>
                <w:sz w:val="20"/>
                <w:szCs w:val="20"/>
              </w:rPr>
              <w:t xml:space="preserve"> Αρ. 03/2015</w:t>
            </w:r>
            <w:r w:rsidR="00380448" w:rsidRPr="00903F89">
              <w:rPr>
                <w:rFonts w:cs="Arial"/>
                <w:sz w:val="20"/>
                <w:szCs w:val="20"/>
              </w:rPr>
              <w:t>, ημερ. 04/02/2015, Αρ. 21/2016, ημερ. 21/09/2016, Αρ. 23/2016, ημερ. 05/09/2016 και Αρ. 29/2018, ημερ. 04/12/2018</w:t>
            </w:r>
            <w:r w:rsidRPr="00903F89">
              <w:rPr>
                <w:rFonts w:cs="Arial"/>
                <w:sz w:val="20"/>
                <w:szCs w:val="20"/>
              </w:rPr>
              <w:t>).</w:t>
            </w:r>
          </w:p>
        </w:tc>
      </w:tr>
      <w:tr w:rsidR="007422AB" w:rsidRPr="00903F89" w14:paraId="7ACD3DAA" w14:textId="77777777" w:rsidTr="00686014">
        <w:tc>
          <w:tcPr>
            <w:tcW w:w="3795" w:type="dxa"/>
            <w:gridSpan w:val="2"/>
          </w:tcPr>
          <w:p w14:paraId="016C0D79" w14:textId="768AC8EC" w:rsidR="003C2DD3" w:rsidRPr="00903F89" w:rsidRDefault="003C2DD3" w:rsidP="00903F89">
            <w:pPr>
              <w:jc w:val="both"/>
              <w:rPr>
                <w:rFonts w:cs="Arial"/>
                <w:b/>
                <w:sz w:val="20"/>
                <w:szCs w:val="20"/>
                <w:u w:val="single"/>
              </w:rPr>
            </w:pPr>
          </w:p>
        </w:tc>
        <w:tc>
          <w:tcPr>
            <w:tcW w:w="6128" w:type="dxa"/>
            <w:gridSpan w:val="2"/>
          </w:tcPr>
          <w:p w14:paraId="294D9AE0" w14:textId="77777777" w:rsidR="003C2DD3" w:rsidRPr="00903F89" w:rsidRDefault="003C2DD3" w:rsidP="00903F89">
            <w:pPr>
              <w:ind w:left="284"/>
              <w:jc w:val="both"/>
              <w:rPr>
                <w:rFonts w:cs="Arial"/>
                <w:sz w:val="20"/>
                <w:szCs w:val="20"/>
              </w:rPr>
            </w:pPr>
          </w:p>
        </w:tc>
        <w:tc>
          <w:tcPr>
            <w:tcW w:w="615" w:type="dxa"/>
          </w:tcPr>
          <w:p w14:paraId="213B4B87" w14:textId="77777777" w:rsidR="003C2DD3" w:rsidRPr="00903F89" w:rsidRDefault="003C2DD3" w:rsidP="00903F89">
            <w:pPr>
              <w:jc w:val="both"/>
              <w:rPr>
                <w:rFonts w:cs="Arial"/>
                <w:b/>
                <w:sz w:val="20"/>
                <w:szCs w:val="20"/>
                <w:u w:val="single"/>
              </w:rPr>
            </w:pPr>
          </w:p>
        </w:tc>
      </w:tr>
      <w:tr w:rsidR="007422AB" w:rsidRPr="00903F89" w14:paraId="7C9E2821" w14:textId="77777777" w:rsidTr="00686014">
        <w:tc>
          <w:tcPr>
            <w:tcW w:w="10538" w:type="dxa"/>
            <w:gridSpan w:val="5"/>
          </w:tcPr>
          <w:p w14:paraId="69299DF8" w14:textId="0E4F8245" w:rsidR="003C2DD3" w:rsidRPr="00903F89" w:rsidRDefault="003C2DD3" w:rsidP="00903F89">
            <w:pPr>
              <w:pStyle w:val="ListParagraph"/>
              <w:numPr>
                <w:ilvl w:val="0"/>
                <w:numId w:val="19"/>
              </w:numPr>
              <w:jc w:val="both"/>
              <w:rPr>
                <w:rFonts w:eastAsia="Arial" w:cs="Arial"/>
                <w:b/>
                <w:bCs/>
                <w:sz w:val="20"/>
                <w:szCs w:val="20"/>
                <w:u w:val="single"/>
              </w:rPr>
            </w:pPr>
            <w:r w:rsidRPr="00903F89">
              <w:rPr>
                <w:rFonts w:cs="Arial"/>
                <w:sz w:val="20"/>
                <w:szCs w:val="20"/>
              </w:rPr>
              <w:t xml:space="preserve">Τέλη υποβολής επιστημονικών άρθρων για δημοσίευση σε επιστημονικά περιοδικά.  </w:t>
            </w:r>
          </w:p>
        </w:tc>
      </w:tr>
      <w:tr w:rsidR="007422AB" w:rsidRPr="00903F89" w14:paraId="0CDBFBB4" w14:textId="77777777" w:rsidTr="00686014">
        <w:tc>
          <w:tcPr>
            <w:tcW w:w="3795" w:type="dxa"/>
            <w:gridSpan w:val="2"/>
          </w:tcPr>
          <w:p w14:paraId="3F84FA96" w14:textId="77777777" w:rsidR="003C2DD3" w:rsidRPr="00903F89" w:rsidRDefault="003C2DD3" w:rsidP="00903F89">
            <w:pPr>
              <w:jc w:val="both"/>
              <w:rPr>
                <w:rFonts w:cs="Arial"/>
                <w:b/>
                <w:sz w:val="20"/>
                <w:szCs w:val="20"/>
                <w:u w:val="single"/>
              </w:rPr>
            </w:pPr>
          </w:p>
        </w:tc>
        <w:tc>
          <w:tcPr>
            <w:tcW w:w="6128" w:type="dxa"/>
            <w:gridSpan w:val="2"/>
          </w:tcPr>
          <w:p w14:paraId="6B8E286D" w14:textId="77777777" w:rsidR="003C2DD3" w:rsidRPr="00903F89" w:rsidRDefault="003C2DD3" w:rsidP="00903F89">
            <w:pPr>
              <w:pStyle w:val="ListParagraph"/>
              <w:jc w:val="both"/>
              <w:rPr>
                <w:rFonts w:cs="Arial"/>
                <w:sz w:val="20"/>
                <w:szCs w:val="20"/>
              </w:rPr>
            </w:pPr>
          </w:p>
        </w:tc>
        <w:tc>
          <w:tcPr>
            <w:tcW w:w="615" w:type="dxa"/>
          </w:tcPr>
          <w:p w14:paraId="47B1D8EE" w14:textId="77777777" w:rsidR="003C2DD3" w:rsidRPr="00903F89" w:rsidRDefault="003C2DD3" w:rsidP="00903F89">
            <w:pPr>
              <w:jc w:val="both"/>
              <w:rPr>
                <w:rFonts w:cs="Arial"/>
                <w:b/>
                <w:sz w:val="20"/>
                <w:szCs w:val="20"/>
                <w:u w:val="single"/>
              </w:rPr>
            </w:pPr>
          </w:p>
        </w:tc>
      </w:tr>
      <w:tr w:rsidR="007422AB" w:rsidRPr="00903F89" w14:paraId="747B12B4" w14:textId="77777777" w:rsidTr="00686014">
        <w:tc>
          <w:tcPr>
            <w:tcW w:w="10538" w:type="dxa"/>
            <w:gridSpan w:val="5"/>
          </w:tcPr>
          <w:p w14:paraId="44F48ABB" w14:textId="4BE79438" w:rsidR="003C2DD3" w:rsidRPr="00903F89" w:rsidRDefault="003C2DD3" w:rsidP="00903F89">
            <w:pPr>
              <w:pStyle w:val="ListParagraph"/>
              <w:numPr>
                <w:ilvl w:val="0"/>
                <w:numId w:val="19"/>
              </w:numPr>
              <w:jc w:val="both"/>
              <w:rPr>
                <w:rFonts w:eastAsia="Arial" w:cs="Arial"/>
                <w:b/>
                <w:bCs/>
                <w:sz w:val="20"/>
                <w:szCs w:val="20"/>
                <w:u w:val="single"/>
              </w:rPr>
            </w:pPr>
            <w:r w:rsidRPr="00903F89">
              <w:rPr>
                <w:rFonts w:cs="Arial"/>
                <w:sz w:val="20"/>
                <w:szCs w:val="20"/>
                <w:lang w:eastAsia="ko-KR"/>
              </w:rPr>
              <w:t>Έκδοση επαγγελματικών καρτών για μέλη του Ακαδημαϊκού και Διοικητικού Προσωπικού.</w:t>
            </w:r>
          </w:p>
        </w:tc>
      </w:tr>
      <w:tr w:rsidR="007422AB" w:rsidRPr="00903F89" w14:paraId="3A6A1558" w14:textId="77777777" w:rsidTr="00686014">
        <w:tc>
          <w:tcPr>
            <w:tcW w:w="3795" w:type="dxa"/>
            <w:gridSpan w:val="2"/>
          </w:tcPr>
          <w:p w14:paraId="3C358CBD" w14:textId="77777777" w:rsidR="003C2DD3" w:rsidRPr="00903F89" w:rsidRDefault="003C2DD3" w:rsidP="00903F89">
            <w:pPr>
              <w:jc w:val="both"/>
              <w:rPr>
                <w:rFonts w:cs="Arial"/>
                <w:b/>
                <w:sz w:val="20"/>
                <w:szCs w:val="20"/>
                <w:u w:val="single"/>
              </w:rPr>
            </w:pPr>
          </w:p>
        </w:tc>
        <w:tc>
          <w:tcPr>
            <w:tcW w:w="6128" w:type="dxa"/>
            <w:gridSpan w:val="2"/>
          </w:tcPr>
          <w:p w14:paraId="6D65122A" w14:textId="77777777" w:rsidR="003C2DD3" w:rsidRPr="00903F89" w:rsidRDefault="003C2DD3" w:rsidP="00903F89">
            <w:pPr>
              <w:pStyle w:val="ListParagraph"/>
              <w:jc w:val="both"/>
              <w:rPr>
                <w:rFonts w:cs="Arial"/>
                <w:sz w:val="20"/>
                <w:szCs w:val="20"/>
              </w:rPr>
            </w:pPr>
          </w:p>
        </w:tc>
        <w:tc>
          <w:tcPr>
            <w:tcW w:w="615" w:type="dxa"/>
          </w:tcPr>
          <w:p w14:paraId="5976B77D" w14:textId="77777777" w:rsidR="003C2DD3" w:rsidRPr="00903F89" w:rsidRDefault="003C2DD3" w:rsidP="00903F89">
            <w:pPr>
              <w:jc w:val="both"/>
              <w:rPr>
                <w:rFonts w:cs="Arial"/>
                <w:b/>
                <w:sz w:val="20"/>
                <w:szCs w:val="20"/>
                <w:u w:val="single"/>
              </w:rPr>
            </w:pPr>
          </w:p>
        </w:tc>
      </w:tr>
      <w:tr w:rsidR="007422AB" w:rsidRPr="00903F89" w14:paraId="2FD1316E" w14:textId="77777777" w:rsidTr="00686014">
        <w:tc>
          <w:tcPr>
            <w:tcW w:w="10538" w:type="dxa"/>
            <w:gridSpan w:val="5"/>
          </w:tcPr>
          <w:p w14:paraId="3025A900" w14:textId="165B93A5" w:rsidR="003C2DD3" w:rsidRPr="00903F89" w:rsidRDefault="003C2DD3" w:rsidP="00903F89">
            <w:pPr>
              <w:pStyle w:val="ListParagraph"/>
              <w:numPr>
                <w:ilvl w:val="0"/>
                <w:numId w:val="19"/>
              </w:numPr>
              <w:jc w:val="both"/>
              <w:rPr>
                <w:rFonts w:eastAsia="Arial" w:cs="Arial"/>
                <w:b/>
                <w:bCs/>
                <w:sz w:val="20"/>
                <w:szCs w:val="20"/>
                <w:u w:val="single"/>
              </w:rPr>
            </w:pPr>
            <w:r w:rsidRPr="00903F89">
              <w:rPr>
                <w:rFonts w:cs="Arial"/>
                <w:sz w:val="20"/>
                <w:szCs w:val="20"/>
              </w:rPr>
              <w:t xml:space="preserve">Συμπεριλαμβάνεται πρόνοια για πιθανή υλοποίηση δραστηριοτήτων που περιλαμβάνονται στα πλαίσια του Σχεδίου Δράσης για Προβολή του Πανεπιστημίου Κύπρου στο Διεθνή Χώρο. </w:t>
            </w:r>
          </w:p>
        </w:tc>
      </w:tr>
      <w:tr w:rsidR="007422AB" w:rsidRPr="00903F89" w14:paraId="26A61378" w14:textId="77777777" w:rsidTr="00686014">
        <w:tc>
          <w:tcPr>
            <w:tcW w:w="3795" w:type="dxa"/>
            <w:gridSpan w:val="2"/>
          </w:tcPr>
          <w:p w14:paraId="192BFD22" w14:textId="77777777" w:rsidR="003C2DD3" w:rsidRPr="00903F89" w:rsidRDefault="003C2DD3" w:rsidP="00903F89">
            <w:pPr>
              <w:jc w:val="both"/>
              <w:rPr>
                <w:rFonts w:cs="Arial"/>
                <w:b/>
                <w:sz w:val="20"/>
                <w:szCs w:val="20"/>
                <w:u w:val="single"/>
              </w:rPr>
            </w:pPr>
          </w:p>
        </w:tc>
        <w:tc>
          <w:tcPr>
            <w:tcW w:w="6128" w:type="dxa"/>
            <w:gridSpan w:val="2"/>
          </w:tcPr>
          <w:p w14:paraId="479AB61A" w14:textId="77777777" w:rsidR="003C2DD3" w:rsidRPr="00903F89" w:rsidRDefault="003C2DD3" w:rsidP="00903F89">
            <w:pPr>
              <w:jc w:val="both"/>
              <w:rPr>
                <w:rFonts w:cs="Arial"/>
                <w:sz w:val="20"/>
                <w:szCs w:val="20"/>
              </w:rPr>
            </w:pPr>
          </w:p>
        </w:tc>
        <w:tc>
          <w:tcPr>
            <w:tcW w:w="615" w:type="dxa"/>
          </w:tcPr>
          <w:p w14:paraId="1548D87E" w14:textId="77777777" w:rsidR="003C2DD3" w:rsidRPr="00903F89" w:rsidRDefault="003C2DD3" w:rsidP="00903F89">
            <w:pPr>
              <w:jc w:val="both"/>
              <w:rPr>
                <w:rFonts w:cs="Arial"/>
                <w:b/>
                <w:sz w:val="20"/>
                <w:szCs w:val="20"/>
                <w:u w:val="single"/>
              </w:rPr>
            </w:pPr>
          </w:p>
        </w:tc>
      </w:tr>
      <w:tr w:rsidR="007422AB" w:rsidRPr="00903F89" w14:paraId="7FC0CBDC" w14:textId="77777777" w:rsidTr="00686014">
        <w:tc>
          <w:tcPr>
            <w:tcW w:w="10538" w:type="dxa"/>
            <w:gridSpan w:val="5"/>
          </w:tcPr>
          <w:p w14:paraId="6F6E9115" w14:textId="6D08FD0B" w:rsidR="003C2DD3" w:rsidRPr="00903F89" w:rsidRDefault="003C2DD3" w:rsidP="00903F89">
            <w:pPr>
              <w:pStyle w:val="ListParagraph"/>
              <w:numPr>
                <w:ilvl w:val="0"/>
                <w:numId w:val="12"/>
              </w:numPr>
              <w:ind w:left="705"/>
              <w:jc w:val="both"/>
              <w:rPr>
                <w:rFonts w:cs="Arial"/>
                <w:sz w:val="20"/>
                <w:szCs w:val="20"/>
              </w:rPr>
            </w:pPr>
            <w:r w:rsidRPr="00903F89">
              <w:rPr>
                <w:rFonts w:cs="Arial"/>
                <w:sz w:val="20"/>
                <w:szCs w:val="20"/>
              </w:rPr>
              <w:t xml:space="preserve">Παραγωγή υλικού: (α) Χάρτινα </w:t>
            </w:r>
            <w:proofErr w:type="spellStart"/>
            <w:r w:rsidRPr="00903F89">
              <w:rPr>
                <w:rFonts w:cs="Arial"/>
                <w:sz w:val="20"/>
                <w:szCs w:val="20"/>
              </w:rPr>
              <w:t>folders</w:t>
            </w:r>
            <w:proofErr w:type="spellEnd"/>
            <w:r w:rsidRPr="00903F89">
              <w:rPr>
                <w:rFonts w:cs="Arial"/>
                <w:sz w:val="20"/>
                <w:szCs w:val="20"/>
              </w:rPr>
              <w:t>, (β) Διεθνής προσέλκυση φοιτητών: Έκδοση ενημερωτικών εντύπων, παραγωγή οπτικοακουστικού υλικού, πανό (</w:t>
            </w:r>
            <w:proofErr w:type="spellStart"/>
            <w:r w:rsidRPr="00903F89">
              <w:rPr>
                <w:rFonts w:cs="Arial"/>
                <w:sz w:val="20"/>
                <w:szCs w:val="20"/>
              </w:rPr>
              <w:t>banners</w:t>
            </w:r>
            <w:proofErr w:type="spellEnd"/>
            <w:r w:rsidRPr="00903F89">
              <w:rPr>
                <w:rFonts w:cs="Arial"/>
                <w:sz w:val="20"/>
                <w:szCs w:val="20"/>
              </w:rPr>
              <w:t xml:space="preserve">), διάφορες αφίσες, τσάντες, πένες, μολύβια, USB, </w:t>
            </w:r>
            <w:proofErr w:type="spellStart"/>
            <w:r w:rsidRPr="00903F89">
              <w:rPr>
                <w:rFonts w:cs="Arial"/>
                <w:sz w:val="20"/>
                <w:szCs w:val="20"/>
              </w:rPr>
              <w:t>CDs</w:t>
            </w:r>
            <w:proofErr w:type="spellEnd"/>
            <w:r w:rsidRPr="00903F89">
              <w:rPr>
                <w:rFonts w:cs="Arial"/>
                <w:sz w:val="20"/>
                <w:szCs w:val="20"/>
              </w:rPr>
              <w:t xml:space="preserve">, σελιδοδείκτες, οργάνωση συναντήσεων/ συνεδρίων. </w:t>
            </w:r>
          </w:p>
        </w:tc>
      </w:tr>
      <w:tr w:rsidR="007422AB" w:rsidRPr="00903F89" w14:paraId="4DC106F5" w14:textId="77777777" w:rsidTr="00686014">
        <w:tc>
          <w:tcPr>
            <w:tcW w:w="10538" w:type="dxa"/>
            <w:gridSpan w:val="5"/>
          </w:tcPr>
          <w:p w14:paraId="0A9D4086" w14:textId="77777777" w:rsidR="003C2DD3" w:rsidRPr="00903F89" w:rsidRDefault="003C2DD3" w:rsidP="00903F89">
            <w:pPr>
              <w:pStyle w:val="ListParagraph"/>
              <w:ind w:left="705"/>
              <w:jc w:val="both"/>
              <w:rPr>
                <w:rFonts w:cs="Arial"/>
                <w:sz w:val="20"/>
                <w:szCs w:val="20"/>
              </w:rPr>
            </w:pPr>
          </w:p>
        </w:tc>
      </w:tr>
      <w:tr w:rsidR="007422AB" w:rsidRPr="00903F89" w14:paraId="3848D430" w14:textId="77777777" w:rsidTr="00686014">
        <w:tc>
          <w:tcPr>
            <w:tcW w:w="10538" w:type="dxa"/>
            <w:gridSpan w:val="5"/>
          </w:tcPr>
          <w:p w14:paraId="6DF7035C" w14:textId="2B9A09AD" w:rsidR="003C2DD3" w:rsidRPr="00903F89" w:rsidRDefault="003C2DD3" w:rsidP="00903F89">
            <w:pPr>
              <w:jc w:val="both"/>
              <w:rPr>
                <w:rFonts w:cs="Arial"/>
                <w:sz w:val="20"/>
                <w:szCs w:val="20"/>
              </w:rPr>
            </w:pPr>
            <w:r w:rsidRPr="00903F89">
              <w:rPr>
                <w:rFonts w:cs="Arial"/>
                <w:sz w:val="20"/>
                <w:szCs w:val="20"/>
              </w:rPr>
              <w:t>Η πρόνοια προορίζεται να καλύψει το κόστος εκτύπωσης των προπτυχιακών και μεταπτυχιακών τίτλων σπουδών από κεντρικούς πόρους του Πανεπιστημίου Κύπρου (είτε από κρατική χορηγία, είτε από έσοδα εκτός κρατικής χορηγίας) με εξαίρεση την έκδοση των τίτλων σπουδών των αυτοχρηματοδοτούμενων προγραμμάτων τα οποία θα χρεώνονται έναντι των ιδίων εσόδων τους (</w:t>
            </w:r>
            <w:r w:rsidR="00B64187" w:rsidRPr="00903F89">
              <w:rPr>
                <w:rFonts w:cs="Arial"/>
                <w:sz w:val="20"/>
                <w:szCs w:val="20"/>
              </w:rPr>
              <w:t xml:space="preserve">Απόφαση </w:t>
            </w:r>
            <w:r w:rsidRPr="00903F89">
              <w:rPr>
                <w:rFonts w:cs="Arial"/>
                <w:sz w:val="20"/>
                <w:szCs w:val="20"/>
              </w:rPr>
              <w:t>Επιτροπή</w:t>
            </w:r>
            <w:r w:rsidR="00B64187" w:rsidRPr="00903F89">
              <w:rPr>
                <w:rFonts w:cs="Arial"/>
                <w:sz w:val="20"/>
                <w:szCs w:val="20"/>
              </w:rPr>
              <w:t>ς</w:t>
            </w:r>
            <w:r w:rsidRPr="00903F89">
              <w:rPr>
                <w:rFonts w:cs="Arial"/>
                <w:sz w:val="20"/>
                <w:szCs w:val="20"/>
              </w:rPr>
              <w:t xml:space="preserve"> Οικονομικών και Προσωπικού, Συνεδρία </w:t>
            </w:r>
            <w:r w:rsidR="00624FBD" w:rsidRPr="00903F89">
              <w:rPr>
                <w:rFonts w:cs="Arial"/>
                <w:sz w:val="20"/>
                <w:szCs w:val="20"/>
              </w:rPr>
              <w:t xml:space="preserve">Αρ. </w:t>
            </w:r>
            <w:r w:rsidRPr="00903F89">
              <w:rPr>
                <w:rFonts w:cs="Arial"/>
                <w:sz w:val="20"/>
                <w:szCs w:val="20"/>
              </w:rPr>
              <w:t>01/2015, ημερ. 11/02/2015).</w:t>
            </w:r>
          </w:p>
        </w:tc>
      </w:tr>
      <w:tr w:rsidR="007422AB" w:rsidRPr="00903F89" w14:paraId="2D1B0D7F" w14:textId="77777777" w:rsidTr="00686014">
        <w:tc>
          <w:tcPr>
            <w:tcW w:w="10538" w:type="dxa"/>
            <w:gridSpan w:val="5"/>
          </w:tcPr>
          <w:p w14:paraId="75C54CAA" w14:textId="77777777" w:rsidR="003C2DD3" w:rsidRPr="00903F89" w:rsidRDefault="003C2DD3" w:rsidP="00903F89">
            <w:pPr>
              <w:jc w:val="both"/>
              <w:rPr>
                <w:rFonts w:cs="Arial"/>
                <w:sz w:val="20"/>
                <w:szCs w:val="20"/>
              </w:rPr>
            </w:pPr>
          </w:p>
        </w:tc>
      </w:tr>
      <w:tr w:rsidR="007422AB" w:rsidRPr="00903F89" w14:paraId="6A7C4646" w14:textId="77777777" w:rsidTr="00686014">
        <w:tc>
          <w:tcPr>
            <w:tcW w:w="10538" w:type="dxa"/>
            <w:gridSpan w:val="5"/>
            <w:shd w:val="clear" w:color="auto" w:fill="auto"/>
          </w:tcPr>
          <w:p w14:paraId="42CA6B1E" w14:textId="61577D3A" w:rsidR="003C2DD3" w:rsidRPr="00903F89" w:rsidRDefault="003C2DD3" w:rsidP="00903F89">
            <w:pPr>
              <w:jc w:val="both"/>
              <w:rPr>
                <w:rFonts w:cs="Arial"/>
                <w:sz w:val="20"/>
                <w:szCs w:val="20"/>
              </w:rPr>
            </w:pPr>
            <w:r w:rsidRPr="00903F89">
              <w:rPr>
                <w:rFonts w:cs="Arial"/>
                <w:sz w:val="20"/>
                <w:szCs w:val="20"/>
                <w:lang w:eastAsia="en-US"/>
              </w:rPr>
              <w:t>Όλοι οι τίτλοι σπουδών των προπτυχιακών προγραμμάτων σπουδών θα εκδίδονται στην Ελληνική γλώσσα εκτός από τους τίτλους σπουδών των αποφοίτων του Τμήματος Τουρκικών και Μεσανατολικών Σπουδών που δύνανται να εκδοθούν και στην τουρκική γλώσσα όταν ζητηθεί από τον απόφοιτο (</w:t>
            </w:r>
            <w:bookmarkStart w:id="29" w:name="_Hlk87949320"/>
            <w:r w:rsidR="00624FBD" w:rsidRPr="00903F89">
              <w:rPr>
                <w:rFonts w:cs="Arial"/>
                <w:sz w:val="20"/>
                <w:szCs w:val="20"/>
                <w:lang w:eastAsia="en-US"/>
              </w:rPr>
              <w:t>Απόφαση Συγκλήτου</w:t>
            </w:r>
            <w:r w:rsidR="00B64187" w:rsidRPr="00903F89">
              <w:rPr>
                <w:rFonts w:cs="Arial"/>
                <w:sz w:val="20"/>
                <w:szCs w:val="20"/>
                <w:lang w:eastAsia="en-US"/>
              </w:rPr>
              <w:t>,</w:t>
            </w:r>
            <w:r w:rsidR="00624FBD" w:rsidRPr="00903F89">
              <w:rPr>
                <w:rFonts w:cs="Arial"/>
                <w:sz w:val="20"/>
                <w:szCs w:val="20"/>
                <w:lang w:eastAsia="en-US"/>
              </w:rPr>
              <w:t xml:space="preserve"> Συνεδρία </w:t>
            </w:r>
            <w:r w:rsidRPr="00903F89">
              <w:rPr>
                <w:rFonts w:cs="Arial"/>
                <w:sz w:val="20"/>
                <w:szCs w:val="20"/>
                <w:lang w:eastAsia="en-US"/>
              </w:rPr>
              <w:t>Αρ. 13/2020, ημερ. 06/05/2020</w:t>
            </w:r>
            <w:bookmarkEnd w:id="29"/>
            <w:r w:rsidRPr="00903F89">
              <w:rPr>
                <w:rFonts w:cs="Arial"/>
                <w:sz w:val="20"/>
                <w:szCs w:val="20"/>
                <w:lang w:eastAsia="en-US"/>
              </w:rPr>
              <w:t>). Οι τίτλοι σπουδών των ελληνόφωνων μεταπτυχιακών προγραμμάτων θα εκδίδονται στην Ελληνική γλώσσα ενώ οι τίτλοι σπουδών των αγγλόφωνων μεταπτυχιακών προγραμμάτων θα εκδίδονται στην Αγγλική γλώσσα (</w:t>
            </w:r>
            <w:bookmarkStart w:id="30" w:name="_Hlk87949335"/>
            <w:r w:rsidR="00624FBD" w:rsidRPr="00903F89">
              <w:rPr>
                <w:rFonts w:cs="Arial"/>
                <w:sz w:val="20"/>
                <w:szCs w:val="20"/>
                <w:lang w:eastAsia="en-US"/>
              </w:rPr>
              <w:t>Απόφαση Συγκλήτου</w:t>
            </w:r>
            <w:r w:rsidR="00B64187" w:rsidRPr="00903F89">
              <w:rPr>
                <w:rFonts w:cs="Arial"/>
                <w:sz w:val="20"/>
                <w:szCs w:val="20"/>
                <w:lang w:eastAsia="en-US"/>
              </w:rPr>
              <w:t>,</w:t>
            </w:r>
            <w:r w:rsidR="00624FBD" w:rsidRPr="00903F89">
              <w:rPr>
                <w:rFonts w:cs="Arial"/>
                <w:sz w:val="20"/>
                <w:szCs w:val="20"/>
                <w:lang w:eastAsia="en-US"/>
              </w:rPr>
              <w:t xml:space="preserve"> Συνεδρία Αρ. </w:t>
            </w:r>
            <w:r w:rsidRPr="00903F89">
              <w:rPr>
                <w:rFonts w:cs="Arial"/>
                <w:sz w:val="20"/>
                <w:szCs w:val="20"/>
                <w:lang w:eastAsia="en-US"/>
              </w:rPr>
              <w:t>10/2021, ημερ. 07/04/2021</w:t>
            </w:r>
            <w:bookmarkEnd w:id="30"/>
            <w:r w:rsidRPr="00903F89">
              <w:rPr>
                <w:rFonts w:cs="Arial"/>
                <w:sz w:val="20"/>
                <w:szCs w:val="20"/>
                <w:lang w:eastAsia="en-US"/>
              </w:rPr>
              <w:t>).</w:t>
            </w:r>
          </w:p>
        </w:tc>
      </w:tr>
      <w:tr w:rsidR="007422AB" w:rsidRPr="00903F89" w14:paraId="5899C0F4" w14:textId="77777777" w:rsidTr="00686014">
        <w:tc>
          <w:tcPr>
            <w:tcW w:w="3795" w:type="dxa"/>
            <w:gridSpan w:val="2"/>
            <w:shd w:val="clear" w:color="auto" w:fill="auto"/>
          </w:tcPr>
          <w:p w14:paraId="2E881E7B" w14:textId="77777777" w:rsidR="003C2DD3" w:rsidRPr="00903F89" w:rsidRDefault="003C2DD3" w:rsidP="00903F89">
            <w:pPr>
              <w:jc w:val="both"/>
              <w:rPr>
                <w:rFonts w:cs="Arial"/>
                <w:b/>
                <w:sz w:val="20"/>
                <w:szCs w:val="20"/>
                <w:u w:val="single"/>
              </w:rPr>
            </w:pPr>
          </w:p>
        </w:tc>
        <w:tc>
          <w:tcPr>
            <w:tcW w:w="6128" w:type="dxa"/>
            <w:gridSpan w:val="2"/>
            <w:shd w:val="clear" w:color="auto" w:fill="auto"/>
          </w:tcPr>
          <w:p w14:paraId="37062455" w14:textId="77777777" w:rsidR="003C2DD3" w:rsidRPr="00903F89" w:rsidRDefault="003C2DD3" w:rsidP="00903F89">
            <w:pPr>
              <w:jc w:val="both"/>
              <w:rPr>
                <w:rFonts w:cs="Arial"/>
                <w:sz w:val="20"/>
                <w:szCs w:val="20"/>
              </w:rPr>
            </w:pPr>
          </w:p>
        </w:tc>
        <w:tc>
          <w:tcPr>
            <w:tcW w:w="615" w:type="dxa"/>
            <w:shd w:val="clear" w:color="auto" w:fill="auto"/>
          </w:tcPr>
          <w:p w14:paraId="01ACADF2" w14:textId="77777777" w:rsidR="003C2DD3" w:rsidRPr="00903F89" w:rsidRDefault="003C2DD3" w:rsidP="00903F89">
            <w:pPr>
              <w:jc w:val="both"/>
              <w:rPr>
                <w:rFonts w:cs="Arial"/>
                <w:b/>
                <w:sz w:val="20"/>
                <w:szCs w:val="20"/>
                <w:u w:val="single"/>
              </w:rPr>
            </w:pPr>
          </w:p>
        </w:tc>
      </w:tr>
      <w:tr w:rsidR="007422AB" w:rsidRPr="00903F89" w14:paraId="0D160F7E" w14:textId="77777777" w:rsidTr="00686014">
        <w:tc>
          <w:tcPr>
            <w:tcW w:w="10538" w:type="dxa"/>
            <w:gridSpan w:val="5"/>
            <w:shd w:val="clear" w:color="auto" w:fill="auto"/>
          </w:tcPr>
          <w:p w14:paraId="296B1BCB" w14:textId="2C9F1657" w:rsidR="003C2DD3" w:rsidRPr="00903F89" w:rsidRDefault="003C2DD3" w:rsidP="00903F89">
            <w:pPr>
              <w:jc w:val="both"/>
              <w:rPr>
                <w:rFonts w:cs="Arial"/>
                <w:strike/>
                <w:sz w:val="20"/>
                <w:szCs w:val="20"/>
              </w:rPr>
            </w:pPr>
            <w:r w:rsidRPr="00903F89">
              <w:rPr>
                <w:rFonts w:cs="Arial"/>
                <w:sz w:val="20"/>
                <w:szCs w:val="20"/>
              </w:rPr>
              <w:t>Η αύξηση στην πρόνοια του άρθρου έλαβε υπόψη την απορρόφηση κατά την περίοδο 2021, καθώς και τις ανάγκες προώθησης της νέας αυτοματοποιημένης διαδικασίας διαχείρισης των διαδικτυακών ονομάτων και των νέων υπηρεσιών του Μητρώου Ονομάτων .</w:t>
            </w:r>
            <w:r w:rsidRPr="00903F89">
              <w:rPr>
                <w:rFonts w:cs="Arial"/>
                <w:sz w:val="20"/>
                <w:szCs w:val="20"/>
                <w:lang w:val="en-GB"/>
              </w:rPr>
              <w:t>cy</w:t>
            </w:r>
            <w:r w:rsidRPr="00903F89">
              <w:rPr>
                <w:rFonts w:cs="Arial"/>
                <w:sz w:val="20"/>
                <w:szCs w:val="20"/>
              </w:rPr>
              <w:t>, και της διαφημιστικής εκστρατείας για προβολή των μεταπτυχιακών προγραμμάτων σπουδών στο πλαίσιο της υλοποίησης του στρατηγικού στόχου του Πανεπιστημίου Κύπρου για διεθνοποίηση και προσέλκυση φοιτητών από τον διεθνή χώρο.</w:t>
            </w:r>
          </w:p>
        </w:tc>
      </w:tr>
      <w:tr w:rsidR="007422AB" w:rsidRPr="00903F89" w14:paraId="49D58B98" w14:textId="77777777" w:rsidTr="00686014">
        <w:tc>
          <w:tcPr>
            <w:tcW w:w="3795" w:type="dxa"/>
            <w:gridSpan w:val="2"/>
          </w:tcPr>
          <w:p w14:paraId="2D3279D6" w14:textId="13D713F3" w:rsidR="003C2DD3" w:rsidRPr="00903F89" w:rsidRDefault="003C2DD3" w:rsidP="00903F89">
            <w:pPr>
              <w:jc w:val="both"/>
              <w:rPr>
                <w:rFonts w:cs="Arial"/>
                <w:b/>
                <w:sz w:val="20"/>
                <w:szCs w:val="20"/>
                <w:u w:val="single"/>
              </w:rPr>
            </w:pPr>
          </w:p>
        </w:tc>
        <w:tc>
          <w:tcPr>
            <w:tcW w:w="6128" w:type="dxa"/>
            <w:gridSpan w:val="2"/>
            <w:shd w:val="clear" w:color="auto" w:fill="auto"/>
          </w:tcPr>
          <w:p w14:paraId="0478DEB6" w14:textId="77777777" w:rsidR="003C2DD3" w:rsidRPr="00903F89" w:rsidRDefault="003C2DD3" w:rsidP="00903F89">
            <w:pPr>
              <w:ind w:left="284"/>
              <w:jc w:val="both"/>
              <w:rPr>
                <w:rFonts w:cs="Arial"/>
                <w:strike/>
                <w:sz w:val="20"/>
                <w:szCs w:val="20"/>
              </w:rPr>
            </w:pPr>
          </w:p>
        </w:tc>
        <w:tc>
          <w:tcPr>
            <w:tcW w:w="615" w:type="dxa"/>
          </w:tcPr>
          <w:p w14:paraId="2C04A909" w14:textId="77777777" w:rsidR="003C2DD3" w:rsidRPr="00903F89" w:rsidRDefault="003C2DD3" w:rsidP="00903F89">
            <w:pPr>
              <w:jc w:val="both"/>
              <w:rPr>
                <w:rFonts w:cs="Arial"/>
                <w:b/>
                <w:sz w:val="20"/>
                <w:szCs w:val="20"/>
                <w:u w:val="single"/>
              </w:rPr>
            </w:pPr>
          </w:p>
        </w:tc>
      </w:tr>
      <w:tr w:rsidR="007422AB" w:rsidRPr="00903F89" w14:paraId="242C8704" w14:textId="77777777" w:rsidTr="00686014">
        <w:tc>
          <w:tcPr>
            <w:tcW w:w="10538" w:type="dxa"/>
            <w:gridSpan w:val="5"/>
            <w:shd w:val="clear" w:color="auto" w:fill="auto"/>
          </w:tcPr>
          <w:p w14:paraId="40735910" w14:textId="4D68868C" w:rsidR="003C2DD3" w:rsidRPr="00903F89" w:rsidRDefault="003C2DD3" w:rsidP="00903F89">
            <w:pPr>
              <w:jc w:val="both"/>
              <w:rPr>
                <w:rFonts w:eastAsia="Arial" w:cs="Arial"/>
                <w:b/>
                <w:bCs/>
                <w:strike/>
                <w:sz w:val="20"/>
                <w:szCs w:val="20"/>
                <w:u w:val="single"/>
              </w:rPr>
            </w:pPr>
            <w:r w:rsidRPr="00903F89">
              <w:rPr>
                <w:rFonts w:cs="Arial"/>
                <w:sz w:val="20"/>
                <w:szCs w:val="20"/>
              </w:rPr>
              <w:t>Η πρόνοια του άρθρου ενδέχεται να καλύψει δαπάνες του Προγράμματος Παιδαγωγικής Κατάρτισης Υποψηφίων Εκπαιδευτικών Λειτουργών Μέσης Γενικής και Μέσης Τεχνικής και Επαγγελματικής Εκπαίδευσης από εισπράξεις που ήδη πραγματοποιήθηκαν για το σκοπό αυτό.</w:t>
            </w:r>
          </w:p>
        </w:tc>
      </w:tr>
      <w:tr w:rsidR="007422AB" w:rsidRPr="00903F89" w14:paraId="705448F6" w14:textId="77777777" w:rsidTr="00130787">
        <w:tc>
          <w:tcPr>
            <w:tcW w:w="3795" w:type="dxa"/>
            <w:gridSpan w:val="2"/>
          </w:tcPr>
          <w:p w14:paraId="31271E60" w14:textId="7EE19F62" w:rsidR="003C2DD3" w:rsidRPr="00903F89" w:rsidRDefault="003C2DD3" w:rsidP="00903F89">
            <w:pPr>
              <w:jc w:val="both"/>
              <w:rPr>
                <w:rFonts w:cs="Arial"/>
                <w:b/>
                <w:sz w:val="20"/>
                <w:szCs w:val="20"/>
                <w:u w:val="single"/>
              </w:rPr>
            </w:pPr>
          </w:p>
        </w:tc>
        <w:tc>
          <w:tcPr>
            <w:tcW w:w="6128" w:type="dxa"/>
            <w:gridSpan w:val="2"/>
          </w:tcPr>
          <w:p w14:paraId="44C525DC" w14:textId="77777777" w:rsidR="003C2DD3" w:rsidRPr="00903F89" w:rsidRDefault="003C2DD3" w:rsidP="00903F89">
            <w:pPr>
              <w:jc w:val="both"/>
              <w:rPr>
                <w:rFonts w:cs="Arial"/>
                <w:sz w:val="20"/>
                <w:szCs w:val="20"/>
              </w:rPr>
            </w:pPr>
          </w:p>
        </w:tc>
        <w:tc>
          <w:tcPr>
            <w:tcW w:w="615" w:type="dxa"/>
          </w:tcPr>
          <w:p w14:paraId="5A4A52B8" w14:textId="77777777" w:rsidR="003C2DD3" w:rsidRPr="00903F89" w:rsidRDefault="003C2DD3" w:rsidP="00903F89">
            <w:pPr>
              <w:jc w:val="both"/>
              <w:rPr>
                <w:rFonts w:cs="Arial"/>
                <w:b/>
                <w:sz w:val="20"/>
                <w:szCs w:val="20"/>
                <w:u w:val="single"/>
              </w:rPr>
            </w:pPr>
          </w:p>
        </w:tc>
      </w:tr>
      <w:tr w:rsidR="007422AB" w:rsidRPr="00903F89" w14:paraId="001163B3" w14:textId="77777777" w:rsidTr="00130787">
        <w:tc>
          <w:tcPr>
            <w:tcW w:w="10538" w:type="dxa"/>
            <w:gridSpan w:val="5"/>
          </w:tcPr>
          <w:p w14:paraId="30928552" w14:textId="77DA90D2"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218 – Ασφάλεια – €936.100</w:t>
            </w:r>
          </w:p>
        </w:tc>
      </w:tr>
      <w:tr w:rsidR="007422AB" w:rsidRPr="00903F89" w14:paraId="4A5EE226" w14:textId="77777777" w:rsidTr="00130787">
        <w:tc>
          <w:tcPr>
            <w:tcW w:w="3795" w:type="dxa"/>
            <w:gridSpan w:val="2"/>
          </w:tcPr>
          <w:p w14:paraId="592E5435" w14:textId="270465AE" w:rsidR="003C2DD3" w:rsidRPr="00903F89" w:rsidRDefault="003C2DD3" w:rsidP="00903F89">
            <w:pPr>
              <w:jc w:val="both"/>
              <w:rPr>
                <w:rFonts w:cs="Arial"/>
                <w:b/>
                <w:sz w:val="20"/>
                <w:szCs w:val="20"/>
                <w:u w:val="single"/>
              </w:rPr>
            </w:pPr>
          </w:p>
        </w:tc>
        <w:tc>
          <w:tcPr>
            <w:tcW w:w="6128" w:type="dxa"/>
            <w:gridSpan w:val="2"/>
          </w:tcPr>
          <w:p w14:paraId="6161614C" w14:textId="77777777" w:rsidR="003C2DD3" w:rsidRPr="00903F89" w:rsidRDefault="003C2DD3" w:rsidP="00903F89">
            <w:pPr>
              <w:jc w:val="both"/>
              <w:rPr>
                <w:rFonts w:cs="Arial"/>
                <w:sz w:val="20"/>
                <w:szCs w:val="20"/>
              </w:rPr>
            </w:pPr>
          </w:p>
        </w:tc>
        <w:tc>
          <w:tcPr>
            <w:tcW w:w="615" w:type="dxa"/>
          </w:tcPr>
          <w:p w14:paraId="6FDE9DF6" w14:textId="77777777" w:rsidR="003C2DD3" w:rsidRPr="00903F89" w:rsidRDefault="003C2DD3" w:rsidP="00903F89">
            <w:pPr>
              <w:jc w:val="both"/>
              <w:rPr>
                <w:rFonts w:cs="Arial"/>
                <w:b/>
                <w:sz w:val="20"/>
                <w:szCs w:val="20"/>
                <w:u w:val="single"/>
              </w:rPr>
            </w:pPr>
          </w:p>
        </w:tc>
      </w:tr>
      <w:tr w:rsidR="007422AB" w:rsidRPr="00903F89" w14:paraId="1B434AED" w14:textId="77777777" w:rsidTr="00130787">
        <w:tc>
          <w:tcPr>
            <w:tcW w:w="10538" w:type="dxa"/>
            <w:gridSpan w:val="5"/>
          </w:tcPr>
          <w:p w14:paraId="4E7FE364" w14:textId="02CFA1A4" w:rsidR="003C2DD3" w:rsidRPr="00903F89" w:rsidRDefault="003C2DD3" w:rsidP="00903F89">
            <w:pPr>
              <w:jc w:val="both"/>
              <w:rPr>
                <w:rFonts w:eastAsia="Arial" w:cs="Arial"/>
                <w:b/>
                <w:bCs/>
                <w:sz w:val="20"/>
                <w:szCs w:val="20"/>
                <w:u w:val="single"/>
              </w:rPr>
            </w:pPr>
            <w:r w:rsidRPr="00903F89">
              <w:rPr>
                <w:rFonts w:cs="Arial"/>
                <w:sz w:val="20"/>
                <w:szCs w:val="20"/>
              </w:rPr>
              <w:t>Το ποσό προορίζεται να καλύψει έξοδα για την αγορά υπηρεσιών/απασχόληση φυλάκων για τη φύλαξη των χώρων και του εξοπλισμού του Πανεπιστημίου Κύπρου, από εταιρεία η οποία έχει επιλεγεί μετά από διαδικασία προκήρυξης και κατακύρωσης σχετικής προσφοράς.  Προορίζεται να καλύψει επίσης έξοδα για την αγορά υλικών και εξοπλισμού ασφαλείας, την αγορά υπηρεσιών για τη συντήρηση πυροσβεστικών μέσων, καθώς και την υπηρεσία παραλαβής και τελικής διάθεσης χημικών και κλινικών αποβλήτων που αφορούν δραστηριότητες εργαστηρίων του Πανεπιστημίου.</w:t>
            </w:r>
          </w:p>
        </w:tc>
      </w:tr>
      <w:tr w:rsidR="007422AB" w:rsidRPr="00903F89" w14:paraId="20A65B7E" w14:textId="77777777" w:rsidTr="00130787">
        <w:tc>
          <w:tcPr>
            <w:tcW w:w="3795" w:type="dxa"/>
            <w:gridSpan w:val="2"/>
          </w:tcPr>
          <w:p w14:paraId="66E34CCC" w14:textId="77777777" w:rsidR="003C2DD3" w:rsidRPr="00903F89" w:rsidRDefault="003C2DD3" w:rsidP="00903F89">
            <w:pPr>
              <w:jc w:val="both"/>
              <w:rPr>
                <w:rFonts w:cs="Arial"/>
                <w:b/>
                <w:sz w:val="20"/>
                <w:szCs w:val="20"/>
                <w:u w:val="single"/>
              </w:rPr>
            </w:pPr>
          </w:p>
        </w:tc>
        <w:tc>
          <w:tcPr>
            <w:tcW w:w="6128" w:type="dxa"/>
            <w:gridSpan w:val="2"/>
          </w:tcPr>
          <w:p w14:paraId="39061CA1" w14:textId="77777777" w:rsidR="003C2DD3" w:rsidRPr="00903F89" w:rsidRDefault="003C2DD3" w:rsidP="00903F89">
            <w:pPr>
              <w:jc w:val="both"/>
              <w:rPr>
                <w:rFonts w:cs="Arial"/>
                <w:sz w:val="20"/>
                <w:szCs w:val="20"/>
              </w:rPr>
            </w:pPr>
          </w:p>
        </w:tc>
        <w:tc>
          <w:tcPr>
            <w:tcW w:w="615" w:type="dxa"/>
          </w:tcPr>
          <w:p w14:paraId="3A852342" w14:textId="77777777" w:rsidR="003C2DD3" w:rsidRPr="00903F89" w:rsidRDefault="003C2DD3" w:rsidP="00903F89">
            <w:pPr>
              <w:jc w:val="both"/>
              <w:rPr>
                <w:rFonts w:cs="Arial"/>
                <w:b/>
                <w:sz w:val="20"/>
                <w:szCs w:val="20"/>
                <w:u w:val="single"/>
              </w:rPr>
            </w:pPr>
          </w:p>
        </w:tc>
      </w:tr>
      <w:tr w:rsidR="007422AB" w:rsidRPr="00903F89" w14:paraId="14873AD1" w14:textId="77777777" w:rsidTr="00130787">
        <w:tc>
          <w:tcPr>
            <w:tcW w:w="10538" w:type="dxa"/>
            <w:gridSpan w:val="5"/>
          </w:tcPr>
          <w:p w14:paraId="57E558A9" w14:textId="1B937AF5" w:rsidR="003C2DD3" w:rsidRPr="00903F89" w:rsidRDefault="003C2DD3" w:rsidP="00903F89">
            <w:pPr>
              <w:jc w:val="both"/>
              <w:rPr>
                <w:rFonts w:eastAsia="Arial" w:cs="Arial"/>
                <w:b/>
                <w:bCs/>
                <w:sz w:val="20"/>
                <w:szCs w:val="20"/>
                <w:u w:val="single"/>
              </w:rPr>
            </w:pPr>
            <w:r w:rsidRPr="00903F89">
              <w:rPr>
                <w:rFonts w:cs="Arial"/>
                <w:sz w:val="20"/>
                <w:szCs w:val="20"/>
              </w:rPr>
              <w:t>Επίσης, το ποσό προορίζεται να καλύψει έξοδα εξετάσεων και αναλύσεων νερού, μετρήσεων ποιότητας αέρα, αγοράς υπηρεσιών, εκτίμησης κινδύνου και άλλους απαραίτητους ελέγχους για διασφάλιση ενός υγιεινούς και ασφαλούς περιβάλλοντος για το προσωπικό, τους φοιτητές και τους επισκέπτες.</w:t>
            </w:r>
          </w:p>
        </w:tc>
      </w:tr>
      <w:tr w:rsidR="007422AB" w:rsidRPr="00903F89" w14:paraId="6926492E" w14:textId="77777777" w:rsidTr="00130787">
        <w:tc>
          <w:tcPr>
            <w:tcW w:w="3795" w:type="dxa"/>
            <w:gridSpan w:val="2"/>
          </w:tcPr>
          <w:p w14:paraId="1D1722F5" w14:textId="77777777" w:rsidR="003C2DD3" w:rsidRPr="00903F89" w:rsidRDefault="003C2DD3" w:rsidP="00903F89">
            <w:pPr>
              <w:jc w:val="both"/>
              <w:rPr>
                <w:rFonts w:cs="Arial"/>
                <w:b/>
                <w:sz w:val="20"/>
                <w:szCs w:val="20"/>
                <w:u w:val="single"/>
              </w:rPr>
            </w:pPr>
          </w:p>
        </w:tc>
        <w:tc>
          <w:tcPr>
            <w:tcW w:w="6128" w:type="dxa"/>
            <w:gridSpan w:val="2"/>
          </w:tcPr>
          <w:p w14:paraId="1BA4C29C" w14:textId="77777777" w:rsidR="003C2DD3" w:rsidRPr="00903F89" w:rsidRDefault="003C2DD3" w:rsidP="00903F89">
            <w:pPr>
              <w:jc w:val="both"/>
              <w:rPr>
                <w:rFonts w:cs="Arial"/>
                <w:sz w:val="20"/>
                <w:szCs w:val="20"/>
              </w:rPr>
            </w:pPr>
          </w:p>
        </w:tc>
        <w:tc>
          <w:tcPr>
            <w:tcW w:w="615" w:type="dxa"/>
          </w:tcPr>
          <w:p w14:paraId="1ACA9797" w14:textId="77777777" w:rsidR="003C2DD3" w:rsidRPr="00903F89" w:rsidRDefault="003C2DD3" w:rsidP="00903F89">
            <w:pPr>
              <w:jc w:val="both"/>
              <w:rPr>
                <w:rFonts w:cs="Arial"/>
                <w:b/>
                <w:sz w:val="20"/>
                <w:szCs w:val="20"/>
                <w:u w:val="single"/>
              </w:rPr>
            </w:pPr>
          </w:p>
        </w:tc>
      </w:tr>
      <w:tr w:rsidR="007422AB" w:rsidRPr="00903F89" w14:paraId="5B219C73" w14:textId="77777777" w:rsidTr="00130787">
        <w:tc>
          <w:tcPr>
            <w:tcW w:w="10538" w:type="dxa"/>
            <w:gridSpan w:val="5"/>
            <w:shd w:val="clear" w:color="auto" w:fill="auto"/>
          </w:tcPr>
          <w:p w14:paraId="783317B6" w14:textId="5FB70BD6" w:rsidR="003C2DD3" w:rsidRPr="00903F89" w:rsidRDefault="003C2DD3" w:rsidP="00903F89">
            <w:pPr>
              <w:jc w:val="both"/>
              <w:rPr>
                <w:rFonts w:eastAsia="Arial" w:cs="Arial"/>
                <w:sz w:val="20"/>
                <w:szCs w:val="20"/>
              </w:rPr>
            </w:pPr>
            <w:r w:rsidRPr="00903F89">
              <w:rPr>
                <w:rFonts w:cs="Arial"/>
                <w:sz w:val="20"/>
                <w:szCs w:val="20"/>
              </w:rPr>
              <w:t>Η πρόνοια του σχετικού άρθρου δύναται να χρηματοδοτήσει δαπάνες ασφαλιστικής κάλυψης της πρακτικής άσκησης και των διπλωματικών εργασιών των φοιτητών σε συγκεκριμένα Τμήματα/πεδία (π.χ. ΒΙΟ).  Δαπάνες εκτίμησης κινδύνου για πενήντα (50) εργαστήρια του Πανεπιστημίου Κύπρου δύναται να καλυφθούν από την πρόνοια του παρόντος άρθρου.</w:t>
            </w:r>
          </w:p>
        </w:tc>
      </w:tr>
      <w:tr w:rsidR="007422AB" w:rsidRPr="00903F89" w14:paraId="592E5B56" w14:textId="77777777" w:rsidTr="00130787">
        <w:tc>
          <w:tcPr>
            <w:tcW w:w="3795" w:type="dxa"/>
            <w:gridSpan w:val="2"/>
          </w:tcPr>
          <w:p w14:paraId="4E014153" w14:textId="77777777" w:rsidR="003C2DD3" w:rsidRPr="00903F89" w:rsidRDefault="003C2DD3" w:rsidP="00903F89">
            <w:pPr>
              <w:jc w:val="both"/>
              <w:rPr>
                <w:rFonts w:cs="Arial"/>
                <w:b/>
                <w:sz w:val="20"/>
                <w:szCs w:val="20"/>
                <w:u w:val="single"/>
              </w:rPr>
            </w:pPr>
          </w:p>
        </w:tc>
        <w:tc>
          <w:tcPr>
            <w:tcW w:w="6128" w:type="dxa"/>
            <w:gridSpan w:val="2"/>
            <w:shd w:val="clear" w:color="auto" w:fill="auto"/>
          </w:tcPr>
          <w:p w14:paraId="2133ED23" w14:textId="26070998" w:rsidR="003C2DD3" w:rsidRPr="00903F89" w:rsidRDefault="003C2DD3" w:rsidP="00903F89">
            <w:pPr>
              <w:tabs>
                <w:tab w:val="left" w:pos="4890"/>
              </w:tabs>
              <w:jc w:val="both"/>
              <w:rPr>
                <w:rFonts w:cs="Arial"/>
                <w:sz w:val="20"/>
                <w:szCs w:val="20"/>
              </w:rPr>
            </w:pPr>
          </w:p>
        </w:tc>
        <w:tc>
          <w:tcPr>
            <w:tcW w:w="615" w:type="dxa"/>
          </w:tcPr>
          <w:p w14:paraId="601D2557" w14:textId="77777777" w:rsidR="003C2DD3" w:rsidRPr="00903F89" w:rsidRDefault="003C2DD3" w:rsidP="00903F89">
            <w:pPr>
              <w:jc w:val="both"/>
              <w:rPr>
                <w:rFonts w:cs="Arial"/>
                <w:b/>
                <w:sz w:val="20"/>
                <w:szCs w:val="20"/>
                <w:u w:val="single"/>
              </w:rPr>
            </w:pPr>
          </w:p>
        </w:tc>
      </w:tr>
      <w:tr w:rsidR="007422AB" w:rsidRPr="00903F89" w14:paraId="62739322" w14:textId="77777777" w:rsidTr="00130787">
        <w:tc>
          <w:tcPr>
            <w:tcW w:w="10538" w:type="dxa"/>
            <w:gridSpan w:val="5"/>
            <w:shd w:val="clear" w:color="auto" w:fill="auto"/>
          </w:tcPr>
          <w:p w14:paraId="19941EF0" w14:textId="2F43181D"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219 –</w:t>
            </w:r>
            <w:r w:rsidRPr="00903F89">
              <w:rPr>
                <w:rFonts w:eastAsia="Arial" w:cs="Arial"/>
                <w:b/>
                <w:bCs/>
                <w:sz w:val="20"/>
                <w:szCs w:val="20"/>
                <w:u w:val="single"/>
                <w:lang w:val="en-US"/>
              </w:rPr>
              <w:t xml:space="preserve"> </w:t>
            </w:r>
            <w:r w:rsidRPr="00903F89">
              <w:rPr>
                <w:rFonts w:cs="Arial"/>
                <w:b/>
                <w:bCs/>
                <w:sz w:val="20"/>
                <w:szCs w:val="20"/>
                <w:u w:val="single"/>
              </w:rPr>
              <w:t>Υπηρεσίες Τηλεπικοινωνιών – €151.300</w:t>
            </w:r>
          </w:p>
        </w:tc>
      </w:tr>
      <w:tr w:rsidR="007422AB" w:rsidRPr="00903F89" w14:paraId="56611C04" w14:textId="77777777" w:rsidTr="00130787">
        <w:tc>
          <w:tcPr>
            <w:tcW w:w="3795" w:type="dxa"/>
            <w:gridSpan w:val="2"/>
          </w:tcPr>
          <w:p w14:paraId="34DD92BD" w14:textId="77777777" w:rsidR="003C2DD3" w:rsidRPr="00903F89" w:rsidRDefault="003C2DD3" w:rsidP="00903F89">
            <w:pPr>
              <w:jc w:val="both"/>
              <w:rPr>
                <w:rFonts w:cs="Arial"/>
                <w:b/>
                <w:sz w:val="20"/>
                <w:szCs w:val="20"/>
                <w:u w:val="single"/>
              </w:rPr>
            </w:pPr>
          </w:p>
        </w:tc>
        <w:tc>
          <w:tcPr>
            <w:tcW w:w="6128" w:type="dxa"/>
            <w:gridSpan w:val="2"/>
            <w:shd w:val="clear" w:color="auto" w:fill="auto"/>
          </w:tcPr>
          <w:p w14:paraId="33533A2C" w14:textId="77777777" w:rsidR="003C2DD3" w:rsidRPr="00903F89" w:rsidRDefault="003C2DD3" w:rsidP="00903F89">
            <w:pPr>
              <w:jc w:val="both"/>
              <w:rPr>
                <w:rFonts w:cs="Arial"/>
                <w:sz w:val="20"/>
                <w:szCs w:val="20"/>
              </w:rPr>
            </w:pPr>
          </w:p>
        </w:tc>
        <w:tc>
          <w:tcPr>
            <w:tcW w:w="615" w:type="dxa"/>
          </w:tcPr>
          <w:p w14:paraId="1AEB77D6" w14:textId="77777777" w:rsidR="003C2DD3" w:rsidRPr="00903F89" w:rsidRDefault="003C2DD3" w:rsidP="00903F89">
            <w:pPr>
              <w:jc w:val="both"/>
              <w:rPr>
                <w:rFonts w:cs="Arial"/>
                <w:b/>
                <w:sz w:val="20"/>
                <w:szCs w:val="20"/>
                <w:u w:val="single"/>
              </w:rPr>
            </w:pPr>
          </w:p>
        </w:tc>
      </w:tr>
      <w:tr w:rsidR="007422AB" w:rsidRPr="00903F89" w14:paraId="3AAE1479" w14:textId="77777777" w:rsidTr="00130787">
        <w:tc>
          <w:tcPr>
            <w:tcW w:w="10538" w:type="dxa"/>
            <w:gridSpan w:val="5"/>
            <w:shd w:val="clear" w:color="auto" w:fill="auto"/>
          </w:tcPr>
          <w:p w14:paraId="07A40706" w14:textId="7B095EED" w:rsidR="003C2DD3" w:rsidRPr="00903F89" w:rsidRDefault="003C2DD3" w:rsidP="00903F89">
            <w:pPr>
              <w:jc w:val="both"/>
              <w:rPr>
                <w:rFonts w:eastAsia="Arial" w:cs="Arial"/>
                <w:sz w:val="20"/>
                <w:szCs w:val="20"/>
              </w:rPr>
            </w:pPr>
            <w:r w:rsidRPr="00903F89">
              <w:rPr>
                <w:rFonts w:cs="Arial"/>
                <w:sz w:val="20"/>
                <w:szCs w:val="20"/>
              </w:rPr>
              <w:t>Η πρόνοια αυτή προορίζεται να καλύψει δαπάνες για τηλεφωνικές κλήσεις, συνδέσεις νέων τηλεφωνικών γραμμών, κλήσεις τηλεομοιότυπου, έξοδα διαδικτύου, συνδρομές σχετικές με τις υπηρεσίες τηλεπικοινωνιών και διαδικτύου όπως για παράδειγμα στον Οργανισμό RIPE -</w:t>
            </w:r>
            <w:r w:rsidRPr="00903F89">
              <w:rPr>
                <w:rFonts w:eastAsia="Arial" w:cs="Arial"/>
                <w:sz w:val="20"/>
                <w:szCs w:val="20"/>
              </w:rPr>
              <w:t xml:space="preserve"> </w:t>
            </w:r>
            <w:proofErr w:type="spellStart"/>
            <w:r w:rsidRPr="00903F89">
              <w:rPr>
                <w:rFonts w:cs="Arial"/>
                <w:sz w:val="20"/>
                <w:szCs w:val="20"/>
              </w:rPr>
              <w:t>Regional</w:t>
            </w:r>
            <w:proofErr w:type="spellEnd"/>
            <w:r w:rsidRPr="00903F89">
              <w:rPr>
                <w:rFonts w:cs="Arial"/>
                <w:sz w:val="20"/>
                <w:szCs w:val="20"/>
              </w:rPr>
              <w:t xml:space="preserve"> Internet </w:t>
            </w:r>
            <w:proofErr w:type="spellStart"/>
            <w:r w:rsidRPr="00903F89">
              <w:rPr>
                <w:rFonts w:cs="Arial"/>
                <w:sz w:val="20"/>
                <w:szCs w:val="20"/>
              </w:rPr>
              <w:t>Registry</w:t>
            </w:r>
            <w:proofErr w:type="spellEnd"/>
            <w:r w:rsidRPr="00903F89">
              <w:rPr>
                <w:rFonts w:cs="Arial"/>
                <w:sz w:val="20"/>
                <w:szCs w:val="20"/>
              </w:rPr>
              <w:t xml:space="preserve"> for Europe, </w:t>
            </w:r>
            <w:proofErr w:type="spellStart"/>
            <w:r w:rsidRPr="00903F89">
              <w:rPr>
                <w:rFonts w:cs="Arial"/>
                <w:sz w:val="20"/>
                <w:szCs w:val="20"/>
              </w:rPr>
              <w:t>ευρυζωνικές</w:t>
            </w:r>
            <w:proofErr w:type="spellEnd"/>
            <w:r w:rsidRPr="00903F89">
              <w:rPr>
                <w:rFonts w:cs="Arial"/>
                <w:sz w:val="20"/>
                <w:szCs w:val="20"/>
              </w:rPr>
              <w:t xml:space="preserve"> συνδέσεις, ανάπτυξη δικτύου οπτικών ινών για διασύνδεση κτηρίων καθώς και τις πάγιες χρεώσεις των τηλεφωνικών και μισθωμένων τηλεφωνικών γραμμών.</w:t>
            </w:r>
          </w:p>
        </w:tc>
      </w:tr>
      <w:tr w:rsidR="007422AB" w:rsidRPr="00903F89" w14:paraId="37FD89FA" w14:textId="77777777" w:rsidTr="00130787">
        <w:tc>
          <w:tcPr>
            <w:tcW w:w="10538" w:type="dxa"/>
            <w:gridSpan w:val="5"/>
            <w:shd w:val="clear" w:color="auto" w:fill="auto"/>
          </w:tcPr>
          <w:p w14:paraId="0908F722" w14:textId="77777777" w:rsidR="003C2DD3" w:rsidRPr="00903F89" w:rsidRDefault="003C2DD3" w:rsidP="00903F89">
            <w:pPr>
              <w:jc w:val="both"/>
              <w:rPr>
                <w:rFonts w:cs="Arial"/>
                <w:sz w:val="20"/>
                <w:szCs w:val="20"/>
              </w:rPr>
            </w:pPr>
          </w:p>
        </w:tc>
      </w:tr>
      <w:tr w:rsidR="007422AB" w:rsidRPr="00903F89" w14:paraId="2C5B87D0" w14:textId="77777777" w:rsidTr="00130787">
        <w:tc>
          <w:tcPr>
            <w:tcW w:w="10538" w:type="dxa"/>
            <w:gridSpan w:val="5"/>
            <w:shd w:val="clear" w:color="auto" w:fill="auto"/>
          </w:tcPr>
          <w:p w14:paraId="7535CF38" w14:textId="536860A2" w:rsidR="003C2DD3" w:rsidRPr="00903F89" w:rsidRDefault="003C2DD3" w:rsidP="00903F89">
            <w:pPr>
              <w:jc w:val="both"/>
              <w:rPr>
                <w:rFonts w:cs="Arial"/>
                <w:sz w:val="20"/>
                <w:szCs w:val="20"/>
              </w:rPr>
            </w:pPr>
            <w:r w:rsidRPr="00903F89">
              <w:rPr>
                <w:rFonts w:cs="Arial"/>
                <w:sz w:val="20"/>
                <w:szCs w:val="20"/>
              </w:rPr>
              <w:t xml:space="preserve">Η πρόνοια αυτή προορίζεται να καλύψει δαπάνες για τηλεφωνικές κλήσεις, συνδέσεις νέων τηλεφωνικών γραμμών, κλήσεις τηλεομοιότυπου, </w:t>
            </w:r>
            <w:r w:rsidRPr="00686014">
              <w:rPr>
                <w:rFonts w:cs="Arial"/>
                <w:sz w:val="20"/>
                <w:szCs w:val="20"/>
              </w:rPr>
              <w:t>συνδρομές κινητής τηλεφωνίας, έξοδα υπηρεσιών εγκατάστασης τηλεπικοινωνιακών συνδέσεων,</w:t>
            </w:r>
            <w:r w:rsidRPr="00903F89">
              <w:rPr>
                <w:rFonts w:cs="Arial"/>
                <w:sz w:val="20"/>
                <w:szCs w:val="20"/>
              </w:rPr>
              <w:t xml:space="preserve"> έξοδα διαδικτύου, συνδρομές σχετικές με τις υπηρεσίες τηλεπικοινωνιών και διαδικτύου όπως για παράδειγμα στον Οργανισμό RIPE - </w:t>
            </w:r>
            <w:proofErr w:type="spellStart"/>
            <w:r w:rsidRPr="00903F89">
              <w:rPr>
                <w:rFonts w:cs="Arial"/>
                <w:sz w:val="20"/>
                <w:szCs w:val="20"/>
              </w:rPr>
              <w:t>Regional</w:t>
            </w:r>
            <w:proofErr w:type="spellEnd"/>
            <w:r w:rsidRPr="00903F89">
              <w:rPr>
                <w:rFonts w:cs="Arial"/>
                <w:sz w:val="20"/>
                <w:szCs w:val="20"/>
              </w:rPr>
              <w:t xml:space="preserve"> Internet </w:t>
            </w:r>
            <w:proofErr w:type="spellStart"/>
            <w:r w:rsidRPr="00903F89">
              <w:rPr>
                <w:rFonts w:cs="Arial"/>
                <w:sz w:val="20"/>
                <w:szCs w:val="20"/>
              </w:rPr>
              <w:t>Registry</w:t>
            </w:r>
            <w:proofErr w:type="spellEnd"/>
            <w:r w:rsidRPr="00903F89">
              <w:rPr>
                <w:rFonts w:cs="Arial"/>
                <w:sz w:val="20"/>
                <w:szCs w:val="20"/>
              </w:rPr>
              <w:t xml:space="preserve"> for Europe, </w:t>
            </w:r>
            <w:proofErr w:type="spellStart"/>
            <w:r w:rsidRPr="00903F89">
              <w:rPr>
                <w:rFonts w:cs="Arial"/>
                <w:sz w:val="20"/>
                <w:szCs w:val="20"/>
              </w:rPr>
              <w:t>ευρυζωνικές</w:t>
            </w:r>
            <w:proofErr w:type="spellEnd"/>
            <w:r w:rsidRPr="00903F89">
              <w:rPr>
                <w:rFonts w:cs="Arial"/>
                <w:sz w:val="20"/>
                <w:szCs w:val="20"/>
              </w:rPr>
              <w:t xml:space="preserve"> συνδέσεις, ανάπτυξη δικτύου οπτικών ινών για διασύνδεση κτηρίων καθώς και τις πάγιες χρεώσεις των τηλεφωνικών και μισθωμένων τηλεφωνικών γραμμών.</w:t>
            </w:r>
          </w:p>
        </w:tc>
      </w:tr>
      <w:tr w:rsidR="007422AB" w:rsidRPr="00903F89" w14:paraId="08048A99" w14:textId="77777777" w:rsidTr="00130787">
        <w:tc>
          <w:tcPr>
            <w:tcW w:w="3795" w:type="dxa"/>
            <w:gridSpan w:val="2"/>
          </w:tcPr>
          <w:p w14:paraId="027F2B07" w14:textId="77777777" w:rsidR="003C2DD3" w:rsidRPr="00903F89" w:rsidRDefault="003C2DD3" w:rsidP="00903F89">
            <w:pPr>
              <w:jc w:val="both"/>
              <w:rPr>
                <w:rFonts w:cs="Arial"/>
                <w:b/>
                <w:sz w:val="20"/>
                <w:szCs w:val="20"/>
                <w:u w:val="single"/>
              </w:rPr>
            </w:pPr>
          </w:p>
        </w:tc>
        <w:tc>
          <w:tcPr>
            <w:tcW w:w="6128" w:type="dxa"/>
            <w:gridSpan w:val="2"/>
            <w:shd w:val="clear" w:color="auto" w:fill="auto"/>
          </w:tcPr>
          <w:p w14:paraId="63A25640" w14:textId="77777777" w:rsidR="003C2DD3" w:rsidRPr="00903F89" w:rsidRDefault="003C2DD3" w:rsidP="00903F89">
            <w:pPr>
              <w:jc w:val="both"/>
              <w:rPr>
                <w:rFonts w:cs="Arial"/>
                <w:sz w:val="20"/>
                <w:szCs w:val="20"/>
              </w:rPr>
            </w:pPr>
          </w:p>
        </w:tc>
        <w:tc>
          <w:tcPr>
            <w:tcW w:w="615" w:type="dxa"/>
          </w:tcPr>
          <w:p w14:paraId="65D3C39F" w14:textId="77777777" w:rsidR="003C2DD3" w:rsidRPr="00903F89" w:rsidRDefault="003C2DD3" w:rsidP="00903F89">
            <w:pPr>
              <w:jc w:val="both"/>
              <w:rPr>
                <w:rFonts w:cs="Arial"/>
                <w:b/>
                <w:sz w:val="20"/>
                <w:szCs w:val="20"/>
                <w:u w:val="single"/>
              </w:rPr>
            </w:pPr>
          </w:p>
        </w:tc>
      </w:tr>
      <w:tr w:rsidR="007422AB" w:rsidRPr="00903F89" w14:paraId="2A63C2BD" w14:textId="77777777" w:rsidTr="00130787">
        <w:tc>
          <w:tcPr>
            <w:tcW w:w="10538" w:type="dxa"/>
            <w:gridSpan w:val="5"/>
            <w:shd w:val="clear" w:color="auto" w:fill="auto"/>
          </w:tcPr>
          <w:p w14:paraId="43DDADDD" w14:textId="099F5CE3" w:rsidR="003C2DD3" w:rsidRPr="00903F89" w:rsidRDefault="003C2DD3" w:rsidP="00903F89">
            <w:pPr>
              <w:jc w:val="both"/>
              <w:rPr>
                <w:rFonts w:eastAsia="Arial" w:cs="Arial"/>
                <w:b/>
                <w:bCs/>
                <w:sz w:val="20"/>
                <w:szCs w:val="20"/>
                <w:u w:val="single"/>
              </w:rPr>
            </w:pPr>
            <w:r w:rsidRPr="00903F89">
              <w:rPr>
                <w:rFonts w:cs="Arial"/>
                <w:b/>
                <w:bCs/>
                <w:sz w:val="20"/>
                <w:szCs w:val="20"/>
                <w:u w:val="single"/>
              </w:rPr>
              <w:t xml:space="preserve">Άρθρο 220 </w:t>
            </w:r>
            <w:r w:rsidRPr="00903F89">
              <w:rPr>
                <w:rFonts w:eastAsia="Arial" w:cs="Arial"/>
                <w:b/>
                <w:bCs/>
                <w:sz w:val="20"/>
                <w:szCs w:val="20"/>
                <w:u w:val="single"/>
              </w:rPr>
              <w:t>–</w:t>
            </w:r>
            <w:r w:rsidRPr="00903F89">
              <w:rPr>
                <w:rFonts w:cs="Arial"/>
                <w:b/>
                <w:bCs/>
                <w:sz w:val="20"/>
                <w:szCs w:val="20"/>
                <w:u w:val="single"/>
              </w:rPr>
              <w:t xml:space="preserve"> Βιβλιοθήκη (Διοίκηση), Εφημερίδες και Περιοδικά – €1.300</w:t>
            </w:r>
          </w:p>
        </w:tc>
      </w:tr>
      <w:tr w:rsidR="007422AB" w:rsidRPr="00903F89" w14:paraId="05E783CD" w14:textId="77777777" w:rsidTr="00130787">
        <w:tc>
          <w:tcPr>
            <w:tcW w:w="3795" w:type="dxa"/>
            <w:gridSpan w:val="2"/>
          </w:tcPr>
          <w:p w14:paraId="205462FA" w14:textId="77777777" w:rsidR="003C2DD3" w:rsidRPr="00903F89" w:rsidRDefault="003C2DD3" w:rsidP="00903F89">
            <w:pPr>
              <w:jc w:val="both"/>
              <w:rPr>
                <w:rFonts w:cs="Arial"/>
                <w:b/>
                <w:sz w:val="20"/>
                <w:szCs w:val="20"/>
                <w:u w:val="single"/>
              </w:rPr>
            </w:pPr>
          </w:p>
        </w:tc>
        <w:tc>
          <w:tcPr>
            <w:tcW w:w="6128" w:type="dxa"/>
            <w:gridSpan w:val="2"/>
            <w:shd w:val="clear" w:color="auto" w:fill="auto"/>
          </w:tcPr>
          <w:p w14:paraId="6065E197" w14:textId="77777777" w:rsidR="003C2DD3" w:rsidRPr="00903F89" w:rsidRDefault="003C2DD3" w:rsidP="00903F89">
            <w:pPr>
              <w:jc w:val="both"/>
              <w:rPr>
                <w:rFonts w:cs="Arial"/>
                <w:sz w:val="20"/>
                <w:szCs w:val="20"/>
              </w:rPr>
            </w:pPr>
          </w:p>
        </w:tc>
        <w:tc>
          <w:tcPr>
            <w:tcW w:w="615" w:type="dxa"/>
          </w:tcPr>
          <w:p w14:paraId="3F8C56B7" w14:textId="77777777" w:rsidR="003C2DD3" w:rsidRPr="00903F89" w:rsidRDefault="003C2DD3" w:rsidP="00903F89">
            <w:pPr>
              <w:jc w:val="both"/>
              <w:rPr>
                <w:rFonts w:cs="Arial"/>
                <w:b/>
                <w:sz w:val="20"/>
                <w:szCs w:val="20"/>
                <w:u w:val="single"/>
              </w:rPr>
            </w:pPr>
          </w:p>
        </w:tc>
      </w:tr>
      <w:tr w:rsidR="007422AB" w:rsidRPr="00903F89" w14:paraId="05559BAD" w14:textId="77777777" w:rsidTr="00130787">
        <w:tc>
          <w:tcPr>
            <w:tcW w:w="10538" w:type="dxa"/>
            <w:gridSpan w:val="5"/>
            <w:shd w:val="clear" w:color="auto" w:fill="auto"/>
          </w:tcPr>
          <w:p w14:paraId="13FA532D" w14:textId="710F9DF5" w:rsidR="003C2DD3" w:rsidRPr="00903F89" w:rsidRDefault="003C2DD3" w:rsidP="00903F89">
            <w:pPr>
              <w:jc w:val="both"/>
              <w:rPr>
                <w:rFonts w:cs="Arial"/>
                <w:sz w:val="20"/>
                <w:szCs w:val="20"/>
              </w:rPr>
            </w:pPr>
            <w:r w:rsidRPr="00903F89">
              <w:rPr>
                <w:rFonts w:cs="Arial"/>
                <w:sz w:val="20"/>
                <w:szCs w:val="20"/>
              </w:rPr>
              <w:t>Η πρόνοια προορίζεται να καλύψει ανάγκες για αγορά βιβλίων, εφημερίδων και περιοδικών για σκοπούς του κεντρικού αρχείου, της υποστήριξης των εργασιών των Διοικητικών Υπηρεσιών και της Πρυτανείας.</w:t>
            </w:r>
          </w:p>
        </w:tc>
      </w:tr>
      <w:tr w:rsidR="007422AB" w:rsidRPr="00903F89" w14:paraId="1B0BA539" w14:textId="77777777" w:rsidTr="00130787">
        <w:tc>
          <w:tcPr>
            <w:tcW w:w="3795" w:type="dxa"/>
            <w:gridSpan w:val="2"/>
          </w:tcPr>
          <w:p w14:paraId="7CC5F478" w14:textId="77777777" w:rsidR="003C2DD3" w:rsidRPr="00903F89" w:rsidRDefault="003C2DD3" w:rsidP="00903F89">
            <w:pPr>
              <w:jc w:val="both"/>
              <w:rPr>
                <w:rFonts w:cs="Arial"/>
                <w:b/>
                <w:sz w:val="20"/>
                <w:szCs w:val="20"/>
                <w:u w:val="single"/>
              </w:rPr>
            </w:pPr>
          </w:p>
        </w:tc>
        <w:tc>
          <w:tcPr>
            <w:tcW w:w="6128" w:type="dxa"/>
            <w:gridSpan w:val="2"/>
          </w:tcPr>
          <w:p w14:paraId="51408BB7" w14:textId="77777777" w:rsidR="003C2DD3" w:rsidRPr="00903F89" w:rsidRDefault="003C2DD3" w:rsidP="00903F89">
            <w:pPr>
              <w:tabs>
                <w:tab w:val="left" w:pos="1590"/>
              </w:tabs>
              <w:jc w:val="both"/>
              <w:rPr>
                <w:rFonts w:cs="Arial"/>
                <w:sz w:val="20"/>
                <w:szCs w:val="20"/>
              </w:rPr>
            </w:pPr>
          </w:p>
        </w:tc>
        <w:tc>
          <w:tcPr>
            <w:tcW w:w="615" w:type="dxa"/>
          </w:tcPr>
          <w:p w14:paraId="343CC984" w14:textId="77777777" w:rsidR="003C2DD3" w:rsidRPr="00903F89" w:rsidRDefault="003C2DD3" w:rsidP="00903F89">
            <w:pPr>
              <w:jc w:val="both"/>
              <w:rPr>
                <w:rFonts w:cs="Arial"/>
                <w:b/>
                <w:sz w:val="20"/>
                <w:szCs w:val="20"/>
                <w:u w:val="single"/>
              </w:rPr>
            </w:pPr>
          </w:p>
        </w:tc>
      </w:tr>
      <w:tr w:rsidR="007422AB" w:rsidRPr="00903F89" w14:paraId="22A57D3B" w14:textId="77777777" w:rsidTr="00130787">
        <w:tc>
          <w:tcPr>
            <w:tcW w:w="10538" w:type="dxa"/>
            <w:gridSpan w:val="5"/>
          </w:tcPr>
          <w:p w14:paraId="3CC6688B" w14:textId="780C062C"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221 – Αγορά Υπηρεσιών – €469.000</w:t>
            </w:r>
          </w:p>
        </w:tc>
      </w:tr>
      <w:tr w:rsidR="007422AB" w:rsidRPr="00903F89" w14:paraId="7F9C68B3" w14:textId="77777777" w:rsidTr="00130787">
        <w:tc>
          <w:tcPr>
            <w:tcW w:w="10538" w:type="dxa"/>
            <w:gridSpan w:val="5"/>
          </w:tcPr>
          <w:p w14:paraId="618327D8" w14:textId="77777777" w:rsidR="003C2DD3" w:rsidRPr="00903F89" w:rsidRDefault="003C2DD3" w:rsidP="00903F89">
            <w:pPr>
              <w:jc w:val="both"/>
              <w:rPr>
                <w:rFonts w:cs="Arial"/>
                <w:b/>
                <w:sz w:val="20"/>
                <w:szCs w:val="20"/>
                <w:u w:val="single"/>
              </w:rPr>
            </w:pPr>
          </w:p>
        </w:tc>
      </w:tr>
      <w:tr w:rsidR="007422AB" w:rsidRPr="00903F89" w14:paraId="7B976A26" w14:textId="77777777" w:rsidTr="00130787">
        <w:tc>
          <w:tcPr>
            <w:tcW w:w="10538" w:type="dxa"/>
            <w:gridSpan w:val="5"/>
          </w:tcPr>
          <w:p w14:paraId="70BC1C52" w14:textId="678DEAE0" w:rsidR="003C2DD3" w:rsidRPr="00903F89" w:rsidRDefault="003C2DD3" w:rsidP="00903F89">
            <w:pPr>
              <w:jc w:val="both"/>
              <w:rPr>
                <w:rFonts w:eastAsia="Arial" w:cs="Arial"/>
                <w:b/>
                <w:bCs/>
                <w:sz w:val="20"/>
                <w:szCs w:val="20"/>
                <w:u w:val="single"/>
              </w:rPr>
            </w:pPr>
            <w:r w:rsidRPr="00903F89">
              <w:rPr>
                <w:rFonts w:cs="Arial"/>
                <w:sz w:val="20"/>
                <w:szCs w:val="20"/>
              </w:rPr>
              <w:t xml:space="preserve">Δαπάνες που αφορούν αποζημιώσεις αγοράς υπηρεσιών και εργασιών από τρίτους (π.χ. αγορά υπηρεσιών για τη φύλαξη και </w:t>
            </w:r>
            <w:proofErr w:type="spellStart"/>
            <w:r w:rsidRPr="00903F89">
              <w:rPr>
                <w:rFonts w:cs="Arial"/>
                <w:sz w:val="20"/>
                <w:szCs w:val="20"/>
              </w:rPr>
              <w:t>ψηφιοποίηση</w:t>
            </w:r>
            <w:proofErr w:type="spellEnd"/>
            <w:r w:rsidRPr="00903F89">
              <w:rPr>
                <w:rFonts w:cs="Arial"/>
                <w:sz w:val="20"/>
                <w:szCs w:val="20"/>
              </w:rPr>
              <w:t xml:space="preserve"> αρχείων, καταγραφή περιουσιακών στοιχείων, ανάθεση υπηρεσιών για </w:t>
            </w:r>
            <w:proofErr w:type="spellStart"/>
            <w:r w:rsidRPr="00903F89">
              <w:rPr>
                <w:rFonts w:cs="Arial"/>
                <w:sz w:val="20"/>
                <w:szCs w:val="20"/>
              </w:rPr>
              <w:t>call</w:t>
            </w:r>
            <w:proofErr w:type="spellEnd"/>
            <w:r w:rsidRPr="00903F89">
              <w:rPr>
                <w:rFonts w:cs="Arial"/>
                <w:sz w:val="20"/>
                <w:szCs w:val="20"/>
              </w:rPr>
              <w:t xml:space="preserve"> </w:t>
            </w:r>
            <w:proofErr w:type="spellStart"/>
            <w:r w:rsidRPr="00903F89">
              <w:rPr>
                <w:rFonts w:cs="Arial"/>
                <w:sz w:val="20"/>
                <w:szCs w:val="20"/>
              </w:rPr>
              <w:t>centers</w:t>
            </w:r>
            <w:proofErr w:type="spellEnd"/>
            <w:r w:rsidRPr="00903F89">
              <w:rPr>
                <w:rFonts w:cs="Arial"/>
                <w:sz w:val="20"/>
                <w:szCs w:val="20"/>
              </w:rPr>
              <w:t xml:space="preserve">, κ.ά.) δύναται να διενεργηθούν έναντι του παρόντος άρθρου.  </w:t>
            </w:r>
          </w:p>
        </w:tc>
      </w:tr>
      <w:tr w:rsidR="007422AB" w:rsidRPr="00903F89" w14:paraId="1189D738" w14:textId="77777777" w:rsidTr="00130787">
        <w:tc>
          <w:tcPr>
            <w:tcW w:w="10538" w:type="dxa"/>
            <w:gridSpan w:val="5"/>
          </w:tcPr>
          <w:p w14:paraId="723FB82F" w14:textId="77777777" w:rsidR="003C2DD3" w:rsidRPr="00903F89" w:rsidRDefault="003C2DD3" w:rsidP="00903F89">
            <w:pPr>
              <w:jc w:val="both"/>
              <w:rPr>
                <w:rFonts w:cs="Arial"/>
                <w:sz w:val="20"/>
                <w:szCs w:val="20"/>
              </w:rPr>
            </w:pPr>
          </w:p>
        </w:tc>
      </w:tr>
      <w:tr w:rsidR="007422AB" w:rsidRPr="00903F89" w14:paraId="30C41E5A" w14:textId="77777777" w:rsidTr="00130787">
        <w:tc>
          <w:tcPr>
            <w:tcW w:w="10538" w:type="dxa"/>
            <w:gridSpan w:val="5"/>
          </w:tcPr>
          <w:p w14:paraId="04BBB966" w14:textId="678EFC4D" w:rsidR="003C2DD3" w:rsidRPr="00903F89" w:rsidRDefault="003C2DD3" w:rsidP="00903F89">
            <w:pPr>
              <w:jc w:val="both"/>
              <w:rPr>
                <w:rFonts w:cs="Arial"/>
                <w:sz w:val="20"/>
                <w:szCs w:val="20"/>
              </w:rPr>
            </w:pPr>
            <w:r w:rsidRPr="00903F89">
              <w:rPr>
                <w:rFonts w:cs="Arial"/>
                <w:sz w:val="20"/>
                <w:szCs w:val="20"/>
              </w:rPr>
              <w:t>Η αύξηση προέκυψε λόγω της συμπερίληψης πρόνοιας ύψους €150.000 για την κάλυψη ειλημμένων υποχρεώσεων διδασκόντων στο Πρόγραμμα Ανάπτυξης Μουσικών Ταλέντων.  Από το 2022, οι πρόνοιες των επιμέρους άρθρων του Προϋπολογισμού του Πανεπιστημίου Κύπρου (Κατηγορίες 100-400), καλύπτουν και δαπάνες του εν λόγω Προγράμματος ανάλογα με τη φύση των δαπανών του, ενόψει της κατάργησης του Άρθρου 357 «Πρόγραμμα Ανάπτυξης Μουσικών Ταλέντων».</w:t>
            </w:r>
          </w:p>
        </w:tc>
      </w:tr>
      <w:tr w:rsidR="007422AB" w:rsidRPr="00903F89" w14:paraId="21A8CB5A" w14:textId="77777777" w:rsidTr="00130787">
        <w:tc>
          <w:tcPr>
            <w:tcW w:w="3795" w:type="dxa"/>
            <w:gridSpan w:val="2"/>
          </w:tcPr>
          <w:p w14:paraId="6BFF0FA3" w14:textId="32025997" w:rsidR="003C2DD3" w:rsidRPr="00903F89" w:rsidRDefault="003C2DD3" w:rsidP="00903F89">
            <w:pPr>
              <w:jc w:val="both"/>
              <w:rPr>
                <w:rFonts w:cs="Arial"/>
                <w:b/>
                <w:sz w:val="20"/>
                <w:szCs w:val="20"/>
                <w:u w:val="single"/>
              </w:rPr>
            </w:pPr>
          </w:p>
        </w:tc>
        <w:tc>
          <w:tcPr>
            <w:tcW w:w="6128" w:type="dxa"/>
            <w:gridSpan w:val="2"/>
          </w:tcPr>
          <w:p w14:paraId="3307C691" w14:textId="77777777" w:rsidR="003C2DD3" w:rsidRPr="00903F89" w:rsidRDefault="003C2DD3" w:rsidP="00903F89">
            <w:pPr>
              <w:jc w:val="both"/>
              <w:rPr>
                <w:rFonts w:cs="Arial"/>
                <w:b/>
                <w:sz w:val="20"/>
                <w:szCs w:val="20"/>
                <w:u w:val="single"/>
              </w:rPr>
            </w:pPr>
          </w:p>
        </w:tc>
        <w:tc>
          <w:tcPr>
            <w:tcW w:w="615" w:type="dxa"/>
          </w:tcPr>
          <w:p w14:paraId="4C59874F" w14:textId="77777777" w:rsidR="003C2DD3" w:rsidRPr="00903F89" w:rsidRDefault="003C2DD3" w:rsidP="00903F89">
            <w:pPr>
              <w:jc w:val="both"/>
              <w:rPr>
                <w:rFonts w:cs="Arial"/>
                <w:b/>
                <w:sz w:val="20"/>
                <w:szCs w:val="20"/>
                <w:u w:val="single"/>
              </w:rPr>
            </w:pPr>
          </w:p>
        </w:tc>
      </w:tr>
      <w:tr w:rsidR="007422AB" w:rsidRPr="00903F89" w14:paraId="4E454836" w14:textId="77777777" w:rsidTr="00130787">
        <w:tc>
          <w:tcPr>
            <w:tcW w:w="10538" w:type="dxa"/>
            <w:gridSpan w:val="5"/>
          </w:tcPr>
          <w:p w14:paraId="38E1ECC6" w14:textId="02F267A6"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222 – Διάφορα – €143.400</w:t>
            </w:r>
          </w:p>
        </w:tc>
      </w:tr>
      <w:tr w:rsidR="007422AB" w:rsidRPr="00903F89" w14:paraId="4BAE74F4" w14:textId="77777777" w:rsidTr="00130787">
        <w:tc>
          <w:tcPr>
            <w:tcW w:w="3795" w:type="dxa"/>
            <w:gridSpan w:val="2"/>
          </w:tcPr>
          <w:p w14:paraId="317D9D44" w14:textId="6D692A2C" w:rsidR="003C2DD3" w:rsidRPr="00903F89" w:rsidRDefault="003C2DD3" w:rsidP="00903F89">
            <w:pPr>
              <w:jc w:val="both"/>
              <w:rPr>
                <w:rFonts w:cs="Arial"/>
                <w:b/>
                <w:sz w:val="20"/>
                <w:szCs w:val="20"/>
                <w:u w:val="single"/>
              </w:rPr>
            </w:pPr>
          </w:p>
        </w:tc>
        <w:tc>
          <w:tcPr>
            <w:tcW w:w="6128" w:type="dxa"/>
            <w:gridSpan w:val="2"/>
          </w:tcPr>
          <w:p w14:paraId="3B06FE57" w14:textId="77777777" w:rsidR="003C2DD3" w:rsidRPr="00903F89" w:rsidRDefault="003C2DD3" w:rsidP="00903F89">
            <w:pPr>
              <w:jc w:val="both"/>
              <w:rPr>
                <w:rFonts w:cs="Arial"/>
                <w:sz w:val="20"/>
                <w:szCs w:val="20"/>
              </w:rPr>
            </w:pPr>
          </w:p>
        </w:tc>
        <w:tc>
          <w:tcPr>
            <w:tcW w:w="615" w:type="dxa"/>
          </w:tcPr>
          <w:p w14:paraId="165811C5" w14:textId="77777777" w:rsidR="003C2DD3" w:rsidRPr="00903F89" w:rsidRDefault="003C2DD3" w:rsidP="00903F89">
            <w:pPr>
              <w:jc w:val="both"/>
              <w:rPr>
                <w:rFonts w:cs="Arial"/>
                <w:b/>
                <w:sz w:val="20"/>
                <w:szCs w:val="20"/>
                <w:u w:val="single"/>
              </w:rPr>
            </w:pPr>
          </w:p>
        </w:tc>
      </w:tr>
      <w:tr w:rsidR="007422AB" w:rsidRPr="00903F89" w14:paraId="026B5D03" w14:textId="77777777" w:rsidTr="00130787">
        <w:tc>
          <w:tcPr>
            <w:tcW w:w="10538" w:type="dxa"/>
            <w:gridSpan w:val="5"/>
          </w:tcPr>
          <w:p w14:paraId="379C4E0F" w14:textId="64987FC8" w:rsidR="003C2DD3" w:rsidRPr="00903F89" w:rsidRDefault="003C2DD3" w:rsidP="00903F89">
            <w:pPr>
              <w:jc w:val="both"/>
              <w:rPr>
                <w:rFonts w:eastAsia="Arial" w:cs="Arial"/>
                <w:b/>
                <w:bCs/>
                <w:sz w:val="20"/>
                <w:szCs w:val="20"/>
                <w:u w:val="single"/>
              </w:rPr>
            </w:pPr>
            <w:r w:rsidRPr="00903F89">
              <w:rPr>
                <w:rFonts w:cs="Arial"/>
                <w:sz w:val="20"/>
                <w:szCs w:val="20"/>
              </w:rPr>
              <w:t>Το ποσό αυτό προορίζεται να καλύψει διάφορες λειτουργικές δαπάνες που δεν εμπίπτουν στα Άρθρα 201 – 221, συμπεριλαμβανομένων και των τραπεζικών εξόδων για έκδοση επιταγών σε ξένο νόμισμα ή/και άλλων τραπεζικών εξόδων.</w:t>
            </w:r>
          </w:p>
        </w:tc>
      </w:tr>
      <w:tr w:rsidR="00B1212B" w:rsidRPr="00903F89" w14:paraId="4F8D560F" w14:textId="77777777" w:rsidTr="00130787">
        <w:tc>
          <w:tcPr>
            <w:tcW w:w="10538" w:type="dxa"/>
            <w:gridSpan w:val="5"/>
          </w:tcPr>
          <w:p w14:paraId="147B0C23" w14:textId="77777777" w:rsidR="00B1212B" w:rsidRPr="00903F89" w:rsidRDefault="00B1212B" w:rsidP="00903F89">
            <w:pPr>
              <w:jc w:val="both"/>
              <w:rPr>
                <w:rFonts w:cs="Arial"/>
                <w:sz w:val="20"/>
                <w:szCs w:val="20"/>
              </w:rPr>
            </w:pPr>
          </w:p>
        </w:tc>
      </w:tr>
      <w:tr w:rsidR="007422AB" w:rsidRPr="00903F89" w14:paraId="74308A65" w14:textId="77777777" w:rsidTr="00130787">
        <w:tc>
          <w:tcPr>
            <w:tcW w:w="10538" w:type="dxa"/>
            <w:gridSpan w:val="5"/>
          </w:tcPr>
          <w:p w14:paraId="27E76C40" w14:textId="3EFC1916" w:rsidR="003C2DD3" w:rsidRPr="00903F89" w:rsidRDefault="003C2DD3" w:rsidP="00903F89">
            <w:pPr>
              <w:jc w:val="both"/>
              <w:rPr>
                <w:rFonts w:eastAsia="Arial" w:cs="Arial"/>
                <w:b/>
                <w:bCs/>
                <w:sz w:val="20"/>
                <w:szCs w:val="20"/>
                <w:u w:val="single"/>
              </w:rPr>
            </w:pPr>
            <w:r w:rsidRPr="00903F89">
              <w:rPr>
                <w:rFonts w:cs="Arial"/>
                <w:b/>
                <w:bCs/>
                <w:sz w:val="20"/>
                <w:szCs w:val="20"/>
                <w:u w:val="single"/>
              </w:rPr>
              <w:t xml:space="preserve">Άρθρο 223 </w:t>
            </w:r>
            <w:r w:rsidRPr="00903F89">
              <w:rPr>
                <w:rFonts w:eastAsia="Arial" w:cs="Arial"/>
                <w:b/>
                <w:bCs/>
                <w:sz w:val="20"/>
                <w:szCs w:val="20"/>
                <w:u w:val="single"/>
              </w:rPr>
              <w:t>–</w:t>
            </w:r>
            <w:r w:rsidRPr="00903F89">
              <w:rPr>
                <w:rFonts w:cs="Arial"/>
                <w:b/>
                <w:bCs/>
                <w:sz w:val="20"/>
                <w:szCs w:val="20"/>
                <w:u w:val="single"/>
              </w:rPr>
              <w:t xml:space="preserve"> Διαρθρωτικά Προγράμματα και Σχέδια </w:t>
            </w:r>
            <w:r w:rsidRPr="00903F89">
              <w:rPr>
                <w:rFonts w:eastAsia="Arial" w:cs="Arial"/>
                <w:b/>
                <w:bCs/>
                <w:sz w:val="20"/>
                <w:szCs w:val="20"/>
                <w:u w:val="single"/>
              </w:rPr>
              <w:t xml:space="preserve">– </w:t>
            </w:r>
            <w:r w:rsidRPr="00903F89">
              <w:rPr>
                <w:rFonts w:cs="Arial"/>
                <w:b/>
                <w:bCs/>
                <w:sz w:val="20"/>
                <w:szCs w:val="20"/>
                <w:u w:val="single"/>
              </w:rPr>
              <w:t>€0</w:t>
            </w:r>
          </w:p>
        </w:tc>
      </w:tr>
      <w:tr w:rsidR="007422AB" w:rsidRPr="00903F89" w14:paraId="28E4FCCE" w14:textId="77777777" w:rsidTr="00130787">
        <w:tc>
          <w:tcPr>
            <w:tcW w:w="3795" w:type="dxa"/>
            <w:gridSpan w:val="2"/>
          </w:tcPr>
          <w:p w14:paraId="5976C585" w14:textId="77777777" w:rsidR="003C2DD3" w:rsidRPr="00903F89" w:rsidRDefault="003C2DD3" w:rsidP="00903F89">
            <w:pPr>
              <w:jc w:val="both"/>
              <w:rPr>
                <w:rFonts w:eastAsia="Arial" w:cs="Arial"/>
                <w:sz w:val="20"/>
                <w:szCs w:val="20"/>
                <w:u w:color="000000"/>
              </w:rPr>
            </w:pPr>
          </w:p>
        </w:tc>
        <w:tc>
          <w:tcPr>
            <w:tcW w:w="6128" w:type="dxa"/>
            <w:gridSpan w:val="2"/>
          </w:tcPr>
          <w:p w14:paraId="3C8465D2" w14:textId="77777777" w:rsidR="003C2DD3" w:rsidRPr="00903F89" w:rsidRDefault="003C2DD3" w:rsidP="00903F89">
            <w:pPr>
              <w:jc w:val="both"/>
              <w:rPr>
                <w:rFonts w:cs="Arial"/>
                <w:sz w:val="20"/>
                <w:szCs w:val="20"/>
              </w:rPr>
            </w:pPr>
          </w:p>
        </w:tc>
        <w:tc>
          <w:tcPr>
            <w:tcW w:w="615" w:type="dxa"/>
          </w:tcPr>
          <w:p w14:paraId="3E42EF59" w14:textId="77777777" w:rsidR="003C2DD3" w:rsidRPr="00903F89" w:rsidRDefault="003C2DD3" w:rsidP="00903F89">
            <w:pPr>
              <w:jc w:val="both"/>
              <w:rPr>
                <w:rFonts w:cs="Arial"/>
                <w:b/>
                <w:sz w:val="20"/>
                <w:szCs w:val="20"/>
                <w:u w:val="single"/>
              </w:rPr>
            </w:pPr>
          </w:p>
        </w:tc>
      </w:tr>
      <w:tr w:rsidR="007422AB" w:rsidRPr="00903F89" w14:paraId="167F998E" w14:textId="77777777" w:rsidTr="00130787">
        <w:tc>
          <w:tcPr>
            <w:tcW w:w="10538" w:type="dxa"/>
            <w:gridSpan w:val="5"/>
          </w:tcPr>
          <w:p w14:paraId="14BC4A6B" w14:textId="4337CEDA" w:rsidR="003C2DD3" w:rsidRPr="00903F89" w:rsidRDefault="00686014" w:rsidP="00903F89">
            <w:pPr>
              <w:jc w:val="both"/>
              <w:rPr>
                <w:rFonts w:eastAsia="Arial" w:cs="Arial"/>
                <w:sz w:val="20"/>
                <w:szCs w:val="20"/>
                <w:u w:color="000000"/>
              </w:rPr>
            </w:pPr>
            <w:r w:rsidRPr="00686014">
              <w:rPr>
                <w:rFonts w:eastAsia="Arial" w:cs="Arial"/>
                <w:sz w:val="20"/>
                <w:szCs w:val="20"/>
                <w:u w:color="000000"/>
              </w:rPr>
              <w:t xml:space="preserve">Κατάργηση </w:t>
            </w:r>
            <w:r w:rsidR="00160872">
              <w:rPr>
                <w:rFonts w:eastAsia="Arial" w:cs="Arial"/>
                <w:sz w:val="20"/>
                <w:szCs w:val="20"/>
                <w:u w:color="000000"/>
              </w:rPr>
              <w:t>ά</w:t>
            </w:r>
            <w:r w:rsidRPr="00686014">
              <w:rPr>
                <w:rFonts w:eastAsia="Arial" w:cs="Arial"/>
                <w:sz w:val="20"/>
                <w:szCs w:val="20"/>
                <w:u w:color="000000"/>
              </w:rPr>
              <w:t>ρθρου. Οι δαπάνες για το 2022 εμφανίζονται στο Άρθρο 602</w:t>
            </w:r>
            <w:r w:rsidR="00160872">
              <w:rPr>
                <w:rFonts w:eastAsia="Arial" w:cs="Arial"/>
                <w:sz w:val="20"/>
                <w:szCs w:val="20"/>
                <w:u w:color="000000"/>
              </w:rPr>
              <w:t>,</w:t>
            </w:r>
            <w:r w:rsidRPr="00686014">
              <w:rPr>
                <w:rFonts w:eastAsia="Arial" w:cs="Arial"/>
                <w:sz w:val="20"/>
                <w:szCs w:val="20"/>
                <w:u w:color="000000"/>
              </w:rPr>
              <w:t xml:space="preserve"> με τίτλο «Διαρθρωτικά Προγράμματα και Σχέδια», στην Υποομάδα 601 «Δαπάνες Συγχρηματοδοτούμενες από Κοινοτικούς Πόρους»).</w:t>
            </w:r>
          </w:p>
        </w:tc>
      </w:tr>
      <w:tr w:rsidR="007422AB" w:rsidRPr="00903F89" w14:paraId="0329B6A0" w14:textId="77777777" w:rsidTr="00130787">
        <w:trPr>
          <w:trHeight w:val="256"/>
        </w:trPr>
        <w:tc>
          <w:tcPr>
            <w:tcW w:w="3795" w:type="dxa"/>
            <w:gridSpan w:val="2"/>
          </w:tcPr>
          <w:p w14:paraId="535FBF09" w14:textId="77777777" w:rsidR="003C2DD3" w:rsidRPr="00903F89" w:rsidRDefault="003C2DD3" w:rsidP="00903F89">
            <w:pPr>
              <w:jc w:val="both"/>
              <w:rPr>
                <w:rFonts w:cs="Arial"/>
                <w:b/>
                <w:sz w:val="20"/>
                <w:szCs w:val="20"/>
                <w:u w:val="single"/>
              </w:rPr>
            </w:pPr>
          </w:p>
        </w:tc>
        <w:tc>
          <w:tcPr>
            <w:tcW w:w="6128" w:type="dxa"/>
            <w:gridSpan w:val="2"/>
          </w:tcPr>
          <w:p w14:paraId="1B3090CB" w14:textId="77777777" w:rsidR="003C2DD3" w:rsidRPr="00903F89" w:rsidRDefault="003C2DD3" w:rsidP="00903F89">
            <w:pPr>
              <w:jc w:val="both"/>
              <w:rPr>
                <w:rFonts w:cs="Arial"/>
                <w:b/>
                <w:sz w:val="20"/>
                <w:szCs w:val="20"/>
                <w:u w:val="single"/>
              </w:rPr>
            </w:pPr>
          </w:p>
        </w:tc>
        <w:tc>
          <w:tcPr>
            <w:tcW w:w="615" w:type="dxa"/>
          </w:tcPr>
          <w:p w14:paraId="312F6B07" w14:textId="77777777" w:rsidR="003C2DD3" w:rsidRPr="00903F89" w:rsidRDefault="003C2DD3" w:rsidP="00903F89">
            <w:pPr>
              <w:jc w:val="both"/>
              <w:rPr>
                <w:rFonts w:cs="Arial"/>
                <w:b/>
                <w:sz w:val="20"/>
                <w:szCs w:val="20"/>
                <w:u w:val="single"/>
              </w:rPr>
            </w:pPr>
          </w:p>
        </w:tc>
      </w:tr>
      <w:tr w:rsidR="007422AB" w:rsidRPr="00903F89" w14:paraId="44E7C476" w14:textId="77777777" w:rsidTr="00130787">
        <w:tc>
          <w:tcPr>
            <w:tcW w:w="10538" w:type="dxa"/>
            <w:gridSpan w:val="5"/>
          </w:tcPr>
          <w:p w14:paraId="4409BEC1" w14:textId="6C0EA72F" w:rsidR="003C2DD3" w:rsidRPr="00903F89" w:rsidRDefault="003C2DD3" w:rsidP="00903F89">
            <w:pPr>
              <w:jc w:val="both"/>
              <w:rPr>
                <w:rFonts w:eastAsia="Arial" w:cs="Arial"/>
                <w:sz w:val="20"/>
                <w:szCs w:val="20"/>
              </w:rPr>
            </w:pPr>
            <w:r w:rsidRPr="00903F89">
              <w:rPr>
                <w:rFonts w:cs="Arial"/>
                <w:b/>
                <w:bCs/>
                <w:sz w:val="20"/>
                <w:szCs w:val="20"/>
                <w:u w:val="single"/>
              </w:rPr>
              <w:t xml:space="preserve">Άρθρο 224 </w:t>
            </w:r>
            <w:r w:rsidRPr="00903F89">
              <w:rPr>
                <w:rFonts w:eastAsia="Arial" w:cs="Arial"/>
                <w:b/>
                <w:bCs/>
                <w:sz w:val="20"/>
                <w:szCs w:val="20"/>
                <w:u w:val="single"/>
              </w:rPr>
              <w:t xml:space="preserve">– </w:t>
            </w:r>
            <w:r w:rsidRPr="00903F89">
              <w:rPr>
                <w:rFonts w:cs="Arial"/>
                <w:b/>
                <w:bCs/>
                <w:sz w:val="20"/>
                <w:szCs w:val="20"/>
                <w:u w:val="single"/>
              </w:rPr>
              <w:t>Έργα και Σχέδια Συγχρηματοδοτούμενα από Κοινοτικούς Πόρους (Δαπάνες από Χρηματοδότηση Πανεπιστημίου</w:t>
            </w:r>
            <w:r w:rsidRPr="00903F89">
              <w:rPr>
                <w:rFonts w:eastAsia="Arial" w:cs="Arial"/>
                <w:b/>
                <w:bCs/>
                <w:sz w:val="20"/>
                <w:szCs w:val="20"/>
                <w:u w:val="single"/>
                <w:shd w:val="clear" w:color="auto" w:fill="FFFFFF" w:themeFill="background1"/>
              </w:rPr>
              <w:t>) –</w:t>
            </w:r>
            <w:r w:rsidRPr="00903F89">
              <w:rPr>
                <w:rFonts w:cs="Arial"/>
                <w:b/>
                <w:bCs/>
                <w:sz w:val="20"/>
                <w:szCs w:val="20"/>
                <w:u w:val="single"/>
                <w:shd w:val="clear" w:color="auto" w:fill="FFFFFF" w:themeFill="background1"/>
              </w:rPr>
              <w:t xml:space="preserve"> €0</w:t>
            </w:r>
          </w:p>
        </w:tc>
      </w:tr>
      <w:tr w:rsidR="007422AB" w:rsidRPr="00903F89" w14:paraId="565D63C0" w14:textId="77777777" w:rsidTr="00130787">
        <w:tc>
          <w:tcPr>
            <w:tcW w:w="10538" w:type="dxa"/>
            <w:gridSpan w:val="5"/>
          </w:tcPr>
          <w:p w14:paraId="68C1300D" w14:textId="77777777" w:rsidR="003C2DD3" w:rsidRPr="00903F89" w:rsidRDefault="003C2DD3" w:rsidP="00903F89">
            <w:pPr>
              <w:jc w:val="both"/>
              <w:rPr>
                <w:rFonts w:cs="Arial"/>
                <w:sz w:val="20"/>
                <w:szCs w:val="20"/>
              </w:rPr>
            </w:pPr>
          </w:p>
        </w:tc>
      </w:tr>
      <w:tr w:rsidR="007422AB" w:rsidRPr="00903F89" w14:paraId="0D49D0DB" w14:textId="77777777" w:rsidTr="00130787">
        <w:trPr>
          <w:trHeight w:val="252"/>
        </w:trPr>
        <w:tc>
          <w:tcPr>
            <w:tcW w:w="10538" w:type="dxa"/>
            <w:gridSpan w:val="5"/>
            <w:shd w:val="clear" w:color="auto" w:fill="auto"/>
          </w:tcPr>
          <w:p w14:paraId="56F4ED8B" w14:textId="4A5EBC47" w:rsidR="003C2DD3" w:rsidRPr="00903F89" w:rsidRDefault="00686014" w:rsidP="00903F89">
            <w:pPr>
              <w:jc w:val="both"/>
              <w:rPr>
                <w:rFonts w:eastAsia="Arial" w:cs="Arial"/>
                <w:sz w:val="20"/>
                <w:szCs w:val="20"/>
              </w:rPr>
            </w:pPr>
            <w:r w:rsidRPr="00686014">
              <w:rPr>
                <w:rFonts w:cs="Arial"/>
                <w:sz w:val="20"/>
                <w:szCs w:val="20"/>
              </w:rPr>
              <w:t xml:space="preserve">Κατάργηση </w:t>
            </w:r>
            <w:r w:rsidR="00160872">
              <w:rPr>
                <w:rFonts w:cs="Arial"/>
                <w:sz w:val="20"/>
                <w:szCs w:val="20"/>
              </w:rPr>
              <w:t>ά</w:t>
            </w:r>
            <w:r w:rsidRPr="00686014">
              <w:rPr>
                <w:rFonts w:cs="Arial"/>
                <w:sz w:val="20"/>
                <w:szCs w:val="20"/>
              </w:rPr>
              <w:t>ρθρου. Οι δαπάνες για το 2022 εμφανίζονται στο Άρθρο 621</w:t>
            </w:r>
            <w:r w:rsidR="00160872">
              <w:rPr>
                <w:rFonts w:cs="Arial"/>
                <w:sz w:val="20"/>
                <w:szCs w:val="20"/>
              </w:rPr>
              <w:t>,</w:t>
            </w:r>
            <w:r w:rsidRPr="00686014">
              <w:rPr>
                <w:rFonts w:cs="Arial"/>
                <w:sz w:val="20"/>
                <w:szCs w:val="20"/>
              </w:rPr>
              <w:t xml:space="preserve"> με τίτλο «Έργα και Σχέδια Συγχρηματοδοτούμενα από Πανεπιστήμιο Κύπρου) - ΚΟΙΟΣ», στην Υποομάδα 620 «Δαπάνες Συγχρηματοδοτούμενες από Πανεπιστήμιο Κύπρου»).</w:t>
            </w:r>
          </w:p>
        </w:tc>
      </w:tr>
      <w:tr w:rsidR="007422AB" w:rsidRPr="00903F89" w14:paraId="2E197121" w14:textId="77777777" w:rsidTr="00130787">
        <w:tc>
          <w:tcPr>
            <w:tcW w:w="10538" w:type="dxa"/>
            <w:gridSpan w:val="5"/>
          </w:tcPr>
          <w:p w14:paraId="5D29F7EF" w14:textId="77777777" w:rsidR="003C2DD3" w:rsidRPr="00903F89" w:rsidRDefault="003C2DD3" w:rsidP="00903F89">
            <w:pPr>
              <w:jc w:val="both"/>
              <w:rPr>
                <w:rFonts w:cs="Arial"/>
                <w:sz w:val="20"/>
                <w:szCs w:val="20"/>
              </w:rPr>
            </w:pPr>
          </w:p>
        </w:tc>
      </w:tr>
      <w:tr w:rsidR="00903F89" w:rsidRPr="00903F89" w14:paraId="691974C0" w14:textId="77777777" w:rsidTr="00130787">
        <w:tc>
          <w:tcPr>
            <w:tcW w:w="10538" w:type="dxa"/>
            <w:gridSpan w:val="5"/>
            <w:shd w:val="clear" w:color="auto" w:fill="auto"/>
          </w:tcPr>
          <w:p w14:paraId="79486361" w14:textId="2C00AFDC" w:rsidR="003C2DD3" w:rsidRPr="00903F89" w:rsidRDefault="003C2DD3" w:rsidP="00903F89">
            <w:pPr>
              <w:jc w:val="both"/>
              <w:rPr>
                <w:rFonts w:cs="Arial"/>
                <w:sz w:val="20"/>
                <w:szCs w:val="20"/>
              </w:rPr>
            </w:pPr>
            <w:r w:rsidRPr="00903F89">
              <w:rPr>
                <w:rFonts w:cs="Arial"/>
                <w:b/>
                <w:bCs/>
                <w:sz w:val="20"/>
                <w:szCs w:val="20"/>
                <w:u w:val="single"/>
              </w:rPr>
              <w:t xml:space="preserve">Άρθρο 225 </w:t>
            </w:r>
            <w:r w:rsidRPr="00903F89">
              <w:rPr>
                <w:rFonts w:eastAsia="Arial" w:cs="Arial"/>
                <w:b/>
                <w:bCs/>
                <w:sz w:val="20"/>
                <w:szCs w:val="20"/>
                <w:u w:val="single"/>
              </w:rPr>
              <w:t xml:space="preserve">– </w:t>
            </w:r>
            <w:r w:rsidRPr="00903F89">
              <w:rPr>
                <w:rFonts w:cs="Arial"/>
                <w:b/>
                <w:bCs/>
                <w:sz w:val="20"/>
                <w:szCs w:val="20"/>
                <w:u w:val="single"/>
              </w:rPr>
              <w:t>Έργα και Σχέδια Συγχρηματοδοτούμενα από Κοινοτικούς Πόρους (Δαπάνες από Χρηματοδότηση Πανεπιστημίου) - BIOBANK - Biobanking and the Cyprus Human Genome Project</w:t>
            </w:r>
            <w:r w:rsidRPr="00903F89">
              <w:rPr>
                <w:rFonts w:eastAsia="Arial" w:cs="Arial"/>
                <w:b/>
                <w:bCs/>
                <w:sz w:val="20"/>
                <w:szCs w:val="20"/>
                <w:u w:val="single"/>
              </w:rPr>
              <w:t>–</w:t>
            </w:r>
            <w:r w:rsidRPr="00903F89">
              <w:rPr>
                <w:rFonts w:cs="Arial"/>
                <w:b/>
                <w:bCs/>
                <w:sz w:val="20"/>
                <w:szCs w:val="20"/>
                <w:u w:val="single"/>
              </w:rPr>
              <w:t xml:space="preserve"> €0</w:t>
            </w:r>
          </w:p>
        </w:tc>
      </w:tr>
      <w:tr w:rsidR="007422AB" w:rsidRPr="00903F89" w14:paraId="4340C890" w14:textId="77777777" w:rsidTr="00130787">
        <w:tc>
          <w:tcPr>
            <w:tcW w:w="10538" w:type="dxa"/>
            <w:gridSpan w:val="5"/>
          </w:tcPr>
          <w:p w14:paraId="4E162972" w14:textId="77777777" w:rsidR="003C2DD3" w:rsidRPr="00903F89" w:rsidRDefault="003C2DD3" w:rsidP="00903F89">
            <w:pPr>
              <w:jc w:val="both"/>
              <w:rPr>
                <w:rFonts w:cs="Arial"/>
                <w:sz w:val="20"/>
                <w:szCs w:val="20"/>
              </w:rPr>
            </w:pPr>
          </w:p>
        </w:tc>
      </w:tr>
      <w:tr w:rsidR="007422AB" w:rsidRPr="00903F89" w14:paraId="0879E981" w14:textId="77777777" w:rsidTr="00130787">
        <w:tc>
          <w:tcPr>
            <w:tcW w:w="10538" w:type="dxa"/>
            <w:gridSpan w:val="5"/>
          </w:tcPr>
          <w:p w14:paraId="1CB5E0B3" w14:textId="7CD73BBC" w:rsidR="003C2DD3" w:rsidRPr="00903F89" w:rsidRDefault="00686014" w:rsidP="00903F89">
            <w:pPr>
              <w:jc w:val="both"/>
              <w:rPr>
                <w:rFonts w:cs="Arial"/>
                <w:b/>
                <w:strike/>
                <w:sz w:val="20"/>
                <w:szCs w:val="20"/>
                <w:u w:val="single"/>
              </w:rPr>
            </w:pPr>
            <w:r w:rsidRPr="00686014">
              <w:rPr>
                <w:rFonts w:cs="Arial"/>
                <w:sz w:val="20"/>
                <w:szCs w:val="20"/>
              </w:rPr>
              <w:t xml:space="preserve">Κατάργηση </w:t>
            </w:r>
            <w:r w:rsidR="00160872">
              <w:rPr>
                <w:rFonts w:cs="Arial"/>
                <w:sz w:val="20"/>
                <w:szCs w:val="20"/>
              </w:rPr>
              <w:t>ά</w:t>
            </w:r>
            <w:r w:rsidRPr="00686014">
              <w:rPr>
                <w:rFonts w:cs="Arial"/>
                <w:sz w:val="20"/>
                <w:szCs w:val="20"/>
              </w:rPr>
              <w:t>ρθρου. Οι δαπάνες για το 2022 εμφανίζονται στο Άρθρο 622</w:t>
            </w:r>
            <w:r w:rsidR="00160872">
              <w:rPr>
                <w:rFonts w:cs="Arial"/>
                <w:sz w:val="20"/>
                <w:szCs w:val="20"/>
              </w:rPr>
              <w:t>,</w:t>
            </w:r>
            <w:r w:rsidRPr="00686014">
              <w:rPr>
                <w:rFonts w:cs="Arial"/>
                <w:sz w:val="20"/>
                <w:szCs w:val="20"/>
              </w:rPr>
              <w:t xml:space="preserve"> με τίτλο «Έργα και Σχέδια Συγχρηματοδοτούμενα από Πανεπιστήμιο Κύπρου) - BIOBANK - Biobanking and the Cyprus Human Genome Project», στην Υποομάδα 620 «Δαπάνες Συγχρηματοδοτούμενες από Πανεπιστήμιο Κύπρου»).</w:t>
            </w:r>
          </w:p>
        </w:tc>
      </w:tr>
      <w:tr w:rsidR="007422AB" w:rsidRPr="00903F89" w14:paraId="6B1736A5" w14:textId="77777777" w:rsidTr="00130787">
        <w:tc>
          <w:tcPr>
            <w:tcW w:w="10538" w:type="dxa"/>
            <w:gridSpan w:val="5"/>
          </w:tcPr>
          <w:p w14:paraId="641A96C7" w14:textId="77777777" w:rsidR="003C2DD3" w:rsidRPr="00903F89" w:rsidRDefault="003C2DD3" w:rsidP="00903F89">
            <w:pPr>
              <w:ind w:left="34"/>
              <w:jc w:val="both"/>
              <w:rPr>
                <w:rFonts w:cs="Arial"/>
                <w:sz w:val="20"/>
                <w:szCs w:val="20"/>
              </w:rPr>
            </w:pPr>
          </w:p>
        </w:tc>
      </w:tr>
      <w:tr w:rsidR="007422AB" w:rsidRPr="00903F89" w14:paraId="418B4B80" w14:textId="77777777" w:rsidTr="00130787">
        <w:tc>
          <w:tcPr>
            <w:tcW w:w="10538" w:type="dxa"/>
            <w:gridSpan w:val="5"/>
          </w:tcPr>
          <w:p w14:paraId="6D67C8B2" w14:textId="37675F75" w:rsidR="003C2DD3" w:rsidRPr="00903F89" w:rsidRDefault="003C2DD3" w:rsidP="00903F89">
            <w:pPr>
              <w:jc w:val="both"/>
              <w:rPr>
                <w:rFonts w:eastAsia="Arial" w:cs="Arial"/>
                <w:b/>
                <w:bCs/>
                <w:sz w:val="20"/>
                <w:szCs w:val="20"/>
                <w:u w:val="double"/>
              </w:rPr>
            </w:pPr>
            <w:r w:rsidRPr="00903F89">
              <w:rPr>
                <w:rFonts w:cs="Arial"/>
                <w:b/>
                <w:bCs/>
                <w:sz w:val="20"/>
                <w:szCs w:val="20"/>
                <w:u w:val="double"/>
              </w:rPr>
              <w:t>ΟΜΑΔΑ 300 – ΔΙΑΧΕΙΡΙΣΤΙΚΑ ΕΞΟΔΑ</w:t>
            </w:r>
          </w:p>
        </w:tc>
      </w:tr>
      <w:tr w:rsidR="007422AB" w:rsidRPr="00903F89" w14:paraId="5709614C" w14:textId="77777777" w:rsidTr="00130787">
        <w:tc>
          <w:tcPr>
            <w:tcW w:w="2870" w:type="dxa"/>
          </w:tcPr>
          <w:p w14:paraId="17DC4AA3" w14:textId="77777777" w:rsidR="003C2DD3" w:rsidRPr="00903F89" w:rsidRDefault="003C2DD3" w:rsidP="00903F89">
            <w:pPr>
              <w:jc w:val="both"/>
              <w:rPr>
                <w:rFonts w:cs="Arial"/>
                <w:b/>
                <w:sz w:val="20"/>
                <w:szCs w:val="20"/>
                <w:u w:val="single"/>
              </w:rPr>
            </w:pPr>
          </w:p>
        </w:tc>
        <w:tc>
          <w:tcPr>
            <w:tcW w:w="4132" w:type="dxa"/>
            <w:gridSpan w:val="2"/>
          </w:tcPr>
          <w:p w14:paraId="79282095" w14:textId="77777777" w:rsidR="003C2DD3" w:rsidRPr="00903F89" w:rsidRDefault="003C2DD3" w:rsidP="00903F89">
            <w:pPr>
              <w:jc w:val="both"/>
              <w:rPr>
                <w:rFonts w:cs="Arial"/>
                <w:b/>
                <w:sz w:val="20"/>
                <w:szCs w:val="20"/>
                <w:u w:val="single"/>
              </w:rPr>
            </w:pPr>
          </w:p>
        </w:tc>
        <w:tc>
          <w:tcPr>
            <w:tcW w:w="3536" w:type="dxa"/>
            <w:gridSpan w:val="2"/>
          </w:tcPr>
          <w:p w14:paraId="1376FE60" w14:textId="77777777" w:rsidR="003C2DD3" w:rsidRPr="00903F89" w:rsidRDefault="003C2DD3" w:rsidP="00903F89">
            <w:pPr>
              <w:jc w:val="both"/>
              <w:rPr>
                <w:rFonts w:cs="Arial"/>
                <w:b/>
                <w:sz w:val="20"/>
                <w:szCs w:val="20"/>
                <w:u w:val="single"/>
              </w:rPr>
            </w:pPr>
          </w:p>
        </w:tc>
      </w:tr>
      <w:tr w:rsidR="007422AB" w:rsidRPr="00903F89" w14:paraId="50D87087" w14:textId="77777777" w:rsidTr="00130787">
        <w:tc>
          <w:tcPr>
            <w:tcW w:w="10538" w:type="dxa"/>
            <w:gridSpan w:val="5"/>
          </w:tcPr>
          <w:p w14:paraId="095D06BF" w14:textId="037BFC84" w:rsidR="003C2DD3" w:rsidRPr="00903F89" w:rsidRDefault="003C2DD3" w:rsidP="00903F89">
            <w:pPr>
              <w:jc w:val="both"/>
              <w:rPr>
                <w:rFonts w:eastAsia="Arial" w:cs="Arial"/>
                <w:b/>
                <w:bCs/>
                <w:sz w:val="20"/>
                <w:szCs w:val="20"/>
                <w:u w:val="single"/>
              </w:rPr>
            </w:pPr>
            <w:r w:rsidRPr="00903F89">
              <w:rPr>
                <w:rFonts w:cs="Arial"/>
                <w:b/>
                <w:bCs/>
                <w:sz w:val="20"/>
                <w:szCs w:val="20"/>
                <w:u w:val="single"/>
              </w:rPr>
              <w:t>Υποομάδα 301 – Μεταφορικά, Επιδόματα και Έξοδα Φιλοξενίας</w:t>
            </w:r>
          </w:p>
        </w:tc>
      </w:tr>
      <w:tr w:rsidR="007422AB" w:rsidRPr="00903F89" w14:paraId="5A1707AE" w14:textId="77777777" w:rsidTr="00130787">
        <w:tc>
          <w:tcPr>
            <w:tcW w:w="2870" w:type="dxa"/>
          </w:tcPr>
          <w:p w14:paraId="1A61CC27" w14:textId="77777777" w:rsidR="003C2DD3" w:rsidRPr="00903F89" w:rsidRDefault="003C2DD3" w:rsidP="00903F89">
            <w:pPr>
              <w:jc w:val="both"/>
              <w:rPr>
                <w:rFonts w:cs="Arial"/>
                <w:b/>
                <w:sz w:val="20"/>
                <w:szCs w:val="20"/>
                <w:u w:val="single"/>
              </w:rPr>
            </w:pPr>
          </w:p>
        </w:tc>
        <w:tc>
          <w:tcPr>
            <w:tcW w:w="4132" w:type="dxa"/>
            <w:gridSpan w:val="2"/>
          </w:tcPr>
          <w:p w14:paraId="34E1B73B" w14:textId="77777777" w:rsidR="003C2DD3" w:rsidRPr="00903F89" w:rsidRDefault="003C2DD3" w:rsidP="00903F89">
            <w:pPr>
              <w:jc w:val="both"/>
              <w:rPr>
                <w:rFonts w:cs="Arial"/>
                <w:b/>
                <w:sz w:val="20"/>
                <w:szCs w:val="20"/>
                <w:u w:val="single"/>
              </w:rPr>
            </w:pPr>
          </w:p>
        </w:tc>
        <w:tc>
          <w:tcPr>
            <w:tcW w:w="3536" w:type="dxa"/>
            <w:gridSpan w:val="2"/>
          </w:tcPr>
          <w:p w14:paraId="523F1BB6" w14:textId="77777777" w:rsidR="003C2DD3" w:rsidRPr="00903F89" w:rsidRDefault="003C2DD3" w:rsidP="00903F89">
            <w:pPr>
              <w:jc w:val="both"/>
              <w:rPr>
                <w:rFonts w:cs="Arial"/>
                <w:b/>
                <w:sz w:val="20"/>
                <w:szCs w:val="20"/>
                <w:u w:val="single"/>
              </w:rPr>
            </w:pPr>
          </w:p>
        </w:tc>
      </w:tr>
      <w:tr w:rsidR="007422AB" w:rsidRPr="00903F89" w14:paraId="43A7977C" w14:textId="77777777" w:rsidTr="00130787">
        <w:tc>
          <w:tcPr>
            <w:tcW w:w="10538" w:type="dxa"/>
            <w:gridSpan w:val="5"/>
          </w:tcPr>
          <w:p w14:paraId="339DB14D" w14:textId="29832AFF" w:rsidR="003C2DD3" w:rsidRPr="00903F89" w:rsidRDefault="003C2DD3" w:rsidP="00903F89">
            <w:pPr>
              <w:jc w:val="both"/>
              <w:rPr>
                <w:rFonts w:eastAsia="Arial" w:cs="Arial"/>
                <w:b/>
                <w:bCs/>
                <w:sz w:val="20"/>
                <w:szCs w:val="20"/>
                <w:u w:val="single"/>
              </w:rPr>
            </w:pPr>
            <w:r w:rsidRPr="00903F89">
              <w:rPr>
                <w:rFonts w:cs="Arial"/>
                <w:b/>
                <w:bCs/>
                <w:sz w:val="20"/>
                <w:szCs w:val="20"/>
                <w:u w:val="single"/>
              </w:rPr>
              <w:t>Άρθρο 302 – Επιδόματα για Συνεδρίες Συμβουλίου – €20.000</w:t>
            </w:r>
          </w:p>
        </w:tc>
      </w:tr>
      <w:tr w:rsidR="007422AB" w:rsidRPr="00903F89" w14:paraId="1602FDCB" w14:textId="77777777" w:rsidTr="00130787">
        <w:tc>
          <w:tcPr>
            <w:tcW w:w="2870" w:type="dxa"/>
          </w:tcPr>
          <w:p w14:paraId="0F6B58F3" w14:textId="77777777" w:rsidR="003C2DD3" w:rsidRPr="00903F89" w:rsidRDefault="003C2DD3" w:rsidP="00903F89">
            <w:pPr>
              <w:jc w:val="both"/>
              <w:rPr>
                <w:rFonts w:cs="Arial"/>
                <w:b/>
                <w:sz w:val="20"/>
                <w:szCs w:val="20"/>
                <w:u w:val="single"/>
              </w:rPr>
            </w:pPr>
          </w:p>
        </w:tc>
        <w:tc>
          <w:tcPr>
            <w:tcW w:w="7668" w:type="dxa"/>
            <w:gridSpan w:val="4"/>
          </w:tcPr>
          <w:p w14:paraId="4B444B21" w14:textId="3D3DF9CA" w:rsidR="003C2DD3" w:rsidRPr="00903F89" w:rsidRDefault="003C2DD3" w:rsidP="00903F89">
            <w:pPr>
              <w:jc w:val="both"/>
              <w:rPr>
                <w:rFonts w:cs="Arial"/>
                <w:b/>
                <w:i/>
                <w:sz w:val="20"/>
                <w:szCs w:val="20"/>
              </w:rPr>
            </w:pPr>
          </w:p>
        </w:tc>
      </w:tr>
      <w:tr w:rsidR="007422AB" w:rsidRPr="00903F89" w14:paraId="38DE9E06" w14:textId="77777777" w:rsidTr="00130787">
        <w:tc>
          <w:tcPr>
            <w:tcW w:w="10538" w:type="dxa"/>
            <w:gridSpan w:val="5"/>
            <w:shd w:val="clear" w:color="auto" w:fill="auto"/>
          </w:tcPr>
          <w:p w14:paraId="0B3CDC5D" w14:textId="5B33880C" w:rsidR="003C2DD3" w:rsidRPr="00903F89" w:rsidRDefault="003C2DD3" w:rsidP="00903F89">
            <w:pPr>
              <w:jc w:val="both"/>
              <w:rPr>
                <w:rFonts w:eastAsia="Arial" w:cs="Arial"/>
                <w:sz w:val="20"/>
                <w:szCs w:val="20"/>
                <w:u w:val="single"/>
              </w:rPr>
            </w:pPr>
            <w:r w:rsidRPr="00903F89">
              <w:rPr>
                <w:rFonts w:cs="Arial"/>
                <w:sz w:val="20"/>
                <w:szCs w:val="20"/>
              </w:rPr>
              <w:t xml:space="preserve">Το ποσό προορίζεται να καλύψει την παραχώρηση επιδομάτων στον Πρόεδρο και στα εξωτερικά μέλη του Συμβουλίου, με βάση τον αριθμό των συνεδριών που πραγματοποιεί το Συμβούλιο ή οι Επιτροπές του Συμβουλίου, καθώς και οποιαδήποτε επιδόματα εγκρίνει το Υπουργικό Συμβούλιο για μέλη Συμβουλίων Νομικών Προσώπων Δημοσίου Δικαίου.  Το ύψος των επιδομάτων των εξωτερικών μελών του Συμβουλίου παραχωρούνται με βάση σχετική εγκύκλιο του Υπουργείου Οικονομικών (Αρ. 1540 και ημερ. 11/08/2016). </w:t>
            </w:r>
          </w:p>
        </w:tc>
      </w:tr>
      <w:tr w:rsidR="007422AB" w:rsidRPr="00903F89" w14:paraId="51F7ACC1" w14:textId="77777777" w:rsidTr="00130787">
        <w:tc>
          <w:tcPr>
            <w:tcW w:w="2870" w:type="dxa"/>
          </w:tcPr>
          <w:p w14:paraId="0550F518" w14:textId="77777777" w:rsidR="003C2DD3" w:rsidRPr="00903F89" w:rsidRDefault="003C2DD3" w:rsidP="00903F89">
            <w:pPr>
              <w:jc w:val="both"/>
              <w:rPr>
                <w:rFonts w:cs="Arial"/>
                <w:b/>
                <w:sz w:val="20"/>
                <w:szCs w:val="20"/>
                <w:u w:val="single"/>
              </w:rPr>
            </w:pPr>
          </w:p>
        </w:tc>
        <w:tc>
          <w:tcPr>
            <w:tcW w:w="4132" w:type="dxa"/>
            <w:gridSpan w:val="2"/>
          </w:tcPr>
          <w:p w14:paraId="0DD7469B" w14:textId="77777777" w:rsidR="003C2DD3" w:rsidRPr="00903F89" w:rsidRDefault="003C2DD3" w:rsidP="00903F89">
            <w:pPr>
              <w:jc w:val="both"/>
              <w:rPr>
                <w:rFonts w:cs="Arial"/>
                <w:b/>
                <w:sz w:val="20"/>
                <w:szCs w:val="20"/>
                <w:u w:val="single"/>
              </w:rPr>
            </w:pPr>
          </w:p>
        </w:tc>
        <w:tc>
          <w:tcPr>
            <w:tcW w:w="3536" w:type="dxa"/>
            <w:gridSpan w:val="2"/>
          </w:tcPr>
          <w:p w14:paraId="16BC5438" w14:textId="77777777" w:rsidR="003C2DD3" w:rsidRPr="00903F89" w:rsidRDefault="003C2DD3" w:rsidP="00903F89">
            <w:pPr>
              <w:jc w:val="both"/>
              <w:rPr>
                <w:rFonts w:cs="Arial"/>
                <w:b/>
                <w:sz w:val="20"/>
                <w:szCs w:val="20"/>
                <w:u w:val="single"/>
              </w:rPr>
            </w:pPr>
          </w:p>
        </w:tc>
      </w:tr>
      <w:tr w:rsidR="007422AB" w:rsidRPr="00903F89" w14:paraId="4B2C6C41" w14:textId="77777777" w:rsidTr="00130787">
        <w:tc>
          <w:tcPr>
            <w:tcW w:w="10538" w:type="dxa"/>
            <w:gridSpan w:val="5"/>
          </w:tcPr>
          <w:p w14:paraId="500782A9" w14:textId="2CC37677" w:rsidR="003C2DD3" w:rsidRPr="00903F89" w:rsidRDefault="003C2DD3" w:rsidP="00903F89">
            <w:pPr>
              <w:jc w:val="both"/>
              <w:rPr>
                <w:rFonts w:eastAsia="Arial" w:cs="Arial"/>
                <w:b/>
                <w:bCs/>
                <w:sz w:val="20"/>
                <w:szCs w:val="20"/>
                <w:u w:val="single"/>
              </w:rPr>
            </w:pPr>
            <w:bookmarkStart w:id="31" w:name="_Hlk62565969"/>
            <w:r w:rsidRPr="00903F89">
              <w:rPr>
                <w:rFonts w:cs="Arial"/>
                <w:b/>
                <w:bCs/>
                <w:sz w:val="20"/>
                <w:szCs w:val="20"/>
                <w:u w:val="single"/>
              </w:rPr>
              <w:t>Άρθρο 303 – Μεταφορικά και Επιδόματα Εξωτερικών Μελών Ειδικών Επιτροπών και Ανεξάρτητων Κριτών – €207.000</w:t>
            </w:r>
          </w:p>
        </w:tc>
      </w:tr>
      <w:bookmarkEnd w:id="31"/>
      <w:tr w:rsidR="007422AB" w:rsidRPr="00903F89" w14:paraId="0C0E9981" w14:textId="77777777" w:rsidTr="00130787">
        <w:tc>
          <w:tcPr>
            <w:tcW w:w="2870" w:type="dxa"/>
          </w:tcPr>
          <w:p w14:paraId="3EB62F69" w14:textId="77777777" w:rsidR="003C2DD3" w:rsidRPr="00903F89" w:rsidRDefault="003C2DD3" w:rsidP="00903F89">
            <w:pPr>
              <w:jc w:val="both"/>
              <w:rPr>
                <w:rFonts w:cs="Arial"/>
                <w:b/>
                <w:sz w:val="20"/>
                <w:szCs w:val="20"/>
                <w:u w:val="single"/>
              </w:rPr>
            </w:pPr>
          </w:p>
        </w:tc>
        <w:tc>
          <w:tcPr>
            <w:tcW w:w="7668" w:type="dxa"/>
            <w:gridSpan w:val="4"/>
          </w:tcPr>
          <w:p w14:paraId="7E1523E2" w14:textId="0DA48D8E" w:rsidR="003C2DD3" w:rsidRPr="00903F89" w:rsidRDefault="003C2DD3" w:rsidP="00903F89">
            <w:pPr>
              <w:jc w:val="both"/>
              <w:rPr>
                <w:rFonts w:cs="Arial"/>
                <w:b/>
                <w:i/>
                <w:sz w:val="20"/>
                <w:szCs w:val="20"/>
              </w:rPr>
            </w:pPr>
          </w:p>
        </w:tc>
      </w:tr>
      <w:tr w:rsidR="007422AB" w:rsidRPr="00903F89" w14:paraId="62BAF285" w14:textId="77777777" w:rsidTr="00130787">
        <w:tc>
          <w:tcPr>
            <w:tcW w:w="10538" w:type="dxa"/>
            <w:gridSpan w:val="5"/>
            <w:shd w:val="clear" w:color="auto" w:fill="auto"/>
          </w:tcPr>
          <w:p w14:paraId="360EB85C" w14:textId="77777777" w:rsidR="003C2DD3" w:rsidRPr="00903F89" w:rsidRDefault="003C2DD3" w:rsidP="00903F89">
            <w:pPr>
              <w:jc w:val="both"/>
              <w:rPr>
                <w:rFonts w:cs="Arial"/>
                <w:sz w:val="20"/>
                <w:szCs w:val="20"/>
              </w:rPr>
            </w:pPr>
            <w:r w:rsidRPr="00903F89">
              <w:rPr>
                <w:rFonts w:cs="Arial"/>
                <w:sz w:val="20"/>
                <w:szCs w:val="20"/>
                <w:lang w:eastAsia="en-US"/>
              </w:rPr>
              <w:t>Η πρόνοια δύναται να καλύψει έξοδα εξωτερικών μελών Ειδικών Επιτροπών για εκλογή ή ανέλιξη μελών ακαδημαϊκού προσωπικού, εξωτερικών κριτών που συμμετέχουν σε εξεταστικές Επιτροπές για υποστήριξη διδακτορικών διατριβών</w:t>
            </w:r>
            <w:r w:rsidRPr="00903F89">
              <w:rPr>
                <w:rFonts w:eastAsia="Arial" w:cs="Arial"/>
                <w:sz w:val="20"/>
                <w:szCs w:val="20"/>
              </w:rPr>
              <w:t xml:space="preserve">, </w:t>
            </w:r>
            <w:r w:rsidRPr="00903F89">
              <w:rPr>
                <w:rFonts w:cs="Arial"/>
                <w:sz w:val="20"/>
                <w:szCs w:val="20"/>
                <w:lang w:eastAsia="en-US"/>
              </w:rPr>
              <w:t>εξωτερικών αξιολογητών οντοτήτων και εξωτερικών κριτών μαθημάτων αρχιτεκτονικής σύνθεσης</w:t>
            </w:r>
            <w:r w:rsidRPr="00903F89">
              <w:rPr>
                <w:rFonts w:cs="Arial"/>
                <w:sz w:val="20"/>
                <w:szCs w:val="20"/>
              </w:rPr>
              <w:t xml:space="preserve">.  Η πρόνοια δύναται να καλύψει έξοδα φιλοξενίας εκλεκτορικών σωμάτων, ειδικών επιτροπών και εξεταστικών επιτροπών διδακτορικών διατριβών.  </w:t>
            </w:r>
          </w:p>
          <w:p w14:paraId="673ACEEC" w14:textId="7DF8910B" w:rsidR="003C2DD3" w:rsidRPr="00903F89" w:rsidRDefault="003C2DD3" w:rsidP="00903F89">
            <w:pPr>
              <w:jc w:val="both"/>
              <w:rPr>
                <w:rFonts w:cs="Arial"/>
                <w:sz w:val="20"/>
                <w:szCs w:val="20"/>
              </w:rPr>
            </w:pPr>
          </w:p>
          <w:p w14:paraId="2105487F" w14:textId="573B44EC" w:rsidR="003C2DD3" w:rsidRPr="00903F89" w:rsidRDefault="003C2DD3" w:rsidP="00903F89">
            <w:pPr>
              <w:jc w:val="both"/>
              <w:rPr>
                <w:rFonts w:eastAsia="Arial" w:cs="Arial"/>
                <w:sz w:val="20"/>
                <w:szCs w:val="20"/>
              </w:rPr>
            </w:pPr>
            <w:r w:rsidRPr="00903F89">
              <w:rPr>
                <w:rFonts w:cs="Arial"/>
                <w:sz w:val="20"/>
                <w:szCs w:val="20"/>
              </w:rPr>
              <w:t xml:space="preserve">Συγκεκριμένα από την πρόνοια του άρθρου καταβάλλονται, για κάθε κατηγορία προσκεκλημένων του Πανεπιστημίου, οι ακόλουθες καταβολές/αποζημιώσεις ανάλογα με την κάθε περίπτωση.  </w:t>
            </w:r>
          </w:p>
        </w:tc>
      </w:tr>
    </w:tbl>
    <w:p w14:paraId="60E1EB7C" w14:textId="08A43BD7" w:rsidR="00B27BDA" w:rsidRPr="00903F89" w:rsidRDefault="00B27BDA" w:rsidP="00903F89">
      <w:pPr>
        <w:jc w:val="both"/>
        <w:rPr>
          <w:rFonts w:cs="Arial"/>
          <w:sz w:val="20"/>
          <w:szCs w:val="20"/>
        </w:rPr>
      </w:pPr>
    </w:p>
    <w:p w14:paraId="30F380E2" w14:textId="342DE869" w:rsidR="00091392" w:rsidRPr="00903F89" w:rsidRDefault="00B27BDA" w:rsidP="00903F89">
      <w:pPr>
        <w:jc w:val="both"/>
        <w:rPr>
          <w:rFonts w:cs="Arial"/>
          <w:sz w:val="20"/>
          <w:szCs w:val="20"/>
        </w:rPr>
      </w:pPr>
      <w:r w:rsidRPr="00903F89">
        <w:rPr>
          <w:rFonts w:cs="Arial"/>
          <w:sz w:val="20"/>
          <w:szCs w:val="20"/>
        </w:rPr>
        <w:br w:type="page"/>
      </w:r>
    </w:p>
    <w:tbl>
      <w:tblPr>
        <w:tblStyle w:val="TableGrid"/>
        <w:tblpPr w:leftFromText="180" w:rightFromText="180" w:vertAnchor="text" w:horzAnchor="margin" w:tblpY="168"/>
        <w:tblW w:w="10532" w:type="dxa"/>
        <w:tblLayout w:type="fixed"/>
        <w:tblCellMar>
          <w:left w:w="57" w:type="dxa"/>
          <w:right w:w="57" w:type="dxa"/>
        </w:tblCellMar>
        <w:tblLook w:val="04A0" w:firstRow="1" w:lastRow="0" w:firstColumn="1" w:lastColumn="0" w:noHBand="0" w:noVBand="1"/>
      </w:tblPr>
      <w:tblGrid>
        <w:gridCol w:w="3150"/>
        <w:gridCol w:w="659"/>
        <w:gridCol w:w="659"/>
        <w:gridCol w:w="659"/>
        <w:gridCol w:w="662"/>
        <w:gridCol w:w="571"/>
        <w:gridCol w:w="571"/>
        <w:gridCol w:w="571"/>
        <w:gridCol w:w="577"/>
        <w:gridCol w:w="647"/>
        <w:gridCol w:w="649"/>
        <w:gridCol w:w="578"/>
        <w:gridCol w:w="579"/>
      </w:tblGrid>
      <w:tr w:rsidR="008B1515" w:rsidRPr="00903F89" w14:paraId="585DFD23" w14:textId="77777777" w:rsidTr="00C61D41">
        <w:trPr>
          <w:trHeight w:val="13"/>
        </w:trPr>
        <w:tc>
          <w:tcPr>
            <w:tcW w:w="3150" w:type="dxa"/>
            <w:shd w:val="clear" w:color="auto" w:fill="auto"/>
          </w:tcPr>
          <w:p w14:paraId="0870E111" w14:textId="72EAA705" w:rsidR="00372BCF" w:rsidRPr="00686014" w:rsidRDefault="009A728C" w:rsidP="00686014">
            <w:pPr>
              <w:jc w:val="center"/>
              <w:rPr>
                <w:rFonts w:cs="Arial"/>
                <w:sz w:val="20"/>
                <w:szCs w:val="20"/>
              </w:rPr>
            </w:pPr>
            <w:r w:rsidRPr="00686014">
              <w:rPr>
                <w:rFonts w:cs="Arial"/>
                <w:sz w:val="20"/>
                <w:szCs w:val="20"/>
              </w:rPr>
              <w:t>Συνοπτικός πίνακας αποζημιώσεων</w:t>
            </w:r>
          </w:p>
        </w:tc>
        <w:tc>
          <w:tcPr>
            <w:tcW w:w="2639" w:type="dxa"/>
            <w:gridSpan w:val="4"/>
            <w:shd w:val="clear" w:color="auto" w:fill="auto"/>
          </w:tcPr>
          <w:p w14:paraId="367145E0" w14:textId="2BF65DD5" w:rsidR="00372BCF" w:rsidRPr="00686014" w:rsidRDefault="00372BCF" w:rsidP="00686014">
            <w:pPr>
              <w:jc w:val="center"/>
              <w:rPr>
                <w:rFonts w:cs="Arial"/>
                <w:bCs/>
                <w:sz w:val="16"/>
                <w:szCs w:val="20"/>
              </w:rPr>
            </w:pPr>
            <w:r w:rsidRPr="00686014">
              <w:rPr>
                <w:rFonts w:cs="Arial"/>
                <w:bCs/>
                <w:sz w:val="16"/>
                <w:szCs w:val="20"/>
              </w:rPr>
              <w:t>Μέλη Ειδικών Επιτροπών για εκλογή</w:t>
            </w:r>
            <w:r w:rsidR="002D38DB" w:rsidRPr="00686014">
              <w:rPr>
                <w:rFonts w:cs="Arial"/>
                <w:bCs/>
                <w:sz w:val="16"/>
                <w:szCs w:val="20"/>
              </w:rPr>
              <w:t>, αξιολόγηση</w:t>
            </w:r>
            <w:r w:rsidRPr="00686014">
              <w:rPr>
                <w:rFonts w:cs="Arial"/>
                <w:bCs/>
                <w:sz w:val="16"/>
                <w:szCs w:val="20"/>
              </w:rPr>
              <w:t xml:space="preserve"> </w:t>
            </w:r>
            <w:r w:rsidR="002D38DB" w:rsidRPr="00686014">
              <w:rPr>
                <w:rFonts w:cs="Arial"/>
                <w:bCs/>
                <w:sz w:val="16"/>
                <w:szCs w:val="20"/>
              </w:rPr>
              <w:t>και</w:t>
            </w:r>
            <w:r w:rsidRPr="00686014">
              <w:rPr>
                <w:rFonts w:cs="Arial"/>
                <w:bCs/>
                <w:sz w:val="16"/>
                <w:szCs w:val="20"/>
              </w:rPr>
              <w:t xml:space="preserve"> ανέλιξη μελών ακαδημαϊκού προσωπικού</w:t>
            </w:r>
          </w:p>
        </w:tc>
        <w:tc>
          <w:tcPr>
            <w:tcW w:w="2290" w:type="dxa"/>
            <w:gridSpan w:val="4"/>
            <w:shd w:val="clear" w:color="auto" w:fill="auto"/>
          </w:tcPr>
          <w:p w14:paraId="6EAACD58" w14:textId="7C883803" w:rsidR="00372BCF" w:rsidRPr="00686014" w:rsidRDefault="00372BCF" w:rsidP="00686014">
            <w:pPr>
              <w:jc w:val="center"/>
              <w:rPr>
                <w:rFonts w:cs="Arial"/>
                <w:bCs/>
                <w:sz w:val="16"/>
                <w:szCs w:val="20"/>
              </w:rPr>
            </w:pPr>
            <w:r w:rsidRPr="00686014">
              <w:rPr>
                <w:rFonts w:cs="Arial"/>
                <w:bCs/>
                <w:sz w:val="16"/>
                <w:szCs w:val="20"/>
              </w:rPr>
              <w:t>Εξωτερικοί κριτές Επιτροπών για υποστήριξη Διδακτορικών Διατριβών</w:t>
            </w:r>
          </w:p>
        </w:tc>
        <w:tc>
          <w:tcPr>
            <w:tcW w:w="1296" w:type="dxa"/>
            <w:gridSpan w:val="2"/>
            <w:shd w:val="clear" w:color="auto" w:fill="auto"/>
          </w:tcPr>
          <w:p w14:paraId="39144075" w14:textId="6F2B6411" w:rsidR="00372BCF" w:rsidRPr="00686014" w:rsidRDefault="00372BCF" w:rsidP="00686014">
            <w:pPr>
              <w:jc w:val="center"/>
              <w:rPr>
                <w:rFonts w:eastAsia="Arial" w:cs="Arial"/>
                <w:bCs/>
                <w:sz w:val="16"/>
                <w:szCs w:val="20"/>
              </w:rPr>
            </w:pPr>
            <w:r w:rsidRPr="00686014">
              <w:rPr>
                <w:rFonts w:cs="Arial"/>
                <w:bCs/>
                <w:sz w:val="16"/>
                <w:szCs w:val="20"/>
              </w:rPr>
              <w:t>Εξωτερικοί αξιολογητές Οντοτήτων</w:t>
            </w:r>
          </w:p>
          <w:p w14:paraId="58F9A02B" w14:textId="77777777" w:rsidR="00372BCF" w:rsidRPr="00686014" w:rsidRDefault="00372BCF" w:rsidP="00686014">
            <w:pPr>
              <w:jc w:val="center"/>
              <w:rPr>
                <w:rFonts w:cs="Arial"/>
                <w:sz w:val="16"/>
                <w:szCs w:val="20"/>
              </w:rPr>
            </w:pPr>
          </w:p>
        </w:tc>
        <w:tc>
          <w:tcPr>
            <w:tcW w:w="1157" w:type="dxa"/>
            <w:gridSpan w:val="2"/>
            <w:shd w:val="clear" w:color="auto" w:fill="auto"/>
          </w:tcPr>
          <w:p w14:paraId="7B827F63" w14:textId="77777777" w:rsidR="00372BCF" w:rsidRPr="00686014" w:rsidRDefault="00372BCF" w:rsidP="00686014">
            <w:pPr>
              <w:jc w:val="center"/>
              <w:rPr>
                <w:rFonts w:eastAsia="Arial" w:cs="Arial"/>
                <w:bCs/>
                <w:sz w:val="16"/>
                <w:szCs w:val="20"/>
              </w:rPr>
            </w:pPr>
            <w:r w:rsidRPr="00686014">
              <w:rPr>
                <w:rFonts w:cs="Arial"/>
                <w:bCs/>
                <w:sz w:val="16"/>
                <w:szCs w:val="20"/>
              </w:rPr>
              <w:t>Εξωτερικοί κριτές μαθημάτων αρχιτεκτονικής σύνθεσης</w:t>
            </w:r>
          </w:p>
        </w:tc>
      </w:tr>
      <w:tr w:rsidR="008B1515" w:rsidRPr="00903F89" w14:paraId="0719ADCD" w14:textId="77777777" w:rsidTr="00C61D41">
        <w:trPr>
          <w:trHeight w:val="13"/>
        </w:trPr>
        <w:tc>
          <w:tcPr>
            <w:tcW w:w="3150" w:type="dxa"/>
            <w:shd w:val="clear" w:color="auto" w:fill="auto"/>
          </w:tcPr>
          <w:p w14:paraId="2B95137F" w14:textId="77777777" w:rsidR="00C74F6D" w:rsidRPr="00686014" w:rsidRDefault="00C74F6D" w:rsidP="00686014">
            <w:pPr>
              <w:jc w:val="center"/>
              <w:rPr>
                <w:rFonts w:cs="Arial"/>
                <w:sz w:val="20"/>
                <w:szCs w:val="20"/>
              </w:rPr>
            </w:pPr>
          </w:p>
        </w:tc>
        <w:tc>
          <w:tcPr>
            <w:tcW w:w="659" w:type="dxa"/>
            <w:shd w:val="clear" w:color="auto" w:fill="auto"/>
          </w:tcPr>
          <w:p w14:paraId="1119AFA7" w14:textId="7766A2AB" w:rsidR="00C74F6D" w:rsidRPr="00686014" w:rsidRDefault="00C74F6D" w:rsidP="00686014">
            <w:pPr>
              <w:ind w:right="-57"/>
              <w:jc w:val="center"/>
              <w:rPr>
                <w:rFonts w:eastAsia="Arial" w:cs="Arial"/>
                <w:sz w:val="11"/>
                <w:szCs w:val="11"/>
              </w:rPr>
            </w:pPr>
            <w:r w:rsidRPr="00686014">
              <w:rPr>
                <w:rFonts w:cs="Arial"/>
                <w:sz w:val="11"/>
                <w:szCs w:val="11"/>
              </w:rPr>
              <w:t>εκτός Κύπρου</w:t>
            </w:r>
          </w:p>
        </w:tc>
        <w:tc>
          <w:tcPr>
            <w:tcW w:w="659" w:type="dxa"/>
            <w:shd w:val="clear" w:color="auto" w:fill="auto"/>
          </w:tcPr>
          <w:p w14:paraId="21745C35" w14:textId="377B7F32" w:rsidR="00C74F6D" w:rsidRPr="00686014" w:rsidRDefault="00C74F6D" w:rsidP="00686014">
            <w:pPr>
              <w:ind w:right="-57"/>
              <w:jc w:val="center"/>
              <w:rPr>
                <w:rFonts w:eastAsia="Arial" w:cs="Arial"/>
                <w:sz w:val="11"/>
                <w:szCs w:val="11"/>
              </w:rPr>
            </w:pPr>
            <w:r w:rsidRPr="00686014">
              <w:rPr>
                <w:rFonts w:cs="Arial"/>
                <w:sz w:val="11"/>
                <w:szCs w:val="11"/>
              </w:rPr>
              <w:t>εντός Κύπρου</w:t>
            </w:r>
          </w:p>
        </w:tc>
        <w:tc>
          <w:tcPr>
            <w:tcW w:w="659" w:type="dxa"/>
          </w:tcPr>
          <w:p w14:paraId="3AFC2A04" w14:textId="244D6AE8" w:rsidR="00C74F6D" w:rsidRPr="00686014" w:rsidRDefault="00C74F6D" w:rsidP="00686014">
            <w:pPr>
              <w:ind w:right="-57"/>
              <w:jc w:val="center"/>
              <w:rPr>
                <w:rFonts w:cs="Arial"/>
                <w:sz w:val="11"/>
                <w:szCs w:val="11"/>
              </w:rPr>
            </w:pPr>
            <w:r w:rsidRPr="00686014">
              <w:rPr>
                <w:rFonts w:cs="Arial"/>
                <w:sz w:val="11"/>
                <w:szCs w:val="11"/>
              </w:rPr>
              <w:t>Ανεξάρτητοι Κριτές</w:t>
            </w:r>
          </w:p>
        </w:tc>
        <w:tc>
          <w:tcPr>
            <w:tcW w:w="660" w:type="dxa"/>
            <w:vAlign w:val="center"/>
          </w:tcPr>
          <w:p w14:paraId="6CEE341A" w14:textId="2500AB96" w:rsidR="00C74F6D" w:rsidRPr="00686014" w:rsidRDefault="00C74F6D" w:rsidP="00686014">
            <w:pPr>
              <w:jc w:val="center"/>
              <w:rPr>
                <w:rFonts w:cs="Arial"/>
                <w:sz w:val="11"/>
                <w:szCs w:val="11"/>
              </w:rPr>
            </w:pPr>
            <w:r w:rsidRPr="00686014">
              <w:rPr>
                <w:rFonts w:cs="Arial"/>
                <w:sz w:val="11"/>
                <w:szCs w:val="11"/>
              </w:rPr>
              <w:t>Μέλη ΑΠ του ΠΚ σε άδεια άνευ αποδοχών ή σαββατική άδεια</w:t>
            </w:r>
          </w:p>
        </w:tc>
        <w:tc>
          <w:tcPr>
            <w:tcW w:w="571" w:type="dxa"/>
            <w:shd w:val="clear" w:color="auto" w:fill="auto"/>
          </w:tcPr>
          <w:p w14:paraId="08021C1F" w14:textId="17CB6B6C" w:rsidR="00C74F6D" w:rsidRPr="00686014" w:rsidRDefault="00C74F6D" w:rsidP="00686014">
            <w:pPr>
              <w:ind w:right="-57"/>
              <w:jc w:val="center"/>
              <w:rPr>
                <w:rFonts w:cs="Arial"/>
                <w:sz w:val="11"/>
                <w:szCs w:val="11"/>
              </w:rPr>
            </w:pPr>
            <w:r w:rsidRPr="00686014">
              <w:rPr>
                <w:rFonts w:cs="Arial"/>
                <w:sz w:val="11"/>
                <w:szCs w:val="11"/>
              </w:rPr>
              <w:t>εκτός Κύπρου</w:t>
            </w:r>
          </w:p>
        </w:tc>
        <w:tc>
          <w:tcPr>
            <w:tcW w:w="571" w:type="dxa"/>
            <w:shd w:val="clear" w:color="auto" w:fill="auto"/>
          </w:tcPr>
          <w:p w14:paraId="42219E14" w14:textId="71E4C1EF" w:rsidR="00C74F6D" w:rsidRPr="00686014" w:rsidRDefault="00C74F6D" w:rsidP="00686014">
            <w:pPr>
              <w:ind w:left="-46" w:right="-57"/>
              <w:jc w:val="center"/>
              <w:rPr>
                <w:rFonts w:cs="Arial"/>
                <w:sz w:val="11"/>
                <w:szCs w:val="11"/>
              </w:rPr>
            </w:pPr>
            <w:r w:rsidRPr="00686014">
              <w:rPr>
                <w:rFonts w:cs="Arial"/>
                <w:sz w:val="11"/>
                <w:szCs w:val="11"/>
              </w:rPr>
              <w:t>εντός Κύπρου</w:t>
            </w:r>
          </w:p>
        </w:tc>
        <w:tc>
          <w:tcPr>
            <w:tcW w:w="571" w:type="dxa"/>
          </w:tcPr>
          <w:p w14:paraId="4759A9C9" w14:textId="52B51440" w:rsidR="00C74F6D" w:rsidRPr="00686014" w:rsidRDefault="00C74F6D" w:rsidP="00686014">
            <w:pPr>
              <w:jc w:val="center"/>
              <w:rPr>
                <w:rFonts w:cs="Arial"/>
                <w:sz w:val="11"/>
                <w:szCs w:val="11"/>
              </w:rPr>
            </w:pPr>
            <w:r w:rsidRPr="00686014">
              <w:rPr>
                <w:rFonts w:cs="Arial"/>
                <w:sz w:val="11"/>
                <w:szCs w:val="11"/>
              </w:rPr>
              <w:t xml:space="preserve">Μέσω </w:t>
            </w:r>
            <w:proofErr w:type="spellStart"/>
            <w:r w:rsidRPr="00686014">
              <w:rPr>
                <w:rFonts w:cs="Arial"/>
                <w:sz w:val="11"/>
                <w:szCs w:val="11"/>
              </w:rPr>
              <w:t>τηλεδιά-σκεψης</w:t>
            </w:r>
            <w:proofErr w:type="spellEnd"/>
          </w:p>
        </w:tc>
        <w:tc>
          <w:tcPr>
            <w:tcW w:w="576" w:type="dxa"/>
          </w:tcPr>
          <w:p w14:paraId="6CB98F41" w14:textId="53807F91" w:rsidR="00C74F6D" w:rsidRPr="00686014" w:rsidRDefault="00C74F6D" w:rsidP="00686014">
            <w:pPr>
              <w:jc w:val="center"/>
              <w:rPr>
                <w:rFonts w:cs="Arial"/>
                <w:sz w:val="11"/>
                <w:szCs w:val="11"/>
              </w:rPr>
            </w:pPr>
            <w:r w:rsidRPr="00686014">
              <w:rPr>
                <w:rFonts w:cs="Arial"/>
                <w:sz w:val="11"/>
                <w:szCs w:val="11"/>
              </w:rPr>
              <w:t>Υποβολή ειδικής έκθεσης</w:t>
            </w:r>
          </w:p>
        </w:tc>
        <w:tc>
          <w:tcPr>
            <w:tcW w:w="647" w:type="dxa"/>
            <w:shd w:val="clear" w:color="auto" w:fill="auto"/>
          </w:tcPr>
          <w:p w14:paraId="1EBA4613" w14:textId="6FF0D466" w:rsidR="00C74F6D" w:rsidRPr="00686014" w:rsidRDefault="00C74F6D" w:rsidP="00686014">
            <w:pPr>
              <w:jc w:val="center"/>
              <w:rPr>
                <w:rFonts w:eastAsia="Arial" w:cs="Arial"/>
                <w:sz w:val="11"/>
                <w:szCs w:val="11"/>
              </w:rPr>
            </w:pPr>
            <w:r w:rsidRPr="00686014">
              <w:rPr>
                <w:rFonts w:cs="Arial"/>
                <w:sz w:val="11"/>
                <w:szCs w:val="11"/>
              </w:rPr>
              <w:t>εκτός Κύπρου</w:t>
            </w:r>
          </w:p>
        </w:tc>
        <w:tc>
          <w:tcPr>
            <w:tcW w:w="649" w:type="dxa"/>
            <w:shd w:val="clear" w:color="auto" w:fill="auto"/>
          </w:tcPr>
          <w:p w14:paraId="6B1F1473" w14:textId="05114086" w:rsidR="00C74F6D" w:rsidRPr="00686014" w:rsidRDefault="00C74F6D" w:rsidP="00686014">
            <w:pPr>
              <w:jc w:val="center"/>
              <w:rPr>
                <w:rFonts w:eastAsia="Arial" w:cs="Arial"/>
                <w:sz w:val="11"/>
                <w:szCs w:val="11"/>
              </w:rPr>
            </w:pPr>
            <w:r w:rsidRPr="00686014">
              <w:rPr>
                <w:rFonts w:cs="Arial"/>
                <w:sz w:val="11"/>
                <w:szCs w:val="11"/>
              </w:rPr>
              <w:t>εντός Κύπρου</w:t>
            </w:r>
          </w:p>
        </w:tc>
        <w:tc>
          <w:tcPr>
            <w:tcW w:w="578" w:type="dxa"/>
            <w:shd w:val="clear" w:color="auto" w:fill="auto"/>
          </w:tcPr>
          <w:p w14:paraId="22607FE8" w14:textId="77777777" w:rsidR="00C74F6D" w:rsidRPr="00686014" w:rsidRDefault="00C74F6D" w:rsidP="00686014">
            <w:pPr>
              <w:jc w:val="center"/>
              <w:rPr>
                <w:rFonts w:eastAsia="Arial" w:cs="Arial"/>
                <w:sz w:val="11"/>
                <w:szCs w:val="11"/>
              </w:rPr>
            </w:pPr>
            <w:r w:rsidRPr="00686014">
              <w:rPr>
                <w:rFonts w:cs="Arial"/>
                <w:sz w:val="11"/>
                <w:szCs w:val="11"/>
              </w:rPr>
              <w:t>Εκτός Κύπρου</w:t>
            </w:r>
          </w:p>
        </w:tc>
        <w:tc>
          <w:tcPr>
            <w:tcW w:w="578" w:type="dxa"/>
            <w:shd w:val="clear" w:color="auto" w:fill="auto"/>
          </w:tcPr>
          <w:p w14:paraId="6B17B222" w14:textId="77777777" w:rsidR="00C74F6D" w:rsidRPr="00686014" w:rsidRDefault="00C74F6D" w:rsidP="00686014">
            <w:pPr>
              <w:jc w:val="center"/>
              <w:rPr>
                <w:rFonts w:eastAsia="Arial" w:cs="Arial"/>
                <w:sz w:val="11"/>
                <w:szCs w:val="11"/>
              </w:rPr>
            </w:pPr>
            <w:r w:rsidRPr="00686014">
              <w:rPr>
                <w:rFonts w:cs="Arial"/>
                <w:sz w:val="11"/>
                <w:szCs w:val="11"/>
              </w:rPr>
              <w:t>Εντός Κύπρου</w:t>
            </w:r>
          </w:p>
        </w:tc>
      </w:tr>
      <w:tr w:rsidR="008B1515" w:rsidRPr="00903F89" w14:paraId="34E62CCD" w14:textId="77777777" w:rsidTr="00C61D41">
        <w:trPr>
          <w:trHeight w:val="13"/>
        </w:trPr>
        <w:tc>
          <w:tcPr>
            <w:tcW w:w="3150" w:type="dxa"/>
            <w:shd w:val="clear" w:color="auto" w:fill="auto"/>
          </w:tcPr>
          <w:p w14:paraId="7F2D573A" w14:textId="31715007" w:rsidR="00CC594B" w:rsidRPr="00686014" w:rsidRDefault="00CC594B" w:rsidP="00686014">
            <w:pPr>
              <w:rPr>
                <w:rFonts w:eastAsia="Arial" w:cs="Arial"/>
                <w:sz w:val="20"/>
                <w:szCs w:val="20"/>
              </w:rPr>
            </w:pPr>
            <w:r w:rsidRPr="00686014">
              <w:rPr>
                <w:rFonts w:cs="Arial"/>
                <w:sz w:val="20"/>
                <w:szCs w:val="20"/>
              </w:rPr>
              <w:t>Κατ’ αποκοπή αμοιβή (honorarium)</w:t>
            </w:r>
          </w:p>
        </w:tc>
        <w:tc>
          <w:tcPr>
            <w:tcW w:w="659" w:type="dxa"/>
            <w:shd w:val="clear" w:color="auto" w:fill="auto"/>
          </w:tcPr>
          <w:p w14:paraId="09785066" w14:textId="77777777" w:rsidR="00CC594B" w:rsidRPr="00686014" w:rsidRDefault="00CC594B" w:rsidP="00686014">
            <w:pPr>
              <w:jc w:val="center"/>
              <w:rPr>
                <w:rFonts w:eastAsia="Arial" w:cs="Arial"/>
                <w:sz w:val="20"/>
                <w:szCs w:val="20"/>
              </w:rPr>
            </w:pPr>
            <w:r w:rsidRPr="00686014">
              <w:rPr>
                <w:rFonts w:cs="Arial"/>
                <w:sz w:val="20"/>
                <w:szCs w:val="20"/>
              </w:rPr>
              <w:t>€500</w:t>
            </w:r>
          </w:p>
        </w:tc>
        <w:tc>
          <w:tcPr>
            <w:tcW w:w="659" w:type="dxa"/>
            <w:shd w:val="clear" w:color="auto" w:fill="auto"/>
          </w:tcPr>
          <w:p w14:paraId="67B10423" w14:textId="314C9E30" w:rsidR="00CC594B" w:rsidRPr="00686014" w:rsidRDefault="00CC594B" w:rsidP="00686014">
            <w:pPr>
              <w:jc w:val="center"/>
              <w:rPr>
                <w:rFonts w:eastAsia="Arial" w:cs="Arial"/>
                <w:sz w:val="20"/>
                <w:szCs w:val="20"/>
              </w:rPr>
            </w:pPr>
            <w:r w:rsidRPr="00686014">
              <w:rPr>
                <w:rFonts w:cs="Arial"/>
                <w:sz w:val="20"/>
                <w:szCs w:val="20"/>
              </w:rPr>
              <w:t>€200</w:t>
            </w:r>
          </w:p>
        </w:tc>
        <w:tc>
          <w:tcPr>
            <w:tcW w:w="659" w:type="dxa"/>
          </w:tcPr>
          <w:p w14:paraId="3D9BE079" w14:textId="354783EC" w:rsidR="00CC594B" w:rsidRPr="00686014" w:rsidRDefault="00CC594B" w:rsidP="00686014">
            <w:pPr>
              <w:jc w:val="center"/>
              <w:rPr>
                <w:rFonts w:cs="Arial"/>
                <w:sz w:val="20"/>
                <w:szCs w:val="20"/>
              </w:rPr>
            </w:pPr>
            <w:r w:rsidRPr="00686014">
              <w:rPr>
                <w:rFonts w:cs="Arial"/>
                <w:sz w:val="20"/>
                <w:szCs w:val="20"/>
              </w:rPr>
              <w:t>€200</w:t>
            </w:r>
          </w:p>
        </w:tc>
        <w:tc>
          <w:tcPr>
            <w:tcW w:w="660" w:type="dxa"/>
            <w:shd w:val="clear" w:color="auto" w:fill="auto"/>
          </w:tcPr>
          <w:p w14:paraId="1DCF23CD" w14:textId="21C0D3C9" w:rsidR="00CC594B" w:rsidRPr="00686014" w:rsidRDefault="00CC594B" w:rsidP="00686014">
            <w:pPr>
              <w:jc w:val="center"/>
              <w:rPr>
                <w:rFonts w:cs="Arial"/>
                <w:sz w:val="20"/>
                <w:szCs w:val="20"/>
                <w:lang w:val="en-US"/>
              </w:rPr>
            </w:pPr>
            <w:r w:rsidRPr="00686014">
              <w:rPr>
                <w:rFonts w:eastAsia="Arial" w:cs="Arial"/>
                <w:sz w:val="20"/>
                <w:szCs w:val="20"/>
              </w:rPr>
              <w:t>---</w:t>
            </w:r>
          </w:p>
        </w:tc>
        <w:tc>
          <w:tcPr>
            <w:tcW w:w="571" w:type="dxa"/>
            <w:shd w:val="clear" w:color="auto" w:fill="auto"/>
          </w:tcPr>
          <w:p w14:paraId="0CF89D91" w14:textId="0951AFBA" w:rsidR="00CC594B" w:rsidRPr="00686014" w:rsidRDefault="00CC594B" w:rsidP="00686014">
            <w:pPr>
              <w:jc w:val="center"/>
              <w:rPr>
                <w:rFonts w:eastAsia="Arial" w:cs="Arial"/>
                <w:sz w:val="20"/>
                <w:szCs w:val="20"/>
              </w:rPr>
            </w:pPr>
            <w:r w:rsidRPr="00686014">
              <w:rPr>
                <w:rFonts w:cs="Arial"/>
                <w:sz w:val="20"/>
                <w:szCs w:val="20"/>
              </w:rPr>
              <w:t>€200</w:t>
            </w:r>
          </w:p>
        </w:tc>
        <w:tc>
          <w:tcPr>
            <w:tcW w:w="571" w:type="dxa"/>
            <w:shd w:val="clear" w:color="auto" w:fill="auto"/>
          </w:tcPr>
          <w:p w14:paraId="7121A38B" w14:textId="0283D2C5" w:rsidR="00CC594B" w:rsidRPr="00686014" w:rsidRDefault="00CC594B" w:rsidP="00686014">
            <w:pPr>
              <w:jc w:val="center"/>
              <w:rPr>
                <w:rFonts w:eastAsia="Arial" w:cs="Arial"/>
                <w:sz w:val="20"/>
                <w:szCs w:val="20"/>
              </w:rPr>
            </w:pPr>
            <w:r w:rsidRPr="00686014">
              <w:rPr>
                <w:rFonts w:cs="Arial"/>
                <w:sz w:val="20"/>
                <w:szCs w:val="20"/>
              </w:rPr>
              <w:t>€150</w:t>
            </w:r>
          </w:p>
        </w:tc>
        <w:tc>
          <w:tcPr>
            <w:tcW w:w="571" w:type="dxa"/>
          </w:tcPr>
          <w:p w14:paraId="27A51F87" w14:textId="5D3FC7D0" w:rsidR="00CC594B" w:rsidRPr="00686014" w:rsidRDefault="00CC594B" w:rsidP="00686014">
            <w:pPr>
              <w:jc w:val="center"/>
              <w:rPr>
                <w:rFonts w:cs="Arial"/>
                <w:sz w:val="20"/>
                <w:szCs w:val="20"/>
              </w:rPr>
            </w:pPr>
            <w:r w:rsidRPr="00686014">
              <w:rPr>
                <w:rFonts w:cs="Arial"/>
                <w:sz w:val="20"/>
                <w:szCs w:val="20"/>
              </w:rPr>
              <w:t>€150</w:t>
            </w:r>
          </w:p>
        </w:tc>
        <w:tc>
          <w:tcPr>
            <w:tcW w:w="576" w:type="dxa"/>
          </w:tcPr>
          <w:p w14:paraId="5FA734E9" w14:textId="3884D3BA" w:rsidR="00CC594B" w:rsidRPr="00686014" w:rsidRDefault="009A728C" w:rsidP="00686014">
            <w:pPr>
              <w:jc w:val="center"/>
              <w:rPr>
                <w:rFonts w:cs="Arial"/>
                <w:sz w:val="20"/>
                <w:szCs w:val="20"/>
              </w:rPr>
            </w:pPr>
            <w:r w:rsidRPr="00686014">
              <w:rPr>
                <w:rFonts w:cs="Arial"/>
                <w:sz w:val="20"/>
                <w:szCs w:val="20"/>
              </w:rPr>
              <w:t>€100</w:t>
            </w:r>
          </w:p>
        </w:tc>
        <w:tc>
          <w:tcPr>
            <w:tcW w:w="647" w:type="dxa"/>
            <w:shd w:val="clear" w:color="auto" w:fill="auto"/>
          </w:tcPr>
          <w:p w14:paraId="328C0867" w14:textId="25B9B025" w:rsidR="00CC594B" w:rsidRPr="00686014" w:rsidRDefault="00CC594B" w:rsidP="00686014">
            <w:pPr>
              <w:jc w:val="center"/>
              <w:rPr>
                <w:rFonts w:eastAsia="Arial" w:cs="Arial"/>
                <w:sz w:val="20"/>
                <w:szCs w:val="20"/>
              </w:rPr>
            </w:pPr>
            <w:r w:rsidRPr="00686014">
              <w:rPr>
                <w:rFonts w:cs="Arial"/>
                <w:sz w:val="20"/>
                <w:szCs w:val="20"/>
              </w:rPr>
              <w:t>€500</w:t>
            </w:r>
          </w:p>
        </w:tc>
        <w:tc>
          <w:tcPr>
            <w:tcW w:w="649" w:type="dxa"/>
            <w:shd w:val="clear" w:color="auto" w:fill="auto"/>
          </w:tcPr>
          <w:p w14:paraId="412B2977" w14:textId="77777777" w:rsidR="00CC594B" w:rsidRPr="00686014" w:rsidRDefault="00CC594B" w:rsidP="00686014">
            <w:pPr>
              <w:jc w:val="center"/>
              <w:rPr>
                <w:rFonts w:eastAsia="Arial" w:cs="Arial"/>
                <w:sz w:val="20"/>
                <w:szCs w:val="20"/>
              </w:rPr>
            </w:pPr>
            <w:r w:rsidRPr="00686014">
              <w:rPr>
                <w:rFonts w:cs="Arial"/>
                <w:sz w:val="20"/>
                <w:szCs w:val="20"/>
              </w:rPr>
              <w:t>€300</w:t>
            </w:r>
          </w:p>
        </w:tc>
        <w:tc>
          <w:tcPr>
            <w:tcW w:w="578" w:type="dxa"/>
            <w:shd w:val="clear" w:color="auto" w:fill="auto"/>
          </w:tcPr>
          <w:p w14:paraId="2FE29019" w14:textId="77777777" w:rsidR="00CC594B" w:rsidRPr="00686014" w:rsidRDefault="00CC594B" w:rsidP="00686014">
            <w:pPr>
              <w:jc w:val="center"/>
              <w:rPr>
                <w:rFonts w:eastAsia="Arial" w:cs="Arial"/>
                <w:sz w:val="20"/>
                <w:szCs w:val="20"/>
              </w:rPr>
            </w:pPr>
            <w:r w:rsidRPr="00686014">
              <w:rPr>
                <w:rFonts w:cs="Arial"/>
                <w:sz w:val="20"/>
                <w:szCs w:val="20"/>
              </w:rPr>
              <w:t>€150</w:t>
            </w:r>
          </w:p>
        </w:tc>
        <w:tc>
          <w:tcPr>
            <w:tcW w:w="578" w:type="dxa"/>
            <w:shd w:val="clear" w:color="auto" w:fill="auto"/>
          </w:tcPr>
          <w:p w14:paraId="21BEEF11" w14:textId="3FBB0849" w:rsidR="00CC594B" w:rsidRPr="00686014" w:rsidRDefault="00CC594B" w:rsidP="00686014">
            <w:pPr>
              <w:jc w:val="center"/>
              <w:rPr>
                <w:rFonts w:eastAsia="Arial" w:cs="Arial"/>
                <w:sz w:val="20"/>
                <w:szCs w:val="20"/>
              </w:rPr>
            </w:pPr>
            <w:r w:rsidRPr="00686014">
              <w:rPr>
                <w:rFonts w:cs="Arial"/>
                <w:sz w:val="20"/>
                <w:szCs w:val="20"/>
              </w:rPr>
              <w:t>€100</w:t>
            </w:r>
          </w:p>
        </w:tc>
      </w:tr>
      <w:tr w:rsidR="008B1515" w:rsidRPr="00903F89" w14:paraId="23DA61D0" w14:textId="77777777" w:rsidTr="00C61D41">
        <w:trPr>
          <w:trHeight w:val="13"/>
        </w:trPr>
        <w:tc>
          <w:tcPr>
            <w:tcW w:w="3150" w:type="dxa"/>
            <w:shd w:val="clear" w:color="auto" w:fill="auto"/>
          </w:tcPr>
          <w:p w14:paraId="7D519534" w14:textId="5C5C358C" w:rsidR="000841EB" w:rsidRPr="00686014" w:rsidRDefault="000841EB" w:rsidP="00686014">
            <w:pPr>
              <w:rPr>
                <w:rFonts w:eastAsia="Arial" w:cs="Arial"/>
                <w:sz w:val="20"/>
                <w:szCs w:val="20"/>
              </w:rPr>
            </w:pPr>
            <w:r w:rsidRPr="00686014">
              <w:rPr>
                <w:rFonts w:cs="Arial"/>
                <w:sz w:val="20"/>
                <w:szCs w:val="20"/>
              </w:rPr>
              <w:t>Μέγιστο όριο βραδιών διαμονής</w:t>
            </w:r>
          </w:p>
        </w:tc>
        <w:tc>
          <w:tcPr>
            <w:tcW w:w="659" w:type="dxa"/>
            <w:shd w:val="clear" w:color="auto" w:fill="auto"/>
          </w:tcPr>
          <w:p w14:paraId="3DD5D8D6" w14:textId="5F518B25" w:rsidR="000841EB" w:rsidRPr="00686014" w:rsidRDefault="000841EB" w:rsidP="00686014">
            <w:pPr>
              <w:jc w:val="center"/>
              <w:rPr>
                <w:rFonts w:eastAsia="Arial" w:cs="Arial"/>
                <w:sz w:val="20"/>
                <w:szCs w:val="20"/>
              </w:rPr>
            </w:pPr>
            <w:r w:rsidRPr="00686014">
              <w:rPr>
                <w:rFonts w:cs="Arial"/>
                <w:sz w:val="20"/>
                <w:szCs w:val="20"/>
              </w:rPr>
              <w:t>3</w:t>
            </w:r>
          </w:p>
        </w:tc>
        <w:tc>
          <w:tcPr>
            <w:tcW w:w="659" w:type="dxa"/>
            <w:shd w:val="clear" w:color="auto" w:fill="auto"/>
          </w:tcPr>
          <w:p w14:paraId="4FEC67C7" w14:textId="77777777" w:rsidR="000841EB" w:rsidRPr="00686014" w:rsidRDefault="000841EB" w:rsidP="00686014">
            <w:pPr>
              <w:jc w:val="center"/>
              <w:rPr>
                <w:rFonts w:eastAsia="Arial" w:cs="Arial"/>
                <w:sz w:val="20"/>
                <w:szCs w:val="20"/>
              </w:rPr>
            </w:pPr>
            <w:r w:rsidRPr="00686014">
              <w:rPr>
                <w:rFonts w:eastAsia="Arial" w:cs="Arial"/>
                <w:sz w:val="20"/>
                <w:szCs w:val="20"/>
              </w:rPr>
              <w:t>---</w:t>
            </w:r>
          </w:p>
        </w:tc>
        <w:tc>
          <w:tcPr>
            <w:tcW w:w="659" w:type="dxa"/>
          </w:tcPr>
          <w:p w14:paraId="20F603DB" w14:textId="19BD34C4" w:rsidR="000841EB" w:rsidRPr="00686014" w:rsidRDefault="000841EB" w:rsidP="00686014">
            <w:pPr>
              <w:jc w:val="center"/>
              <w:rPr>
                <w:rFonts w:cs="Arial"/>
                <w:sz w:val="20"/>
                <w:szCs w:val="20"/>
              </w:rPr>
            </w:pPr>
            <w:r w:rsidRPr="00686014">
              <w:rPr>
                <w:rFonts w:eastAsia="Arial" w:cs="Arial"/>
                <w:sz w:val="20"/>
                <w:szCs w:val="20"/>
              </w:rPr>
              <w:t>---</w:t>
            </w:r>
          </w:p>
        </w:tc>
        <w:tc>
          <w:tcPr>
            <w:tcW w:w="660" w:type="dxa"/>
            <w:shd w:val="clear" w:color="auto" w:fill="auto"/>
          </w:tcPr>
          <w:p w14:paraId="5F43DF93" w14:textId="00F14C15" w:rsidR="000841EB" w:rsidRPr="00686014" w:rsidRDefault="000841EB" w:rsidP="00686014">
            <w:pPr>
              <w:jc w:val="center"/>
              <w:rPr>
                <w:rFonts w:cs="Arial"/>
                <w:sz w:val="20"/>
                <w:szCs w:val="20"/>
              </w:rPr>
            </w:pPr>
            <w:r w:rsidRPr="00686014">
              <w:rPr>
                <w:rFonts w:eastAsia="Arial" w:cs="Arial"/>
                <w:sz w:val="20"/>
                <w:szCs w:val="20"/>
              </w:rPr>
              <w:t>---</w:t>
            </w:r>
          </w:p>
        </w:tc>
        <w:tc>
          <w:tcPr>
            <w:tcW w:w="571" w:type="dxa"/>
            <w:shd w:val="clear" w:color="auto" w:fill="auto"/>
          </w:tcPr>
          <w:p w14:paraId="3B56158F" w14:textId="44DDE1D1" w:rsidR="000841EB" w:rsidRPr="00686014" w:rsidRDefault="000841EB" w:rsidP="00686014">
            <w:pPr>
              <w:jc w:val="center"/>
              <w:rPr>
                <w:rFonts w:eastAsia="Arial" w:cs="Arial"/>
                <w:sz w:val="20"/>
                <w:szCs w:val="20"/>
              </w:rPr>
            </w:pPr>
            <w:r w:rsidRPr="00686014">
              <w:rPr>
                <w:rFonts w:cs="Arial"/>
                <w:sz w:val="20"/>
                <w:szCs w:val="20"/>
              </w:rPr>
              <w:t>3</w:t>
            </w:r>
          </w:p>
        </w:tc>
        <w:tc>
          <w:tcPr>
            <w:tcW w:w="571" w:type="dxa"/>
            <w:shd w:val="clear" w:color="auto" w:fill="auto"/>
          </w:tcPr>
          <w:p w14:paraId="5C1820DD" w14:textId="436DC18A" w:rsidR="000841EB" w:rsidRPr="00686014" w:rsidRDefault="000841EB" w:rsidP="00686014">
            <w:pPr>
              <w:jc w:val="center"/>
              <w:rPr>
                <w:rFonts w:eastAsia="Arial" w:cs="Arial"/>
                <w:sz w:val="20"/>
                <w:szCs w:val="20"/>
              </w:rPr>
            </w:pPr>
            <w:r w:rsidRPr="00686014">
              <w:rPr>
                <w:rFonts w:eastAsia="Arial" w:cs="Arial"/>
                <w:sz w:val="20"/>
                <w:szCs w:val="20"/>
              </w:rPr>
              <w:t>---</w:t>
            </w:r>
          </w:p>
        </w:tc>
        <w:tc>
          <w:tcPr>
            <w:tcW w:w="571" w:type="dxa"/>
          </w:tcPr>
          <w:p w14:paraId="07269CA0" w14:textId="02016B92" w:rsidR="000841EB" w:rsidRPr="00686014" w:rsidRDefault="000841EB" w:rsidP="00686014">
            <w:pPr>
              <w:jc w:val="center"/>
              <w:rPr>
                <w:rFonts w:cs="Arial"/>
                <w:sz w:val="20"/>
                <w:szCs w:val="20"/>
              </w:rPr>
            </w:pPr>
            <w:r w:rsidRPr="00686014">
              <w:rPr>
                <w:rFonts w:eastAsia="Arial" w:cs="Arial"/>
                <w:sz w:val="20"/>
                <w:szCs w:val="20"/>
              </w:rPr>
              <w:t>---</w:t>
            </w:r>
          </w:p>
        </w:tc>
        <w:tc>
          <w:tcPr>
            <w:tcW w:w="576" w:type="dxa"/>
          </w:tcPr>
          <w:p w14:paraId="6C11F9A3" w14:textId="131842CA" w:rsidR="000841EB" w:rsidRPr="00686014" w:rsidRDefault="000841EB" w:rsidP="00686014">
            <w:pPr>
              <w:jc w:val="center"/>
              <w:rPr>
                <w:rFonts w:cs="Arial"/>
                <w:sz w:val="20"/>
                <w:szCs w:val="20"/>
              </w:rPr>
            </w:pPr>
            <w:r w:rsidRPr="00686014">
              <w:rPr>
                <w:rFonts w:eastAsia="Arial" w:cs="Arial"/>
                <w:sz w:val="20"/>
                <w:szCs w:val="20"/>
              </w:rPr>
              <w:t>---</w:t>
            </w:r>
          </w:p>
        </w:tc>
        <w:tc>
          <w:tcPr>
            <w:tcW w:w="647" w:type="dxa"/>
            <w:shd w:val="clear" w:color="auto" w:fill="auto"/>
          </w:tcPr>
          <w:p w14:paraId="24B1AB02" w14:textId="1ECA1D2E" w:rsidR="000841EB" w:rsidRPr="00686014" w:rsidRDefault="000B592B" w:rsidP="00686014">
            <w:pPr>
              <w:jc w:val="center"/>
              <w:rPr>
                <w:rFonts w:eastAsia="Arial" w:cs="Arial"/>
                <w:sz w:val="11"/>
                <w:szCs w:val="11"/>
              </w:rPr>
            </w:pPr>
            <w:r w:rsidRPr="00686014">
              <w:rPr>
                <w:rFonts w:cs="Arial"/>
                <w:sz w:val="11"/>
                <w:szCs w:val="11"/>
              </w:rPr>
              <w:t xml:space="preserve">Αρ. </w:t>
            </w:r>
            <w:r w:rsidR="000841EB" w:rsidRPr="00686014">
              <w:rPr>
                <w:rFonts w:cs="Arial"/>
                <w:sz w:val="11"/>
                <w:szCs w:val="11"/>
              </w:rPr>
              <w:t>ημ</w:t>
            </w:r>
            <w:r w:rsidRPr="00686014">
              <w:rPr>
                <w:rFonts w:cs="Arial"/>
                <w:sz w:val="11"/>
                <w:szCs w:val="11"/>
              </w:rPr>
              <w:t xml:space="preserve">ερών </w:t>
            </w:r>
            <w:r w:rsidR="000841EB" w:rsidRPr="00686014">
              <w:rPr>
                <w:rFonts w:cs="Arial"/>
                <w:sz w:val="11"/>
                <w:szCs w:val="11"/>
              </w:rPr>
              <w:t xml:space="preserve"> εργασ</w:t>
            </w:r>
            <w:r w:rsidRPr="00686014">
              <w:rPr>
                <w:rFonts w:cs="Arial"/>
                <w:sz w:val="11"/>
                <w:szCs w:val="11"/>
              </w:rPr>
              <w:t xml:space="preserve">ιών </w:t>
            </w:r>
            <w:r w:rsidR="000841EB" w:rsidRPr="00686014">
              <w:rPr>
                <w:rFonts w:cs="Arial"/>
                <w:sz w:val="11"/>
                <w:szCs w:val="11"/>
              </w:rPr>
              <w:t>+2</w:t>
            </w:r>
            <w:r w:rsidRPr="00686014">
              <w:rPr>
                <w:rFonts w:cs="Arial"/>
                <w:sz w:val="11"/>
                <w:szCs w:val="11"/>
              </w:rPr>
              <w:t xml:space="preserve"> βράδια</w:t>
            </w:r>
          </w:p>
        </w:tc>
        <w:tc>
          <w:tcPr>
            <w:tcW w:w="649" w:type="dxa"/>
            <w:shd w:val="clear" w:color="auto" w:fill="auto"/>
          </w:tcPr>
          <w:p w14:paraId="4EFA34B5" w14:textId="6FF18574" w:rsidR="000841EB" w:rsidRPr="00686014" w:rsidRDefault="000B592B" w:rsidP="00686014">
            <w:pPr>
              <w:ind w:right="-103"/>
              <w:jc w:val="center"/>
              <w:rPr>
                <w:rFonts w:eastAsia="Arial" w:cs="Arial"/>
                <w:sz w:val="11"/>
                <w:szCs w:val="11"/>
              </w:rPr>
            </w:pPr>
            <w:r w:rsidRPr="00686014">
              <w:rPr>
                <w:rFonts w:cs="Arial"/>
                <w:sz w:val="11"/>
                <w:szCs w:val="11"/>
              </w:rPr>
              <w:t>Αρ. ημερών  εργασιών</w:t>
            </w:r>
          </w:p>
        </w:tc>
        <w:tc>
          <w:tcPr>
            <w:tcW w:w="578" w:type="dxa"/>
            <w:shd w:val="clear" w:color="auto" w:fill="auto"/>
          </w:tcPr>
          <w:p w14:paraId="6FC4DA71" w14:textId="2C3B7916" w:rsidR="000841EB" w:rsidRPr="00686014" w:rsidRDefault="000841EB" w:rsidP="00686014">
            <w:pPr>
              <w:jc w:val="center"/>
              <w:rPr>
                <w:rFonts w:eastAsia="Arial" w:cs="Arial"/>
                <w:sz w:val="20"/>
                <w:szCs w:val="20"/>
              </w:rPr>
            </w:pPr>
            <w:r w:rsidRPr="00686014">
              <w:rPr>
                <w:rFonts w:cs="Arial"/>
                <w:sz w:val="20"/>
                <w:szCs w:val="20"/>
              </w:rPr>
              <w:t>4</w:t>
            </w:r>
          </w:p>
        </w:tc>
        <w:tc>
          <w:tcPr>
            <w:tcW w:w="578" w:type="dxa"/>
            <w:shd w:val="clear" w:color="auto" w:fill="auto"/>
          </w:tcPr>
          <w:p w14:paraId="6DFD2752" w14:textId="77777777" w:rsidR="000841EB" w:rsidRPr="00686014" w:rsidRDefault="000841EB" w:rsidP="00686014">
            <w:pPr>
              <w:jc w:val="center"/>
              <w:rPr>
                <w:rFonts w:eastAsia="Arial" w:cs="Arial"/>
                <w:sz w:val="20"/>
                <w:szCs w:val="20"/>
              </w:rPr>
            </w:pPr>
            <w:r w:rsidRPr="00686014">
              <w:rPr>
                <w:rFonts w:eastAsia="Arial" w:cs="Arial"/>
                <w:sz w:val="20"/>
                <w:szCs w:val="20"/>
              </w:rPr>
              <w:t>---</w:t>
            </w:r>
          </w:p>
        </w:tc>
      </w:tr>
      <w:tr w:rsidR="008B1515" w:rsidRPr="00903F89" w14:paraId="13AABE00" w14:textId="77777777" w:rsidTr="00C61D41">
        <w:trPr>
          <w:trHeight w:val="13"/>
        </w:trPr>
        <w:tc>
          <w:tcPr>
            <w:tcW w:w="3150" w:type="dxa"/>
            <w:shd w:val="clear" w:color="auto" w:fill="auto"/>
          </w:tcPr>
          <w:p w14:paraId="0BE72722" w14:textId="587F2069" w:rsidR="000841EB" w:rsidRPr="00686014" w:rsidRDefault="000841EB" w:rsidP="00686014">
            <w:pPr>
              <w:rPr>
                <w:rFonts w:eastAsia="Arial" w:cs="Arial"/>
                <w:sz w:val="20"/>
                <w:szCs w:val="20"/>
              </w:rPr>
            </w:pPr>
            <w:r w:rsidRPr="00686014">
              <w:rPr>
                <w:rFonts w:cs="Arial"/>
                <w:sz w:val="20"/>
                <w:szCs w:val="20"/>
              </w:rPr>
              <w:t>Αεροπορικό εισιτήριο</w:t>
            </w:r>
          </w:p>
        </w:tc>
        <w:tc>
          <w:tcPr>
            <w:tcW w:w="659" w:type="dxa"/>
            <w:shd w:val="clear" w:color="auto" w:fill="auto"/>
          </w:tcPr>
          <w:p w14:paraId="3DD4EA2A" w14:textId="24E25C48" w:rsidR="000841EB" w:rsidRPr="00686014" w:rsidRDefault="000841EB" w:rsidP="00686014">
            <w:pPr>
              <w:jc w:val="center"/>
              <w:rPr>
                <w:rFonts w:eastAsia="Arial" w:cs="Arial"/>
                <w:sz w:val="20"/>
                <w:szCs w:val="20"/>
              </w:rPr>
            </w:pPr>
            <w:r w:rsidRPr="00686014">
              <w:rPr>
                <w:rFonts w:cs="Arial"/>
                <w:sz w:val="20"/>
                <w:szCs w:val="20"/>
              </w:rPr>
              <w:t>√</w:t>
            </w:r>
          </w:p>
        </w:tc>
        <w:tc>
          <w:tcPr>
            <w:tcW w:w="659" w:type="dxa"/>
            <w:shd w:val="clear" w:color="auto" w:fill="auto"/>
          </w:tcPr>
          <w:p w14:paraId="2C282A8C" w14:textId="77777777" w:rsidR="000841EB" w:rsidRPr="00686014" w:rsidRDefault="000841EB" w:rsidP="00686014">
            <w:pPr>
              <w:jc w:val="center"/>
              <w:rPr>
                <w:rFonts w:eastAsia="Arial" w:cs="Arial"/>
                <w:sz w:val="20"/>
                <w:szCs w:val="20"/>
              </w:rPr>
            </w:pPr>
            <w:r w:rsidRPr="00686014">
              <w:rPr>
                <w:rFonts w:eastAsia="Arial" w:cs="Arial"/>
                <w:sz w:val="20"/>
                <w:szCs w:val="20"/>
              </w:rPr>
              <w:t>---</w:t>
            </w:r>
          </w:p>
        </w:tc>
        <w:tc>
          <w:tcPr>
            <w:tcW w:w="659" w:type="dxa"/>
          </w:tcPr>
          <w:p w14:paraId="7BAC0BD1" w14:textId="63C78045" w:rsidR="000841EB" w:rsidRPr="00686014" w:rsidRDefault="000841EB" w:rsidP="00686014">
            <w:pPr>
              <w:jc w:val="center"/>
              <w:rPr>
                <w:rFonts w:cs="Arial"/>
                <w:sz w:val="20"/>
                <w:szCs w:val="20"/>
              </w:rPr>
            </w:pPr>
            <w:r w:rsidRPr="00686014">
              <w:rPr>
                <w:rFonts w:eastAsia="Arial" w:cs="Arial"/>
                <w:sz w:val="20"/>
                <w:szCs w:val="20"/>
              </w:rPr>
              <w:t>---</w:t>
            </w:r>
          </w:p>
        </w:tc>
        <w:tc>
          <w:tcPr>
            <w:tcW w:w="660" w:type="dxa"/>
          </w:tcPr>
          <w:p w14:paraId="6F67F56C" w14:textId="0CACEE5E" w:rsidR="000841EB" w:rsidRPr="00686014" w:rsidRDefault="000841EB" w:rsidP="00686014">
            <w:pPr>
              <w:jc w:val="center"/>
              <w:rPr>
                <w:rFonts w:cs="Arial"/>
                <w:sz w:val="20"/>
                <w:szCs w:val="20"/>
              </w:rPr>
            </w:pPr>
            <w:r w:rsidRPr="00686014">
              <w:rPr>
                <w:rFonts w:cs="Arial"/>
                <w:sz w:val="20"/>
                <w:szCs w:val="20"/>
              </w:rPr>
              <w:t>√</w:t>
            </w:r>
          </w:p>
        </w:tc>
        <w:tc>
          <w:tcPr>
            <w:tcW w:w="571" w:type="dxa"/>
            <w:shd w:val="clear" w:color="auto" w:fill="auto"/>
          </w:tcPr>
          <w:p w14:paraId="1BF4F5CF" w14:textId="3AB75DD5" w:rsidR="000841EB" w:rsidRPr="00686014" w:rsidRDefault="000841EB" w:rsidP="00686014">
            <w:pPr>
              <w:jc w:val="center"/>
              <w:rPr>
                <w:rFonts w:eastAsia="Arial" w:cs="Arial"/>
                <w:sz w:val="20"/>
                <w:szCs w:val="20"/>
              </w:rPr>
            </w:pPr>
            <w:r w:rsidRPr="00686014">
              <w:rPr>
                <w:rFonts w:cs="Arial"/>
                <w:sz w:val="20"/>
                <w:szCs w:val="20"/>
              </w:rPr>
              <w:t>√</w:t>
            </w:r>
          </w:p>
        </w:tc>
        <w:tc>
          <w:tcPr>
            <w:tcW w:w="571" w:type="dxa"/>
            <w:shd w:val="clear" w:color="auto" w:fill="auto"/>
          </w:tcPr>
          <w:p w14:paraId="0ED2F06B" w14:textId="3832C1A4" w:rsidR="000841EB" w:rsidRPr="00686014" w:rsidRDefault="000841EB" w:rsidP="00686014">
            <w:pPr>
              <w:jc w:val="center"/>
              <w:rPr>
                <w:rFonts w:eastAsia="Arial" w:cs="Arial"/>
                <w:sz w:val="20"/>
                <w:szCs w:val="20"/>
              </w:rPr>
            </w:pPr>
            <w:r w:rsidRPr="00686014">
              <w:rPr>
                <w:rFonts w:eastAsia="Arial" w:cs="Arial"/>
                <w:sz w:val="20"/>
                <w:szCs w:val="20"/>
              </w:rPr>
              <w:t>---</w:t>
            </w:r>
          </w:p>
        </w:tc>
        <w:tc>
          <w:tcPr>
            <w:tcW w:w="571" w:type="dxa"/>
          </w:tcPr>
          <w:p w14:paraId="6A8D4708" w14:textId="65440CDE" w:rsidR="000841EB" w:rsidRPr="00686014" w:rsidRDefault="000841EB" w:rsidP="00686014">
            <w:pPr>
              <w:jc w:val="center"/>
              <w:rPr>
                <w:rFonts w:cs="Arial"/>
                <w:sz w:val="20"/>
                <w:szCs w:val="20"/>
              </w:rPr>
            </w:pPr>
            <w:r w:rsidRPr="00686014">
              <w:rPr>
                <w:rFonts w:eastAsia="Arial" w:cs="Arial"/>
                <w:sz w:val="20"/>
                <w:szCs w:val="20"/>
              </w:rPr>
              <w:t>---</w:t>
            </w:r>
          </w:p>
        </w:tc>
        <w:tc>
          <w:tcPr>
            <w:tcW w:w="576" w:type="dxa"/>
          </w:tcPr>
          <w:p w14:paraId="68D57712" w14:textId="57E8D36C" w:rsidR="000841EB" w:rsidRPr="00686014" w:rsidRDefault="000841EB" w:rsidP="00686014">
            <w:pPr>
              <w:jc w:val="center"/>
              <w:rPr>
                <w:rFonts w:cs="Arial"/>
                <w:sz w:val="20"/>
                <w:szCs w:val="20"/>
              </w:rPr>
            </w:pPr>
            <w:r w:rsidRPr="00686014">
              <w:rPr>
                <w:rFonts w:eastAsia="Arial" w:cs="Arial"/>
                <w:sz w:val="20"/>
                <w:szCs w:val="20"/>
              </w:rPr>
              <w:t>---</w:t>
            </w:r>
          </w:p>
        </w:tc>
        <w:tc>
          <w:tcPr>
            <w:tcW w:w="647" w:type="dxa"/>
            <w:shd w:val="clear" w:color="auto" w:fill="auto"/>
          </w:tcPr>
          <w:p w14:paraId="4D5DFC15" w14:textId="6089CF8C" w:rsidR="000841EB" w:rsidRPr="00686014" w:rsidRDefault="000841EB" w:rsidP="00686014">
            <w:pPr>
              <w:jc w:val="center"/>
              <w:rPr>
                <w:rFonts w:eastAsia="Arial" w:cs="Arial"/>
                <w:sz w:val="20"/>
                <w:szCs w:val="20"/>
              </w:rPr>
            </w:pPr>
            <w:r w:rsidRPr="00686014">
              <w:rPr>
                <w:rFonts w:cs="Arial"/>
                <w:sz w:val="20"/>
                <w:szCs w:val="20"/>
              </w:rPr>
              <w:t>√</w:t>
            </w:r>
          </w:p>
        </w:tc>
        <w:tc>
          <w:tcPr>
            <w:tcW w:w="649" w:type="dxa"/>
            <w:shd w:val="clear" w:color="auto" w:fill="auto"/>
          </w:tcPr>
          <w:p w14:paraId="299C88D9" w14:textId="77777777" w:rsidR="000841EB" w:rsidRPr="00686014" w:rsidRDefault="000841EB" w:rsidP="00686014">
            <w:pPr>
              <w:jc w:val="center"/>
              <w:rPr>
                <w:rFonts w:eastAsia="Arial" w:cs="Arial"/>
                <w:sz w:val="20"/>
                <w:szCs w:val="20"/>
              </w:rPr>
            </w:pPr>
            <w:r w:rsidRPr="00686014">
              <w:rPr>
                <w:rFonts w:eastAsia="Arial" w:cs="Arial"/>
                <w:sz w:val="20"/>
                <w:szCs w:val="20"/>
              </w:rPr>
              <w:t>---</w:t>
            </w:r>
          </w:p>
        </w:tc>
        <w:tc>
          <w:tcPr>
            <w:tcW w:w="578" w:type="dxa"/>
            <w:shd w:val="clear" w:color="auto" w:fill="auto"/>
          </w:tcPr>
          <w:p w14:paraId="753AB0CA" w14:textId="39008E1B" w:rsidR="000841EB" w:rsidRPr="00686014" w:rsidRDefault="000841EB" w:rsidP="00686014">
            <w:pPr>
              <w:jc w:val="center"/>
              <w:rPr>
                <w:rFonts w:eastAsia="Arial" w:cs="Arial"/>
                <w:sz w:val="20"/>
                <w:szCs w:val="20"/>
              </w:rPr>
            </w:pPr>
            <w:r w:rsidRPr="00686014">
              <w:rPr>
                <w:rFonts w:cs="Arial"/>
                <w:sz w:val="20"/>
                <w:szCs w:val="20"/>
              </w:rPr>
              <w:t>√</w:t>
            </w:r>
          </w:p>
        </w:tc>
        <w:tc>
          <w:tcPr>
            <w:tcW w:w="578" w:type="dxa"/>
            <w:shd w:val="clear" w:color="auto" w:fill="auto"/>
          </w:tcPr>
          <w:p w14:paraId="679D2BEB" w14:textId="77777777" w:rsidR="000841EB" w:rsidRPr="00686014" w:rsidRDefault="000841EB" w:rsidP="00686014">
            <w:pPr>
              <w:jc w:val="center"/>
              <w:rPr>
                <w:rFonts w:eastAsia="Arial" w:cs="Arial"/>
                <w:sz w:val="20"/>
                <w:szCs w:val="20"/>
              </w:rPr>
            </w:pPr>
            <w:r w:rsidRPr="00686014">
              <w:rPr>
                <w:rFonts w:eastAsia="Arial" w:cs="Arial"/>
                <w:sz w:val="20"/>
                <w:szCs w:val="20"/>
              </w:rPr>
              <w:t>---</w:t>
            </w:r>
          </w:p>
        </w:tc>
      </w:tr>
      <w:tr w:rsidR="008B1515" w:rsidRPr="00903F89" w14:paraId="26A436E7" w14:textId="77777777" w:rsidTr="00C61D41">
        <w:trPr>
          <w:trHeight w:val="13"/>
        </w:trPr>
        <w:tc>
          <w:tcPr>
            <w:tcW w:w="3150" w:type="dxa"/>
            <w:shd w:val="clear" w:color="auto" w:fill="auto"/>
          </w:tcPr>
          <w:p w14:paraId="1847C17F" w14:textId="103FE2F9" w:rsidR="000841EB" w:rsidRPr="00686014" w:rsidRDefault="000841EB" w:rsidP="00686014">
            <w:pPr>
              <w:rPr>
                <w:rFonts w:eastAsia="Arial" w:cs="Arial"/>
                <w:sz w:val="20"/>
                <w:szCs w:val="20"/>
              </w:rPr>
            </w:pPr>
            <w:r w:rsidRPr="00686014">
              <w:rPr>
                <w:rFonts w:cs="Arial"/>
                <w:sz w:val="20"/>
                <w:szCs w:val="20"/>
              </w:rPr>
              <w:t>Μεταφορικά έξοδα</w:t>
            </w:r>
          </w:p>
        </w:tc>
        <w:tc>
          <w:tcPr>
            <w:tcW w:w="659" w:type="dxa"/>
            <w:shd w:val="clear" w:color="auto" w:fill="auto"/>
          </w:tcPr>
          <w:p w14:paraId="13D6E128" w14:textId="67AC10C9" w:rsidR="000841EB" w:rsidRPr="00686014" w:rsidRDefault="000841EB" w:rsidP="00686014">
            <w:pPr>
              <w:jc w:val="center"/>
              <w:rPr>
                <w:rFonts w:eastAsia="Arial" w:cs="Arial"/>
                <w:sz w:val="20"/>
                <w:szCs w:val="20"/>
              </w:rPr>
            </w:pPr>
            <w:r w:rsidRPr="00686014">
              <w:rPr>
                <w:rFonts w:cs="Arial"/>
                <w:sz w:val="20"/>
                <w:szCs w:val="20"/>
              </w:rPr>
              <w:t>√</w:t>
            </w:r>
          </w:p>
        </w:tc>
        <w:tc>
          <w:tcPr>
            <w:tcW w:w="659" w:type="dxa"/>
            <w:shd w:val="clear" w:color="auto" w:fill="auto"/>
          </w:tcPr>
          <w:p w14:paraId="358881F7" w14:textId="77777777" w:rsidR="000841EB" w:rsidRPr="00686014" w:rsidRDefault="000841EB" w:rsidP="00686014">
            <w:pPr>
              <w:jc w:val="center"/>
              <w:rPr>
                <w:rFonts w:eastAsia="Arial" w:cs="Arial"/>
                <w:sz w:val="20"/>
                <w:szCs w:val="20"/>
              </w:rPr>
            </w:pPr>
            <w:r w:rsidRPr="00686014">
              <w:rPr>
                <w:rFonts w:eastAsia="Arial" w:cs="Arial"/>
                <w:sz w:val="20"/>
                <w:szCs w:val="20"/>
              </w:rPr>
              <w:t>---</w:t>
            </w:r>
          </w:p>
        </w:tc>
        <w:tc>
          <w:tcPr>
            <w:tcW w:w="659" w:type="dxa"/>
          </w:tcPr>
          <w:p w14:paraId="601B414A" w14:textId="0E82F2E4" w:rsidR="000841EB" w:rsidRPr="00686014" w:rsidRDefault="000841EB" w:rsidP="00686014">
            <w:pPr>
              <w:jc w:val="center"/>
              <w:rPr>
                <w:rFonts w:cs="Arial"/>
                <w:sz w:val="20"/>
                <w:szCs w:val="20"/>
              </w:rPr>
            </w:pPr>
            <w:r w:rsidRPr="00686014">
              <w:rPr>
                <w:rFonts w:eastAsia="Arial" w:cs="Arial"/>
                <w:sz w:val="20"/>
                <w:szCs w:val="20"/>
              </w:rPr>
              <w:t>---</w:t>
            </w:r>
          </w:p>
        </w:tc>
        <w:tc>
          <w:tcPr>
            <w:tcW w:w="660" w:type="dxa"/>
          </w:tcPr>
          <w:p w14:paraId="4BC4FAC9" w14:textId="1F9A2A25" w:rsidR="000841EB" w:rsidRPr="00686014" w:rsidRDefault="000841EB" w:rsidP="00686014">
            <w:pPr>
              <w:jc w:val="center"/>
              <w:rPr>
                <w:rFonts w:cs="Arial"/>
                <w:sz w:val="20"/>
                <w:szCs w:val="20"/>
              </w:rPr>
            </w:pPr>
            <w:r w:rsidRPr="00686014">
              <w:rPr>
                <w:rFonts w:cs="Arial"/>
                <w:sz w:val="20"/>
                <w:szCs w:val="20"/>
              </w:rPr>
              <w:t>√</w:t>
            </w:r>
          </w:p>
        </w:tc>
        <w:tc>
          <w:tcPr>
            <w:tcW w:w="571" w:type="dxa"/>
            <w:shd w:val="clear" w:color="auto" w:fill="auto"/>
          </w:tcPr>
          <w:p w14:paraId="50EEB0AE" w14:textId="53833CBC" w:rsidR="000841EB" w:rsidRPr="00686014" w:rsidRDefault="000841EB" w:rsidP="00686014">
            <w:pPr>
              <w:jc w:val="center"/>
              <w:rPr>
                <w:rFonts w:eastAsia="Arial" w:cs="Arial"/>
                <w:sz w:val="20"/>
                <w:szCs w:val="20"/>
              </w:rPr>
            </w:pPr>
            <w:r w:rsidRPr="00686014">
              <w:rPr>
                <w:rFonts w:cs="Arial"/>
                <w:sz w:val="20"/>
                <w:szCs w:val="20"/>
              </w:rPr>
              <w:t>√</w:t>
            </w:r>
          </w:p>
        </w:tc>
        <w:tc>
          <w:tcPr>
            <w:tcW w:w="571" w:type="dxa"/>
            <w:shd w:val="clear" w:color="auto" w:fill="auto"/>
          </w:tcPr>
          <w:p w14:paraId="51A239F0" w14:textId="0D7F4780" w:rsidR="000841EB" w:rsidRPr="00686014" w:rsidRDefault="000841EB" w:rsidP="00686014">
            <w:pPr>
              <w:jc w:val="center"/>
              <w:rPr>
                <w:rFonts w:eastAsia="Arial" w:cs="Arial"/>
                <w:sz w:val="20"/>
                <w:szCs w:val="20"/>
              </w:rPr>
            </w:pPr>
            <w:r w:rsidRPr="00686014">
              <w:rPr>
                <w:rFonts w:eastAsia="Arial" w:cs="Arial"/>
                <w:sz w:val="20"/>
                <w:szCs w:val="20"/>
              </w:rPr>
              <w:t>---</w:t>
            </w:r>
          </w:p>
        </w:tc>
        <w:tc>
          <w:tcPr>
            <w:tcW w:w="571" w:type="dxa"/>
          </w:tcPr>
          <w:p w14:paraId="7623F7E1" w14:textId="67CD53F5" w:rsidR="000841EB" w:rsidRPr="00686014" w:rsidRDefault="000841EB" w:rsidP="00686014">
            <w:pPr>
              <w:jc w:val="center"/>
              <w:rPr>
                <w:rFonts w:cs="Arial"/>
                <w:sz w:val="20"/>
                <w:szCs w:val="20"/>
              </w:rPr>
            </w:pPr>
            <w:r w:rsidRPr="00686014">
              <w:rPr>
                <w:rFonts w:eastAsia="Arial" w:cs="Arial"/>
                <w:sz w:val="20"/>
                <w:szCs w:val="20"/>
              </w:rPr>
              <w:t>---</w:t>
            </w:r>
          </w:p>
        </w:tc>
        <w:tc>
          <w:tcPr>
            <w:tcW w:w="576" w:type="dxa"/>
          </w:tcPr>
          <w:p w14:paraId="73D8998C" w14:textId="4AAA2FF9" w:rsidR="000841EB" w:rsidRPr="00686014" w:rsidRDefault="000841EB" w:rsidP="00686014">
            <w:pPr>
              <w:jc w:val="center"/>
              <w:rPr>
                <w:rFonts w:cs="Arial"/>
                <w:sz w:val="20"/>
                <w:szCs w:val="20"/>
              </w:rPr>
            </w:pPr>
            <w:r w:rsidRPr="00686014">
              <w:rPr>
                <w:rFonts w:eastAsia="Arial" w:cs="Arial"/>
                <w:sz w:val="20"/>
                <w:szCs w:val="20"/>
              </w:rPr>
              <w:t>---</w:t>
            </w:r>
          </w:p>
        </w:tc>
        <w:tc>
          <w:tcPr>
            <w:tcW w:w="647" w:type="dxa"/>
            <w:shd w:val="clear" w:color="auto" w:fill="auto"/>
          </w:tcPr>
          <w:p w14:paraId="579595C3" w14:textId="6746F58E" w:rsidR="000841EB" w:rsidRPr="00686014" w:rsidRDefault="000841EB" w:rsidP="00686014">
            <w:pPr>
              <w:jc w:val="center"/>
              <w:rPr>
                <w:rFonts w:eastAsia="Arial" w:cs="Arial"/>
                <w:sz w:val="20"/>
                <w:szCs w:val="20"/>
              </w:rPr>
            </w:pPr>
            <w:r w:rsidRPr="00686014">
              <w:rPr>
                <w:rFonts w:cs="Arial"/>
                <w:sz w:val="20"/>
                <w:szCs w:val="20"/>
              </w:rPr>
              <w:t>√</w:t>
            </w:r>
          </w:p>
        </w:tc>
        <w:tc>
          <w:tcPr>
            <w:tcW w:w="649" w:type="dxa"/>
            <w:shd w:val="clear" w:color="auto" w:fill="auto"/>
          </w:tcPr>
          <w:p w14:paraId="209F310F" w14:textId="007BBCF7" w:rsidR="000841EB" w:rsidRPr="00686014" w:rsidRDefault="00C74F6D" w:rsidP="00686014">
            <w:pPr>
              <w:ind w:right="-139"/>
              <w:jc w:val="center"/>
              <w:rPr>
                <w:rFonts w:eastAsia="Arial" w:cs="Arial"/>
                <w:sz w:val="11"/>
                <w:szCs w:val="11"/>
              </w:rPr>
            </w:pPr>
            <w:r w:rsidRPr="00686014">
              <w:rPr>
                <w:rFonts w:cs="Arial"/>
                <w:sz w:val="11"/>
                <w:szCs w:val="11"/>
              </w:rPr>
              <w:t>(</w:t>
            </w:r>
            <w:r w:rsidR="004420E1" w:rsidRPr="00686014">
              <w:rPr>
                <w:rFonts w:cs="Arial"/>
                <w:sz w:val="11"/>
                <w:szCs w:val="11"/>
              </w:rPr>
              <w:t>Βλ. Ανάλυση</w:t>
            </w:r>
            <w:r w:rsidRPr="00686014">
              <w:rPr>
                <w:rFonts w:cs="Arial"/>
                <w:sz w:val="11"/>
                <w:szCs w:val="11"/>
              </w:rPr>
              <w:t>)</w:t>
            </w:r>
          </w:p>
        </w:tc>
        <w:tc>
          <w:tcPr>
            <w:tcW w:w="578" w:type="dxa"/>
            <w:shd w:val="clear" w:color="auto" w:fill="auto"/>
          </w:tcPr>
          <w:p w14:paraId="1629D069" w14:textId="2E7F7E1E" w:rsidR="000841EB" w:rsidRPr="00686014" w:rsidRDefault="000841EB" w:rsidP="00686014">
            <w:pPr>
              <w:jc w:val="center"/>
              <w:rPr>
                <w:rFonts w:eastAsia="Arial" w:cs="Arial"/>
                <w:sz w:val="20"/>
                <w:szCs w:val="20"/>
              </w:rPr>
            </w:pPr>
            <w:r w:rsidRPr="00686014">
              <w:rPr>
                <w:rFonts w:cs="Arial"/>
                <w:sz w:val="20"/>
                <w:szCs w:val="20"/>
              </w:rPr>
              <w:t>√</w:t>
            </w:r>
          </w:p>
        </w:tc>
        <w:tc>
          <w:tcPr>
            <w:tcW w:w="578" w:type="dxa"/>
            <w:shd w:val="clear" w:color="auto" w:fill="auto"/>
          </w:tcPr>
          <w:p w14:paraId="5D2D1C51" w14:textId="77777777" w:rsidR="000841EB" w:rsidRPr="00686014" w:rsidRDefault="000841EB" w:rsidP="00686014">
            <w:pPr>
              <w:jc w:val="center"/>
              <w:rPr>
                <w:rFonts w:eastAsia="Arial" w:cs="Arial"/>
                <w:sz w:val="20"/>
                <w:szCs w:val="20"/>
              </w:rPr>
            </w:pPr>
            <w:r w:rsidRPr="00686014">
              <w:rPr>
                <w:rFonts w:eastAsia="Arial" w:cs="Arial"/>
                <w:sz w:val="20"/>
                <w:szCs w:val="20"/>
              </w:rPr>
              <w:t>---</w:t>
            </w:r>
          </w:p>
        </w:tc>
      </w:tr>
      <w:tr w:rsidR="008B1515" w:rsidRPr="00903F89" w14:paraId="5A6B0D7E" w14:textId="77777777" w:rsidTr="00C61D41">
        <w:trPr>
          <w:trHeight w:val="13"/>
        </w:trPr>
        <w:tc>
          <w:tcPr>
            <w:tcW w:w="3150" w:type="dxa"/>
            <w:shd w:val="clear" w:color="auto" w:fill="auto"/>
          </w:tcPr>
          <w:p w14:paraId="04DB0FD7" w14:textId="200B5335" w:rsidR="004420E1" w:rsidRPr="00686014" w:rsidRDefault="004420E1" w:rsidP="00686014">
            <w:pPr>
              <w:rPr>
                <w:rFonts w:eastAsia="Arial" w:cs="Arial"/>
                <w:sz w:val="20"/>
                <w:szCs w:val="20"/>
              </w:rPr>
            </w:pPr>
            <w:r w:rsidRPr="00686014">
              <w:rPr>
                <w:rFonts w:cs="Arial"/>
                <w:sz w:val="20"/>
                <w:szCs w:val="20"/>
              </w:rPr>
              <w:t>Διαμονή με πρόγευμα</w:t>
            </w:r>
          </w:p>
        </w:tc>
        <w:tc>
          <w:tcPr>
            <w:tcW w:w="659" w:type="dxa"/>
            <w:shd w:val="clear" w:color="auto" w:fill="auto"/>
          </w:tcPr>
          <w:p w14:paraId="62FB6F5D" w14:textId="3F681242" w:rsidR="004420E1" w:rsidRPr="00686014" w:rsidRDefault="004420E1" w:rsidP="00686014">
            <w:pPr>
              <w:jc w:val="center"/>
              <w:rPr>
                <w:rFonts w:eastAsia="Arial" w:cs="Arial"/>
                <w:sz w:val="20"/>
                <w:szCs w:val="20"/>
              </w:rPr>
            </w:pPr>
            <w:r w:rsidRPr="00686014">
              <w:rPr>
                <w:rFonts w:cs="Arial"/>
                <w:sz w:val="20"/>
                <w:szCs w:val="20"/>
              </w:rPr>
              <w:t>√</w:t>
            </w:r>
          </w:p>
        </w:tc>
        <w:tc>
          <w:tcPr>
            <w:tcW w:w="659" w:type="dxa"/>
            <w:shd w:val="clear" w:color="auto" w:fill="auto"/>
          </w:tcPr>
          <w:p w14:paraId="62EC2ED4" w14:textId="77777777" w:rsidR="004420E1" w:rsidRPr="00686014" w:rsidRDefault="004420E1" w:rsidP="00686014">
            <w:pPr>
              <w:jc w:val="center"/>
              <w:rPr>
                <w:rFonts w:eastAsia="Arial" w:cs="Arial"/>
                <w:sz w:val="20"/>
                <w:szCs w:val="20"/>
              </w:rPr>
            </w:pPr>
            <w:r w:rsidRPr="00686014">
              <w:rPr>
                <w:rFonts w:eastAsia="Arial" w:cs="Arial"/>
                <w:sz w:val="20"/>
                <w:szCs w:val="20"/>
              </w:rPr>
              <w:t>---</w:t>
            </w:r>
          </w:p>
        </w:tc>
        <w:tc>
          <w:tcPr>
            <w:tcW w:w="659" w:type="dxa"/>
          </w:tcPr>
          <w:p w14:paraId="1367E92F" w14:textId="66941390" w:rsidR="004420E1" w:rsidRPr="00686014" w:rsidRDefault="004420E1" w:rsidP="00686014">
            <w:pPr>
              <w:jc w:val="center"/>
              <w:rPr>
                <w:rFonts w:eastAsia="Arial" w:cs="Arial"/>
                <w:sz w:val="20"/>
                <w:szCs w:val="20"/>
              </w:rPr>
            </w:pPr>
            <w:r w:rsidRPr="00686014">
              <w:rPr>
                <w:rFonts w:eastAsia="Arial" w:cs="Arial"/>
                <w:sz w:val="20"/>
                <w:szCs w:val="20"/>
              </w:rPr>
              <w:t>---</w:t>
            </w:r>
          </w:p>
        </w:tc>
        <w:tc>
          <w:tcPr>
            <w:tcW w:w="660" w:type="dxa"/>
          </w:tcPr>
          <w:p w14:paraId="48B4FB0A" w14:textId="47684FB3" w:rsidR="004420E1" w:rsidRPr="00686014" w:rsidRDefault="004420E1" w:rsidP="00686014">
            <w:pPr>
              <w:jc w:val="center"/>
              <w:rPr>
                <w:rFonts w:eastAsia="Arial" w:cs="Arial"/>
                <w:sz w:val="20"/>
                <w:szCs w:val="20"/>
              </w:rPr>
            </w:pPr>
            <w:r w:rsidRPr="00686014">
              <w:rPr>
                <w:rFonts w:eastAsia="Arial" w:cs="Arial"/>
                <w:sz w:val="20"/>
                <w:szCs w:val="20"/>
              </w:rPr>
              <w:t>---</w:t>
            </w:r>
          </w:p>
        </w:tc>
        <w:tc>
          <w:tcPr>
            <w:tcW w:w="571" w:type="dxa"/>
            <w:shd w:val="clear" w:color="auto" w:fill="auto"/>
          </w:tcPr>
          <w:p w14:paraId="19CD7860" w14:textId="5CE1CD42" w:rsidR="004420E1" w:rsidRPr="00686014" w:rsidRDefault="004420E1" w:rsidP="00686014">
            <w:pPr>
              <w:jc w:val="center"/>
              <w:rPr>
                <w:rFonts w:eastAsia="Arial" w:cs="Arial"/>
                <w:sz w:val="20"/>
                <w:szCs w:val="20"/>
              </w:rPr>
            </w:pPr>
            <w:r w:rsidRPr="00686014">
              <w:rPr>
                <w:rFonts w:cs="Arial"/>
                <w:sz w:val="20"/>
                <w:szCs w:val="20"/>
              </w:rPr>
              <w:t>√</w:t>
            </w:r>
          </w:p>
        </w:tc>
        <w:tc>
          <w:tcPr>
            <w:tcW w:w="571" w:type="dxa"/>
            <w:shd w:val="clear" w:color="auto" w:fill="auto"/>
          </w:tcPr>
          <w:p w14:paraId="7476EBFF" w14:textId="538F4788" w:rsidR="004420E1" w:rsidRPr="00686014" w:rsidRDefault="004420E1" w:rsidP="00686014">
            <w:pPr>
              <w:jc w:val="center"/>
              <w:rPr>
                <w:rFonts w:eastAsia="Arial" w:cs="Arial"/>
                <w:sz w:val="20"/>
                <w:szCs w:val="20"/>
              </w:rPr>
            </w:pPr>
            <w:r w:rsidRPr="00686014">
              <w:rPr>
                <w:rFonts w:eastAsia="Arial" w:cs="Arial"/>
                <w:sz w:val="20"/>
                <w:szCs w:val="20"/>
              </w:rPr>
              <w:t>---</w:t>
            </w:r>
          </w:p>
        </w:tc>
        <w:tc>
          <w:tcPr>
            <w:tcW w:w="571" w:type="dxa"/>
          </w:tcPr>
          <w:p w14:paraId="043E8A0B" w14:textId="38429542" w:rsidR="004420E1" w:rsidRPr="00686014" w:rsidRDefault="004420E1" w:rsidP="00686014">
            <w:pPr>
              <w:jc w:val="center"/>
              <w:rPr>
                <w:rFonts w:cs="Arial"/>
                <w:sz w:val="20"/>
                <w:szCs w:val="20"/>
              </w:rPr>
            </w:pPr>
            <w:r w:rsidRPr="00686014">
              <w:rPr>
                <w:rFonts w:eastAsia="Arial" w:cs="Arial"/>
                <w:sz w:val="20"/>
                <w:szCs w:val="20"/>
              </w:rPr>
              <w:t>---</w:t>
            </w:r>
          </w:p>
        </w:tc>
        <w:tc>
          <w:tcPr>
            <w:tcW w:w="576" w:type="dxa"/>
          </w:tcPr>
          <w:p w14:paraId="07805E0C" w14:textId="57643800" w:rsidR="004420E1" w:rsidRPr="00686014" w:rsidRDefault="004420E1" w:rsidP="00686014">
            <w:pPr>
              <w:jc w:val="center"/>
              <w:rPr>
                <w:rFonts w:cs="Arial"/>
                <w:sz w:val="20"/>
                <w:szCs w:val="20"/>
              </w:rPr>
            </w:pPr>
            <w:r w:rsidRPr="00686014">
              <w:rPr>
                <w:rFonts w:eastAsia="Arial" w:cs="Arial"/>
                <w:sz w:val="20"/>
                <w:szCs w:val="20"/>
              </w:rPr>
              <w:t>---</w:t>
            </w:r>
          </w:p>
        </w:tc>
        <w:tc>
          <w:tcPr>
            <w:tcW w:w="647" w:type="dxa"/>
            <w:shd w:val="clear" w:color="auto" w:fill="auto"/>
          </w:tcPr>
          <w:p w14:paraId="11487C11" w14:textId="3A0B9966" w:rsidR="004420E1" w:rsidRPr="00686014" w:rsidRDefault="004420E1" w:rsidP="00686014">
            <w:pPr>
              <w:jc w:val="center"/>
              <w:rPr>
                <w:rFonts w:eastAsia="Arial" w:cs="Arial"/>
                <w:sz w:val="20"/>
                <w:szCs w:val="20"/>
              </w:rPr>
            </w:pPr>
            <w:r w:rsidRPr="00686014">
              <w:rPr>
                <w:rFonts w:cs="Arial"/>
                <w:sz w:val="20"/>
                <w:szCs w:val="20"/>
              </w:rPr>
              <w:t>√</w:t>
            </w:r>
          </w:p>
        </w:tc>
        <w:tc>
          <w:tcPr>
            <w:tcW w:w="649" w:type="dxa"/>
            <w:shd w:val="clear" w:color="auto" w:fill="auto"/>
          </w:tcPr>
          <w:p w14:paraId="24CC5758" w14:textId="6FF9970E" w:rsidR="004420E1" w:rsidRPr="00686014" w:rsidRDefault="004420E1" w:rsidP="00686014">
            <w:pPr>
              <w:ind w:right="-139"/>
              <w:jc w:val="center"/>
              <w:rPr>
                <w:rFonts w:eastAsia="Arial" w:cs="Arial"/>
                <w:sz w:val="11"/>
                <w:szCs w:val="11"/>
              </w:rPr>
            </w:pPr>
            <w:r w:rsidRPr="00686014">
              <w:rPr>
                <w:rFonts w:cs="Arial"/>
                <w:sz w:val="11"/>
                <w:szCs w:val="11"/>
              </w:rPr>
              <w:t>(Βλ. Ανάλυση)</w:t>
            </w:r>
          </w:p>
        </w:tc>
        <w:tc>
          <w:tcPr>
            <w:tcW w:w="578" w:type="dxa"/>
            <w:shd w:val="clear" w:color="auto" w:fill="auto"/>
          </w:tcPr>
          <w:p w14:paraId="4E3F832A" w14:textId="4AD05E2A" w:rsidR="004420E1" w:rsidRPr="00686014" w:rsidRDefault="004420E1" w:rsidP="00686014">
            <w:pPr>
              <w:jc w:val="center"/>
              <w:rPr>
                <w:rFonts w:eastAsia="Arial" w:cs="Arial"/>
                <w:sz w:val="20"/>
                <w:szCs w:val="20"/>
              </w:rPr>
            </w:pPr>
            <w:r w:rsidRPr="00686014">
              <w:rPr>
                <w:rFonts w:cs="Arial"/>
                <w:sz w:val="20"/>
                <w:szCs w:val="20"/>
              </w:rPr>
              <w:t>√</w:t>
            </w:r>
          </w:p>
        </w:tc>
        <w:tc>
          <w:tcPr>
            <w:tcW w:w="578" w:type="dxa"/>
            <w:shd w:val="clear" w:color="auto" w:fill="auto"/>
          </w:tcPr>
          <w:p w14:paraId="7597C4EF" w14:textId="77777777" w:rsidR="004420E1" w:rsidRPr="00686014" w:rsidRDefault="004420E1" w:rsidP="00686014">
            <w:pPr>
              <w:jc w:val="center"/>
              <w:rPr>
                <w:rFonts w:eastAsia="Arial" w:cs="Arial"/>
                <w:sz w:val="20"/>
                <w:szCs w:val="20"/>
              </w:rPr>
            </w:pPr>
            <w:r w:rsidRPr="00686014">
              <w:rPr>
                <w:rFonts w:eastAsia="Arial" w:cs="Arial"/>
                <w:sz w:val="20"/>
                <w:szCs w:val="20"/>
              </w:rPr>
              <w:t>---</w:t>
            </w:r>
          </w:p>
        </w:tc>
      </w:tr>
      <w:tr w:rsidR="008B1515" w:rsidRPr="00903F89" w14:paraId="1BF9176B" w14:textId="77777777" w:rsidTr="00C61D41">
        <w:trPr>
          <w:trHeight w:val="51"/>
        </w:trPr>
        <w:tc>
          <w:tcPr>
            <w:tcW w:w="3150" w:type="dxa"/>
            <w:shd w:val="clear" w:color="auto" w:fill="auto"/>
          </w:tcPr>
          <w:p w14:paraId="57F1809A" w14:textId="6D83E3C7" w:rsidR="004420E1" w:rsidRPr="00686014" w:rsidRDefault="004420E1" w:rsidP="00686014">
            <w:pPr>
              <w:rPr>
                <w:rFonts w:eastAsia="Arial" w:cs="Arial"/>
                <w:sz w:val="20"/>
                <w:szCs w:val="20"/>
              </w:rPr>
            </w:pPr>
            <w:r w:rsidRPr="00686014">
              <w:rPr>
                <w:rFonts w:cs="Arial"/>
                <w:sz w:val="20"/>
                <w:szCs w:val="20"/>
              </w:rPr>
              <w:t>Ημερήσιο επίδομα διατροφής</w:t>
            </w:r>
          </w:p>
        </w:tc>
        <w:tc>
          <w:tcPr>
            <w:tcW w:w="659" w:type="dxa"/>
            <w:shd w:val="clear" w:color="auto" w:fill="auto"/>
          </w:tcPr>
          <w:p w14:paraId="66DF6803" w14:textId="546005F1" w:rsidR="004420E1" w:rsidRPr="00686014" w:rsidRDefault="004420E1" w:rsidP="00686014">
            <w:pPr>
              <w:jc w:val="center"/>
              <w:rPr>
                <w:rFonts w:eastAsia="Arial" w:cs="Arial"/>
                <w:sz w:val="20"/>
                <w:szCs w:val="20"/>
              </w:rPr>
            </w:pPr>
            <w:r w:rsidRPr="00686014">
              <w:rPr>
                <w:rFonts w:cs="Arial"/>
                <w:sz w:val="20"/>
                <w:szCs w:val="20"/>
              </w:rPr>
              <w:t>√</w:t>
            </w:r>
          </w:p>
        </w:tc>
        <w:tc>
          <w:tcPr>
            <w:tcW w:w="659" w:type="dxa"/>
            <w:shd w:val="clear" w:color="auto" w:fill="auto"/>
          </w:tcPr>
          <w:p w14:paraId="23A633A7" w14:textId="77777777" w:rsidR="004420E1" w:rsidRPr="00686014" w:rsidRDefault="004420E1" w:rsidP="00686014">
            <w:pPr>
              <w:jc w:val="center"/>
              <w:rPr>
                <w:rFonts w:eastAsia="Arial" w:cs="Arial"/>
                <w:sz w:val="20"/>
                <w:szCs w:val="20"/>
              </w:rPr>
            </w:pPr>
            <w:r w:rsidRPr="00686014">
              <w:rPr>
                <w:rFonts w:eastAsia="Arial" w:cs="Arial"/>
                <w:sz w:val="20"/>
                <w:szCs w:val="20"/>
              </w:rPr>
              <w:t>---</w:t>
            </w:r>
          </w:p>
        </w:tc>
        <w:tc>
          <w:tcPr>
            <w:tcW w:w="659" w:type="dxa"/>
          </w:tcPr>
          <w:p w14:paraId="2C5EAFE7" w14:textId="3D4B31EC" w:rsidR="004420E1" w:rsidRPr="00686014" w:rsidRDefault="004420E1" w:rsidP="00686014">
            <w:pPr>
              <w:jc w:val="center"/>
              <w:rPr>
                <w:rFonts w:eastAsia="Arial" w:cs="Arial"/>
                <w:sz w:val="20"/>
                <w:szCs w:val="20"/>
              </w:rPr>
            </w:pPr>
            <w:r w:rsidRPr="00686014">
              <w:rPr>
                <w:rFonts w:eastAsia="Arial" w:cs="Arial"/>
                <w:sz w:val="20"/>
                <w:szCs w:val="20"/>
              </w:rPr>
              <w:t>---</w:t>
            </w:r>
          </w:p>
        </w:tc>
        <w:tc>
          <w:tcPr>
            <w:tcW w:w="660" w:type="dxa"/>
          </w:tcPr>
          <w:p w14:paraId="0943D803" w14:textId="5C8FB281" w:rsidR="004420E1" w:rsidRPr="00686014" w:rsidRDefault="004420E1" w:rsidP="00686014">
            <w:pPr>
              <w:jc w:val="center"/>
              <w:rPr>
                <w:rFonts w:eastAsia="Arial" w:cs="Arial"/>
                <w:sz w:val="20"/>
                <w:szCs w:val="20"/>
              </w:rPr>
            </w:pPr>
            <w:r w:rsidRPr="00686014">
              <w:rPr>
                <w:rFonts w:eastAsia="Arial" w:cs="Arial"/>
                <w:sz w:val="20"/>
                <w:szCs w:val="20"/>
              </w:rPr>
              <w:t>---</w:t>
            </w:r>
          </w:p>
        </w:tc>
        <w:tc>
          <w:tcPr>
            <w:tcW w:w="571" w:type="dxa"/>
            <w:shd w:val="clear" w:color="auto" w:fill="auto"/>
          </w:tcPr>
          <w:p w14:paraId="3A184B1C" w14:textId="0FE9B788" w:rsidR="004420E1" w:rsidRPr="00686014" w:rsidRDefault="004420E1" w:rsidP="00686014">
            <w:pPr>
              <w:jc w:val="center"/>
              <w:rPr>
                <w:rFonts w:eastAsia="Arial" w:cs="Arial"/>
                <w:sz w:val="20"/>
                <w:szCs w:val="20"/>
              </w:rPr>
            </w:pPr>
            <w:r w:rsidRPr="00686014">
              <w:rPr>
                <w:rFonts w:cs="Arial"/>
                <w:sz w:val="20"/>
                <w:szCs w:val="20"/>
              </w:rPr>
              <w:t>√</w:t>
            </w:r>
          </w:p>
        </w:tc>
        <w:tc>
          <w:tcPr>
            <w:tcW w:w="571" w:type="dxa"/>
            <w:shd w:val="clear" w:color="auto" w:fill="auto"/>
          </w:tcPr>
          <w:p w14:paraId="79280761" w14:textId="20F4502B" w:rsidR="004420E1" w:rsidRPr="00686014" w:rsidRDefault="004420E1" w:rsidP="00686014">
            <w:pPr>
              <w:jc w:val="center"/>
              <w:rPr>
                <w:rFonts w:eastAsia="Arial" w:cs="Arial"/>
                <w:sz w:val="20"/>
                <w:szCs w:val="20"/>
              </w:rPr>
            </w:pPr>
            <w:r w:rsidRPr="00686014">
              <w:rPr>
                <w:rFonts w:eastAsia="Arial" w:cs="Arial"/>
                <w:sz w:val="20"/>
                <w:szCs w:val="20"/>
              </w:rPr>
              <w:t>---</w:t>
            </w:r>
          </w:p>
        </w:tc>
        <w:tc>
          <w:tcPr>
            <w:tcW w:w="571" w:type="dxa"/>
          </w:tcPr>
          <w:p w14:paraId="049F2421" w14:textId="2ADCD2A5" w:rsidR="004420E1" w:rsidRPr="00686014" w:rsidRDefault="004420E1" w:rsidP="00686014">
            <w:pPr>
              <w:jc w:val="center"/>
              <w:rPr>
                <w:rFonts w:cs="Arial"/>
                <w:sz w:val="20"/>
                <w:szCs w:val="20"/>
              </w:rPr>
            </w:pPr>
            <w:r w:rsidRPr="00686014">
              <w:rPr>
                <w:rFonts w:eastAsia="Arial" w:cs="Arial"/>
                <w:sz w:val="20"/>
                <w:szCs w:val="20"/>
              </w:rPr>
              <w:t>---</w:t>
            </w:r>
          </w:p>
        </w:tc>
        <w:tc>
          <w:tcPr>
            <w:tcW w:w="576" w:type="dxa"/>
          </w:tcPr>
          <w:p w14:paraId="62526AB6" w14:textId="0388D358" w:rsidR="004420E1" w:rsidRPr="00686014" w:rsidRDefault="004420E1" w:rsidP="00686014">
            <w:pPr>
              <w:jc w:val="center"/>
              <w:rPr>
                <w:rFonts w:cs="Arial"/>
                <w:sz w:val="20"/>
                <w:szCs w:val="20"/>
              </w:rPr>
            </w:pPr>
            <w:r w:rsidRPr="00686014">
              <w:rPr>
                <w:rFonts w:eastAsia="Arial" w:cs="Arial"/>
                <w:sz w:val="20"/>
                <w:szCs w:val="20"/>
              </w:rPr>
              <w:t>---</w:t>
            </w:r>
          </w:p>
        </w:tc>
        <w:tc>
          <w:tcPr>
            <w:tcW w:w="647" w:type="dxa"/>
            <w:shd w:val="clear" w:color="auto" w:fill="auto"/>
          </w:tcPr>
          <w:p w14:paraId="0FB0144B" w14:textId="7292AD49" w:rsidR="004420E1" w:rsidRPr="00686014" w:rsidRDefault="004420E1" w:rsidP="00686014">
            <w:pPr>
              <w:jc w:val="center"/>
              <w:rPr>
                <w:rFonts w:eastAsia="Arial" w:cs="Arial"/>
                <w:sz w:val="20"/>
                <w:szCs w:val="20"/>
              </w:rPr>
            </w:pPr>
            <w:r w:rsidRPr="00686014">
              <w:rPr>
                <w:rFonts w:cs="Arial"/>
                <w:sz w:val="20"/>
                <w:szCs w:val="20"/>
              </w:rPr>
              <w:t>√</w:t>
            </w:r>
          </w:p>
        </w:tc>
        <w:tc>
          <w:tcPr>
            <w:tcW w:w="649" w:type="dxa"/>
            <w:shd w:val="clear" w:color="auto" w:fill="auto"/>
          </w:tcPr>
          <w:p w14:paraId="7107450E" w14:textId="069702CE" w:rsidR="004420E1" w:rsidRPr="00686014" w:rsidRDefault="004420E1" w:rsidP="00686014">
            <w:pPr>
              <w:ind w:right="-139"/>
              <w:jc w:val="center"/>
              <w:rPr>
                <w:rFonts w:eastAsia="Arial" w:cs="Arial"/>
                <w:sz w:val="11"/>
                <w:szCs w:val="11"/>
              </w:rPr>
            </w:pPr>
            <w:r w:rsidRPr="00686014">
              <w:rPr>
                <w:rFonts w:cs="Arial"/>
                <w:sz w:val="11"/>
                <w:szCs w:val="11"/>
              </w:rPr>
              <w:t>(Βλ. Ανάλυση)</w:t>
            </w:r>
          </w:p>
        </w:tc>
        <w:tc>
          <w:tcPr>
            <w:tcW w:w="578" w:type="dxa"/>
            <w:shd w:val="clear" w:color="auto" w:fill="auto"/>
          </w:tcPr>
          <w:p w14:paraId="3EF112B0" w14:textId="7FEC8037" w:rsidR="004420E1" w:rsidRPr="00686014" w:rsidRDefault="004420E1" w:rsidP="00686014">
            <w:pPr>
              <w:jc w:val="center"/>
              <w:rPr>
                <w:rFonts w:eastAsia="Arial" w:cs="Arial"/>
                <w:sz w:val="20"/>
                <w:szCs w:val="20"/>
              </w:rPr>
            </w:pPr>
            <w:r w:rsidRPr="00686014">
              <w:rPr>
                <w:rFonts w:cs="Arial"/>
                <w:sz w:val="20"/>
                <w:szCs w:val="20"/>
              </w:rPr>
              <w:t>√</w:t>
            </w:r>
          </w:p>
        </w:tc>
        <w:tc>
          <w:tcPr>
            <w:tcW w:w="578" w:type="dxa"/>
            <w:shd w:val="clear" w:color="auto" w:fill="auto"/>
          </w:tcPr>
          <w:p w14:paraId="4166B34B" w14:textId="77777777" w:rsidR="004420E1" w:rsidRPr="00686014" w:rsidRDefault="004420E1" w:rsidP="00686014">
            <w:pPr>
              <w:jc w:val="center"/>
              <w:rPr>
                <w:rFonts w:eastAsia="Arial" w:cs="Arial"/>
                <w:sz w:val="20"/>
                <w:szCs w:val="20"/>
              </w:rPr>
            </w:pPr>
            <w:r w:rsidRPr="00686014">
              <w:rPr>
                <w:rFonts w:eastAsia="Arial" w:cs="Arial"/>
                <w:sz w:val="20"/>
                <w:szCs w:val="20"/>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3865"/>
        <w:gridCol w:w="3803"/>
      </w:tblGrid>
      <w:tr w:rsidR="00C61D41" w:rsidRPr="00903F89" w14:paraId="30491D79" w14:textId="77777777" w:rsidTr="00AD5278">
        <w:tc>
          <w:tcPr>
            <w:tcW w:w="10538" w:type="dxa"/>
            <w:gridSpan w:val="3"/>
            <w:shd w:val="clear" w:color="auto" w:fill="auto"/>
          </w:tcPr>
          <w:p w14:paraId="08F168AB" w14:textId="77777777" w:rsidR="00C61D41" w:rsidRPr="00903F89" w:rsidRDefault="00C61D41" w:rsidP="00903F89">
            <w:pPr>
              <w:jc w:val="both"/>
              <w:rPr>
                <w:rFonts w:cs="Arial"/>
                <w:strike/>
                <w:sz w:val="20"/>
                <w:szCs w:val="20"/>
              </w:rPr>
            </w:pPr>
          </w:p>
        </w:tc>
      </w:tr>
      <w:tr w:rsidR="00492B85" w:rsidRPr="00903F89" w14:paraId="4B8D881C" w14:textId="77777777" w:rsidTr="00AD5278">
        <w:tc>
          <w:tcPr>
            <w:tcW w:w="10538" w:type="dxa"/>
            <w:gridSpan w:val="3"/>
            <w:shd w:val="clear" w:color="auto" w:fill="auto"/>
          </w:tcPr>
          <w:p w14:paraId="6E403CC3" w14:textId="7FFC6B04" w:rsidR="000F71BD" w:rsidRPr="00903F89" w:rsidRDefault="00A07C31" w:rsidP="00903F89">
            <w:pPr>
              <w:jc w:val="both"/>
              <w:rPr>
                <w:rFonts w:eastAsia="Arial" w:cs="Arial"/>
                <w:sz w:val="20"/>
                <w:szCs w:val="20"/>
                <w:u w:val="single"/>
              </w:rPr>
            </w:pPr>
            <w:bookmarkStart w:id="32" w:name="_Hlk62565534"/>
            <w:r w:rsidRPr="00903F89">
              <w:rPr>
                <w:rFonts w:cs="Arial"/>
                <w:sz w:val="20"/>
                <w:szCs w:val="20"/>
                <w:u w:val="single"/>
              </w:rPr>
              <w:t>Μ</w:t>
            </w:r>
            <w:r w:rsidR="045AFEAA" w:rsidRPr="00903F89">
              <w:rPr>
                <w:rFonts w:cs="Arial"/>
                <w:sz w:val="20"/>
                <w:szCs w:val="20"/>
                <w:u w:val="single"/>
              </w:rPr>
              <w:t>έλη Ειδικών Επιτροπών για εκλογή</w:t>
            </w:r>
            <w:r w:rsidR="00510E1F" w:rsidRPr="00903F89">
              <w:rPr>
                <w:rFonts w:cs="Arial"/>
                <w:sz w:val="20"/>
                <w:szCs w:val="20"/>
                <w:u w:val="single"/>
              </w:rPr>
              <w:t>, αξιολόγηση</w:t>
            </w:r>
            <w:r w:rsidR="045AFEAA" w:rsidRPr="00903F89">
              <w:rPr>
                <w:rFonts w:cs="Arial"/>
                <w:sz w:val="20"/>
                <w:szCs w:val="20"/>
                <w:u w:val="single"/>
              </w:rPr>
              <w:t xml:space="preserve"> </w:t>
            </w:r>
            <w:r w:rsidR="002D38DB" w:rsidRPr="00903F89">
              <w:rPr>
                <w:rFonts w:cs="Arial"/>
                <w:sz w:val="20"/>
                <w:szCs w:val="20"/>
                <w:u w:val="single"/>
              </w:rPr>
              <w:t>και</w:t>
            </w:r>
            <w:r w:rsidR="045AFEAA" w:rsidRPr="00903F89">
              <w:rPr>
                <w:rFonts w:cs="Arial"/>
                <w:sz w:val="20"/>
                <w:szCs w:val="20"/>
                <w:u w:val="single"/>
              </w:rPr>
              <w:t xml:space="preserve"> ανέλιξη μελών ακαδημαϊκού προσωπικού</w:t>
            </w:r>
            <w:r w:rsidR="045AFEAA" w:rsidRPr="00903F89">
              <w:rPr>
                <w:rFonts w:eastAsia="Arial" w:cs="Arial"/>
                <w:sz w:val="20"/>
                <w:szCs w:val="20"/>
                <w:u w:val="single"/>
              </w:rPr>
              <w:t>:</w:t>
            </w:r>
          </w:p>
          <w:p w14:paraId="11A28446" w14:textId="77777777" w:rsidR="00C61D41" w:rsidRPr="00903F89" w:rsidRDefault="00C61D41" w:rsidP="00903F89">
            <w:pPr>
              <w:jc w:val="both"/>
              <w:rPr>
                <w:rFonts w:eastAsia="Arial" w:cs="Arial"/>
                <w:sz w:val="20"/>
                <w:szCs w:val="20"/>
                <w:u w:val="single"/>
              </w:rPr>
            </w:pPr>
          </w:p>
          <w:p w14:paraId="59B6D27E" w14:textId="11DE9353" w:rsidR="005D76C5" w:rsidRPr="00903F89" w:rsidRDefault="045AFEAA" w:rsidP="00903F89">
            <w:pPr>
              <w:pStyle w:val="ListParagraph"/>
              <w:numPr>
                <w:ilvl w:val="0"/>
                <w:numId w:val="28"/>
              </w:numPr>
              <w:jc w:val="both"/>
              <w:rPr>
                <w:rFonts w:cs="Arial"/>
                <w:sz w:val="20"/>
                <w:szCs w:val="20"/>
              </w:rPr>
            </w:pPr>
            <w:r w:rsidRPr="00903F89">
              <w:rPr>
                <w:rFonts w:cs="Arial"/>
                <w:sz w:val="20"/>
                <w:szCs w:val="20"/>
              </w:rPr>
              <w:t xml:space="preserve">Εξωτερικά μέλη από </w:t>
            </w:r>
            <w:r w:rsidR="00510E1F" w:rsidRPr="00903F89">
              <w:rPr>
                <w:rFonts w:cs="Arial"/>
                <w:sz w:val="20"/>
                <w:szCs w:val="20"/>
              </w:rPr>
              <w:t xml:space="preserve">ακαδημαϊκά ιδρύματα </w:t>
            </w:r>
            <w:r w:rsidRPr="00903F89">
              <w:rPr>
                <w:rFonts w:cs="Arial"/>
                <w:sz w:val="20"/>
                <w:szCs w:val="20"/>
              </w:rPr>
              <w:t>εκτός Κύπρου</w:t>
            </w:r>
            <w:r w:rsidR="004D0005" w:rsidRPr="00903F89">
              <w:rPr>
                <w:rFonts w:cs="Arial"/>
                <w:sz w:val="20"/>
                <w:szCs w:val="20"/>
              </w:rPr>
              <w:t xml:space="preserve">: </w:t>
            </w:r>
            <w:r w:rsidR="4407E268" w:rsidRPr="00903F89">
              <w:rPr>
                <w:rFonts w:cs="Arial"/>
                <w:sz w:val="20"/>
                <w:szCs w:val="20"/>
              </w:rPr>
              <w:t xml:space="preserve">Στα εξωτερικά μέλη Ειδικών Επιτροπών που προέρχονται από </w:t>
            </w:r>
            <w:r w:rsidR="00D63DE0" w:rsidRPr="00903F89">
              <w:rPr>
                <w:rFonts w:cs="Arial"/>
                <w:sz w:val="20"/>
                <w:szCs w:val="20"/>
              </w:rPr>
              <w:t xml:space="preserve">ακαδημαϊκά ιδρύματα </w:t>
            </w:r>
            <w:r w:rsidR="4407E268" w:rsidRPr="00903F89">
              <w:rPr>
                <w:rFonts w:cs="Arial"/>
                <w:sz w:val="20"/>
                <w:szCs w:val="20"/>
              </w:rPr>
              <w:t>εκτός Κύπρου</w:t>
            </w:r>
            <w:r w:rsidR="00D63DE0" w:rsidRPr="00903F89">
              <w:rPr>
                <w:rFonts w:cs="Arial"/>
                <w:sz w:val="20"/>
                <w:szCs w:val="20"/>
              </w:rPr>
              <w:t xml:space="preserve"> (εν ενεργεία ή ομότιμοι καθηγητές)</w:t>
            </w:r>
            <w:r w:rsidR="4407E268" w:rsidRPr="00903F89">
              <w:rPr>
                <w:rFonts w:cs="Arial"/>
                <w:sz w:val="20"/>
                <w:szCs w:val="20"/>
              </w:rPr>
              <w:t>,</w:t>
            </w:r>
            <w:r w:rsidR="00D63DE0" w:rsidRPr="00903F89">
              <w:rPr>
                <w:rFonts w:cs="Arial"/>
                <w:sz w:val="20"/>
                <w:szCs w:val="20"/>
              </w:rPr>
              <w:t xml:space="preserve"> </w:t>
            </w:r>
            <w:r w:rsidR="00405C4B" w:rsidRPr="00903F89">
              <w:rPr>
                <w:rFonts w:cs="Arial"/>
                <w:sz w:val="20"/>
                <w:szCs w:val="20"/>
              </w:rPr>
              <w:t xml:space="preserve">με βάση τις πρόνοιες της ισχύουσας εγκυκλίου, </w:t>
            </w:r>
            <w:r w:rsidR="00D63DE0" w:rsidRPr="00903F89">
              <w:rPr>
                <w:rFonts w:cs="Arial"/>
                <w:sz w:val="20"/>
                <w:szCs w:val="20"/>
              </w:rPr>
              <w:t>δύναται να</w:t>
            </w:r>
            <w:r w:rsidR="4407E268" w:rsidRPr="00903F89">
              <w:rPr>
                <w:rFonts w:cs="Arial"/>
                <w:sz w:val="20"/>
                <w:szCs w:val="20"/>
              </w:rPr>
              <w:t xml:space="preserve"> καταβ</w:t>
            </w:r>
            <w:r w:rsidR="00D63DE0" w:rsidRPr="00903F89">
              <w:rPr>
                <w:rFonts w:cs="Arial"/>
                <w:sz w:val="20"/>
                <w:szCs w:val="20"/>
              </w:rPr>
              <w:t>ληθεί</w:t>
            </w:r>
            <w:r w:rsidR="005D76C5" w:rsidRPr="00903F89">
              <w:rPr>
                <w:rFonts w:cs="Arial"/>
                <w:sz w:val="20"/>
                <w:szCs w:val="20"/>
              </w:rPr>
              <w:t>:</w:t>
            </w:r>
          </w:p>
          <w:p w14:paraId="47A8342A" w14:textId="77777777" w:rsidR="005D76C5" w:rsidRPr="00903F89" w:rsidRDefault="005D76C5" w:rsidP="00903F89">
            <w:pPr>
              <w:ind w:left="592" w:hanging="271"/>
              <w:jc w:val="both"/>
              <w:rPr>
                <w:rFonts w:cs="Arial"/>
                <w:sz w:val="20"/>
                <w:szCs w:val="20"/>
              </w:rPr>
            </w:pPr>
          </w:p>
          <w:p w14:paraId="03B1C347" w14:textId="64A30BEF" w:rsidR="005D76C5" w:rsidRPr="00903F89" w:rsidRDefault="0079529F" w:rsidP="00903F89">
            <w:pPr>
              <w:pStyle w:val="ListParagraph"/>
              <w:numPr>
                <w:ilvl w:val="0"/>
                <w:numId w:val="21"/>
              </w:numPr>
              <w:ind w:left="592" w:hanging="271"/>
              <w:jc w:val="both"/>
              <w:rPr>
                <w:rFonts w:cs="Arial"/>
                <w:sz w:val="20"/>
                <w:szCs w:val="20"/>
              </w:rPr>
            </w:pPr>
            <w:r w:rsidRPr="00903F89">
              <w:rPr>
                <w:rFonts w:cs="Arial"/>
                <w:sz w:val="20"/>
                <w:szCs w:val="20"/>
              </w:rPr>
              <w:t xml:space="preserve">κατ’ αποκοπή αμοιβή (honorarium) μέχρι €500, </w:t>
            </w:r>
          </w:p>
          <w:p w14:paraId="0961061D" w14:textId="284F7282" w:rsidR="005D76C5" w:rsidRPr="00903F89" w:rsidRDefault="0079529F" w:rsidP="00903F89">
            <w:pPr>
              <w:pStyle w:val="ListParagraph"/>
              <w:numPr>
                <w:ilvl w:val="0"/>
                <w:numId w:val="21"/>
              </w:numPr>
              <w:ind w:left="592" w:hanging="271"/>
              <w:jc w:val="both"/>
              <w:rPr>
                <w:rFonts w:cs="Arial"/>
                <w:sz w:val="20"/>
                <w:szCs w:val="20"/>
              </w:rPr>
            </w:pPr>
            <w:r w:rsidRPr="00903F89">
              <w:rPr>
                <w:rFonts w:cs="Arial"/>
                <w:sz w:val="20"/>
                <w:szCs w:val="20"/>
              </w:rPr>
              <w:t>κό</w:t>
            </w:r>
            <w:r w:rsidR="004D0005" w:rsidRPr="00903F89">
              <w:rPr>
                <w:rFonts w:cs="Arial"/>
                <w:sz w:val="20"/>
                <w:szCs w:val="20"/>
              </w:rPr>
              <w:t>στος μ</w:t>
            </w:r>
            <w:r w:rsidR="005D76C5" w:rsidRPr="00903F89">
              <w:rPr>
                <w:rFonts w:cs="Arial"/>
                <w:sz w:val="20"/>
                <w:szCs w:val="20"/>
              </w:rPr>
              <w:t xml:space="preserve">ετάβασης </w:t>
            </w:r>
            <w:r w:rsidR="00750C48" w:rsidRPr="00903F89">
              <w:rPr>
                <w:rFonts w:cs="Arial"/>
                <w:sz w:val="20"/>
                <w:szCs w:val="20"/>
              </w:rPr>
              <w:t>(</w:t>
            </w:r>
            <w:r w:rsidR="4407E268" w:rsidRPr="00903F89">
              <w:rPr>
                <w:rFonts w:cs="Arial"/>
                <w:sz w:val="20"/>
                <w:szCs w:val="20"/>
              </w:rPr>
              <w:t>αεροπορικ</w:t>
            </w:r>
            <w:r w:rsidR="00816488" w:rsidRPr="00903F89">
              <w:rPr>
                <w:rFonts w:cs="Arial"/>
                <w:sz w:val="20"/>
                <w:szCs w:val="20"/>
              </w:rPr>
              <w:t xml:space="preserve">ό εισιτήριο </w:t>
            </w:r>
            <w:r w:rsidR="4407E268" w:rsidRPr="00903F89">
              <w:rPr>
                <w:rFonts w:cs="Arial"/>
                <w:sz w:val="20"/>
                <w:szCs w:val="20"/>
              </w:rPr>
              <w:t>οικονομικής θέσης</w:t>
            </w:r>
            <w:r w:rsidR="0040699C" w:rsidRPr="00903F89">
              <w:rPr>
                <w:rFonts w:cs="Arial"/>
                <w:sz w:val="20"/>
                <w:szCs w:val="20"/>
              </w:rPr>
              <w:t xml:space="preserve"> - </w:t>
            </w:r>
            <w:r w:rsidR="004D0005" w:rsidRPr="00903F89">
              <w:rPr>
                <w:rFonts w:cs="Arial"/>
                <w:sz w:val="20"/>
                <w:szCs w:val="20"/>
              </w:rPr>
              <w:t>μέγιστο ποσό αποζημίωσης για ταξίδια από χώρες της Ευρώπης, Βόρειου Αφρικής και Μέσης Ανατολής ορίζεται το ποσό των €800, και από άλλα μέρη του κόσμου το ποσό των €1.300- και μ</w:t>
            </w:r>
            <w:r w:rsidR="00816488" w:rsidRPr="00903F89">
              <w:rPr>
                <w:rFonts w:cs="Arial"/>
                <w:sz w:val="20"/>
                <w:szCs w:val="20"/>
              </w:rPr>
              <w:t>εταφορικά έξοδα από και προς τα αεροδρόμια</w:t>
            </w:r>
            <w:r w:rsidR="002843BE" w:rsidRPr="00903F89">
              <w:rPr>
                <w:rFonts w:cs="Arial"/>
                <w:sz w:val="20"/>
                <w:szCs w:val="20"/>
              </w:rPr>
              <w:t>, μέγιστο ποσό αποζημίωσης μέχρι €50 για χρήση ιδιωτικού μέσου μεταφοράς στο εξωτερικό</w:t>
            </w:r>
            <w:r w:rsidR="00750C48" w:rsidRPr="00903F89">
              <w:rPr>
                <w:rFonts w:cs="Arial"/>
                <w:sz w:val="20"/>
                <w:szCs w:val="20"/>
              </w:rPr>
              <w:t xml:space="preserve">), </w:t>
            </w:r>
          </w:p>
          <w:p w14:paraId="330721AF" w14:textId="04B7F8EF" w:rsidR="00405C4B" w:rsidRPr="00903F89" w:rsidRDefault="0079529F" w:rsidP="00903F89">
            <w:pPr>
              <w:pStyle w:val="ListParagraph"/>
              <w:numPr>
                <w:ilvl w:val="0"/>
                <w:numId w:val="21"/>
              </w:numPr>
              <w:ind w:left="592" w:hanging="271"/>
              <w:jc w:val="both"/>
              <w:rPr>
                <w:rFonts w:cs="Arial"/>
                <w:sz w:val="20"/>
                <w:szCs w:val="20"/>
              </w:rPr>
            </w:pPr>
            <w:r w:rsidRPr="00903F89">
              <w:rPr>
                <w:rFonts w:cs="Arial"/>
                <w:sz w:val="20"/>
                <w:szCs w:val="20"/>
              </w:rPr>
              <w:t>κόσ</w:t>
            </w:r>
            <w:r w:rsidR="00750C48" w:rsidRPr="00903F89">
              <w:rPr>
                <w:rFonts w:cs="Arial"/>
                <w:sz w:val="20"/>
                <w:szCs w:val="20"/>
              </w:rPr>
              <w:t xml:space="preserve">τος διαμονής </w:t>
            </w:r>
            <w:r w:rsidR="00405C4B" w:rsidRPr="00903F89">
              <w:rPr>
                <w:rFonts w:cs="Arial"/>
                <w:sz w:val="20"/>
                <w:szCs w:val="20"/>
              </w:rPr>
              <w:t>(</w:t>
            </w:r>
            <w:r w:rsidR="00147FE2" w:rsidRPr="00903F89">
              <w:rPr>
                <w:rFonts w:cs="Arial"/>
                <w:sz w:val="20"/>
                <w:szCs w:val="20"/>
              </w:rPr>
              <w:t>το μέγιστο όριο διαμονής που καλύπτεται</w:t>
            </w:r>
            <w:r w:rsidR="00A7049F" w:rsidRPr="00903F89">
              <w:rPr>
                <w:rFonts w:cs="Arial"/>
                <w:sz w:val="20"/>
                <w:szCs w:val="20"/>
              </w:rPr>
              <w:t xml:space="preserve"> </w:t>
            </w:r>
            <w:r w:rsidR="00147FE2" w:rsidRPr="00903F89">
              <w:rPr>
                <w:rFonts w:cs="Arial"/>
                <w:sz w:val="20"/>
                <w:szCs w:val="20"/>
              </w:rPr>
              <w:t>καθορίζεται σε τρία (3) βράδια, δεδομένου ότι οι εργασίες της Ειδικής Επιτροπής ολοκληρώνονται σε μία (1) ημέρα, ενώ αυτό δύναται να αυξηθεί κατά τον πρόσθετο αριθμό ημερών εργασιών της Ειδικής Επιτροπής</w:t>
            </w:r>
            <w:r w:rsidR="00A7049F" w:rsidRPr="00903F89">
              <w:rPr>
                <w:rFonts w:cs="Arial"/>
                <w:sz w:val="20"/>
                <w:szCs w:val="20"/>
              </w:rPr>
              <w:t>, σε μονόκλινο δωμάτιο με πρόγευμα</w:t>
            </w:r>
            <w:r w:rsidR="00405C4B" w:rsidRPr="00903F89">
              <w:rPr>
                <w:rFonts w:cs="Arial"/>
                <w:sz w:val="20"/>
                <w:szCs w:val="20"/>
              </w:rPr>
              <w:t xml:space="preserve">), </w:t>
            </w:r>
          </w:p>
          <w:p w14:paraId="54FAE813" w14:textId="5D03D747" w:rsidR="00D53F80" w:rsidRPr="00903F89" w:rsidRDefault="0079529F" w:rsidP="00903F89">
            <w:pPr>
              <w:pStyle w:val="ListParagraph"/>
              <w:numPr>
                <w:ilvl w:val="0"/>
                <w:numId w:val="21"/>
              </w:numPr>
              <w:ind w:left="592" w:hanging="271"/>
              <w:jc w:val="both"/>
              <w:rPr>
                <w:rFonts w:cs="Arial"/>
                <w:sz w:val="20"/>
                <w:szCs w:val="20"/>
              </w:rPr>
            </w:pPr>
            <w:r w:rsidRPr="00903F89">
              <w:rPr>
                <w:rFonts w:cs="Arial"/>
                <w:sz w:val="20"/>
                <w:szCs w:val="20"/>
              </w:rPr>
              <w:t>ημερήσιο επίδομα διατροφής (</w:t>
            </w:r>
            <w:r w:rsidR="002445E0" w:rsidRPr="00903F89">
              <w:rPr>
                <w:rFonts w:cs="Arial"/>
                <w:sz w:val="20"/>
                <w:szCs w:val="20"/>
              </w:rPr>
              <w:t>ποσό των €25 για κάθε γεύμα, μέχρι €50 ημερησίως, μέχρι το μέγιστο όριο ημερών διαμονής, αφαιρώντας τον αριθμό γευμάτων που προσφέρονται και καλύπτονται από την οικεία οντότητα),</w:t>
            </w:r>
          </w:p>
          <w:p w14:paraId="0CFFA7CB" w14:textId="77777777" w:rsidR="0006372D" w:rsidRPr="00903F89" w:rsidRDefault="00F873B2" w:rsidP="00903F89">
            <w:pPr>
              <w:pStyle w:val="ListParagraph"/>
              <w:numPr>
                <w:ilvl w:val="0"/>
                <w:numId w:val="21"/>
              </w:numPr>
              <w:ind w:left="604" w:hanging="283"/>
              <w:jc w:val="both"/>
              <w:rPr>
                <w:rFonts w:cs="Arial"/>
                <w:sz w:val="20"/>
                <w:szCs w:val="20"/>
              </w:rPr>
            </w:pPr>
            <w:r w:rsidRPr="00903F89">
              <w:rPr>
                <w:rFonts w:cs="Arial"/>
                <w:sz w:val="20"/>
                <w:szCs w:val="20"/>
              </w:rPr>
              <w:t>επιπρόσθετη κατ’ αποκοπή αμοιβή (honorarium) €100 σε περιπτώσεις όπου δίνουν, επιπρόσθετα, επιστημονικές διαλέξεις στις οντότητες του Πανεπιστημίου Κύπρου (η δαπάνη χρεώνεται έναντι πρόνοιας του Άρθρου 315 «Συνέδρια και Σεμινάρια», της οικείας οντότητας),</w:t>
            </w:r>
          </w:p>
          <w:p w14:paraId="0C63E69F" w14:textId="514436D9" w:rsidR="0006372D" w:rsidRPr="00903F89" w:rsidRDefault="0006372D" w:rsidP="00903F89">
            <w:pPr>
              <w:pStyle w:val="ListParagraph"/>
              <w:numPr>
                <w:ilvl w:val="0"/>
                <w:numId w:val="21"/>
              </w:numPr>
              <w:ind w:left="604" w:hanging="283"/>
              <w:jc w:val="both"/>
              <w:rPr>
                <w:rFonts w:cs="Arial"/>
                <w:sz w:val="20"/>
                <w:szCs w:val="20"/>
              </w:rPr>
            </w:pPr>
            <w:r w:rsidRPr="00903F89">
              <w:rPr>
                <w:rFonts w:cs="Arial"/>
                <w:sz w:val="20"/>
                <w:szCs w:val="20"/>
              </w:rPr>
              <w:t>επιπρόσθετη κατ’ αποκοπή αποζημίωση (honorarium) €100 σε περιπτώσεις όπου εξωτερικά μέλη έρχονται στην Κύπρο για μία μόνο μέρα, χωρίς διανυκτέρευση (για κάλυψη των εξόδων διατροφής και διακίνησής τους, επιπρόσθετα της κατ’ αποκοπή αμοιβής (honorarium) και του κόστους μετάβασης)</w:t>
            </w:r>
            <w:r w:rsidR="00E43DFE" w:rsidRPr="00903F89">
              <w:rPr>
                <w:rFonts w:cs="Arial"/>
                <w:sz w:val="20"/>
                <w:szCs w:val="20"/>
              </w:rPr>
              <w:t>,</w:t>
            </w:r>
          </w:p>
          <w:p w14:paraId="40F904B0" w14:textId="4D0609E8" w:rsidR="00E43DFE" w:rsidRPr="00903F89" w:rsidRDefault="001929FD" w:rsidP="00903F89">
            <w:pPr>
              <w:pStyle w:val="ListParagraph"/>
              <w:numPr>
                <w:ilvl w:val="0"/>
                <w:numId w:val="21"/>
              </w:numPr>
              <w:ind w:left="604" w:hanging="283"/>
              <w:jc w:val="both"/>
              <w:rPr>
                <w:rFonts w:cs="Arial"/>
                <w:sz w:val="20"/>
                <w:szCs w:val="20"/>
              </w:rPr>
            </w:pPr>
            <w:r w:rsidRPr="00903F89">
              <w:rPr>
                <w:rFonts w:cs="Arial"/>
                <w:sz w:val="20"/>
                <w:szCs w:val="20"/>
              </w:rPr>
              <w:t xml:space="preserve">σε περίπτωση που λόγω ειδικών συνθηκών, οι συνεδρίες των Ειδικών Επιτροπών δεν πραγματοποιούνται με φυσική παρουσία των μελών, η διαδικασία αναφορικά με τη λήψη πρωτότυπων υπογραφών στις εκθέσεις </w:t>
            </w:r>
            <w:r w:rsidR="003E1A91" w:rsidRPr="00903F89">
              <w:rPr>
                <w:rFonts w:cs="Arial"/>
                <w:sz w:val="20"/>
                <w:szCs w:val="20"/>
              </w:rPr>
              <w:t>τους,</w:t>
            </w:r>
            <w:r w:rsidRPr="00903F89">
              <w:rPr>
                <w:rFonts w:cs="Arial"/>
                <w:sz w:val="20"/>
                <w:szCs w:val="20"/>
              </w:rPr>
              <w:t xml:space="preserve"> ο αποστολέας θα καταβάλλει ο ίδιος το ποσό που αναλογεί στην μεταφορά του φακέλου, αφού πέραν της αμοιβής (honorarium) ύψους €</w:t>
            </w:r>
            <w:r w:rsidR="00980080" w:rsidRPr="00903F89">
              <w:rPr>
                <w:rFonts w:cs="Arial"/>
                <w:sz w:val="20"/>
                <w:szCs w:val="20"/>
              </w:rPr>
              <w:t>400 (αναθεώρηση από €250 σε €400</w:t>
            </w:r>
            <w:r w:rsidR="00AB76BE" w:rsidRPr="00903F89">
              <w:rPr>
                <w:rFonts w:cs="Arial"/>
                <w:sz w:val="20"/>
                <w:szCs w:val="20"/>
              </w:rPr>
              <w:t xml:space="preserve"> </w:t>
            </w:r>
            <w:bookmarkStart w:id="33" w:name="_Hlk88211535"/>
            <w:r w:rsidR="00AB76BE" w:rsidRPr="00903F89">
              <w:rPr>
                <w:rFonts w:cs="Arial"/>
                <w:sz w:val="20"/>
                <w:szCs w:val="20"/>
              </w:rPr>
              <w:t xml:space="preserve">(Απόφαση </w:t>
            </w:r>
            <w:r w:rsidR="00980080" w:rsidRPr="00903F89">
              <w:rPr>
                <w:rFonts w:cs="Arial"/>
                <w:sz w:val="20"/>
                <w:szCs w:val="20"/>
              </w:rPr>
              <w:t xml:space="preserve">Πρυτανικού Συμβουλίου </w:t>
            </w:r>
            <w:r w:rsidR="00AB76BE" w:rsidRPr="00903F89">
              <w:rPr>
                <w:rFonts w:cs="Arial"/>
                <w:sz w:val="20"/>
                <w:szCs w:val="20"/>
              </w:rPr>
              <w:t xml:space="preserve">Συνεδρία </w:t>
            </w:r>
            <w:r w:rsidR="00980080" w:rsidRPr="00903F89">
              <w:rPr>
                <w:rFonts w:cs="Arial"/>
                <w:sz w:val="20"/>
                <w:szCs w:val="20"/>
              </w:rPr>
              <w:t xml:space="preserve">Αρ. </w:t>
            </w:r>
            <w:r w:rsidR="00980080" w:rsidRPr="00903F89">
              <w:rPr>
                <w:rFonts w:cs="Arial"/>
                <w:bCs/>
                <w:sz w:val="20"/>
                <w:szCs w:val="20"/>
              </w:rPr>
              <w:t>39/2020</w:t>
            </w:r>
            <w:bookmarkEnd w:id="33"/>
            <w:r w:rsidR="00AB76BE" w:rsidRPr="00903F89">
              <w:rPr>
                <w:rFonts w:cs="Arial"/>
                <w:bCs/>
                <w:sz w:val="20"/>
                <w:szCs w:val="20"/>
              </w:rPr>
              <w:t>, ημερ.</w:t>
            </w:r>
            <w:r w:rsidR="00386F9E" w:rsidRPr="00903F89">
              <w:rPr>
                <w:rFonts w:cs="Arial"/>
                <w:bCs/>
                <w:sz w:val="20"/>
                <w:szCs w:val="20"/>
              </w:rPr>
              <w:t xml:space="preserve"> 17/12/2020</w:t>
            </w:r>
            <w:r w:rsidR="00980080" w:rsidRPr="00903F89">
              <w:rPr>
                <w:rFonts w:cs="Arial"/>
                <w:bCs/>
                <w:sz w:val="20"/>
                <w:szCs w:val="20"/>
              </w:rPr>
              <w:t>)</w:t>
            </w:r>
            <w:r w:rsidRPr="00903F89">
              <w:rPr>
                <w:rFonts w:cs="Arial"/>
                <w:sz w:val="20"/>
                <w:szCs w:val="20"/>
              </w:rPr>
              <w:t>, θα λαμβάνει πρόσθετα ποσό ύψους €50 για τα έξοδα αποστολής του φακέλου</w:t>
            </w:r>
            <w:r w:rsidR="0047093A" w:rsidRPr="00903F89">
              <w:rPr>
                <w:rFonts w:cs="Arial"/>
                <w:sz w:val="20"/>
                <w:szCs w:val="20"/>
              </w:rPr>
              <w:t xml:space="preserve"> (</w:t>
            </w:r>
            <w:bookmarkStart w:id="34" w:name="_Hlk87949373"/>
            <w:r w:rsidR="0047093A" w:rsidRPr="00903F89">
              <w:rPr>
                <w:rFonts w:cs="Arial"/>
                <w:sz w:val="20"/>
                <w:szCs w:val="20"/>
              </w:rPr>
              <w:t>Απόφαση Πρυτανικού Συμβουλίου</w:t>
            </w:r>
            <w:r w:rsidR="00B64187" w:rsidRPr="00903F89">
              <w:rPr>
                <w:rFonts w:cs="Arial"/>
                <w:sz w:val="20"/>
                <w:szCs w:val="20"/>
              </w:rPr>
              <w:t>, Σ</w:t>
            </w:r>
            <w:r w:rsidR="0047093A" w:rsidRPr="00903F89">
              <w:rPr>
                <w:rFonts w:cs="Arial"/>
                <w:sz w:val="20"/>
                <w:szCs w:val="20"/>
              </w:rPr>
              <w:t xml:space="preserve">υνεδρία Αρ. 12/2020, </w:t>
            </w:r>
            <w:r w:rsidR="009232CA" w:rsidRPr="00903F89">
              <w:rPr>
                <w:rFonts w:cs="Arial"/>
                <w:sz w:val="20"/>
                <w:szCs w:val="20"/>
              </w:rPr>
              <w:t>ημερ. 0</w:t>
            </w:r>
            <w:r w:rsidR="0047093A" w:rsidRPr="00903F89">
              <w:rPr>
                <w:rFonts w:cs="Arial"/>
                <w:sz w:val="20"/>
                <w:szCs w:val="20"/>
              </w:rPr>
              <w:t>2</w:t>
            </w:r>
            <w:r w:rsidR="009232CA" w:rsidRPr="00903F89">
              <w:rPr>
                <w:rFonts w:cs="Arial"/>
                <w:sz w:val="20"/>
                <w:szCs w:val="20"/>
              </w:rPr>
              <w:t>/04/</w:t>
            </w:r>
            <w:r w:rsidR="0047093A" w:rsidRPr="00903F89">
              <w:rPr>
                <w:rFonts w:cs="Arial"/>
                <w:sz w:val="20"/>
                <w:szCs w:val="20"/>
              </w:rPr>
              <w:t>2020</w:t>
            </w:r>
            <w:bookmarkEnd w:id="34"/>
            <w:r w:rsidR="0047093A" w:rsidRPr="00903F89">
              <w:rPr>
                <w:rFonts w:cs="Arial"/>
                <w:sz w:val="20"/>
                <w:szCs w:val="20"/>
              </w:rPr>
              <w:t>)</w:t>
            </w:r>
            <w:r w:rsidRPr="00903F89">
              <w:rPr>
                <w:rFonts w:cs="Arial"/>
                <w:sz w:val="20"/>
                <w:szCs w:val="20"/>
              </w:rPr>
              <w:t>.</w:t>
            </w:r>
          </w:p>
          <w:p w14:paraId="27D4A2A3" w14:textId="77777777" w:rsidR="00980080" w:rsidRPr="00903F89" w:rsidRDefault="00980080" w:rsidP="00903F89">
            <w:pPr>
              <w:pStyle w:val="ListParagraph"/>
              <w:ind w:left="360"/>
              <w:jc w:val="both"/>
              <w:rPr>
                <w:rFonts w:eastAsia="Arial" w:cs="Arial"/>
                <w:sz w:val="20"/>
                <w:szCs w:val="20"/>
              </w:rPr>
            </w:pPr>
          </w:p>
          <w:p w14:paraId="42A5AD9D" w14:textId="3B28D087" w:rsidR="00A42A35" w:rsidRPr="00903F89" w:rsidRDefault="045AFEAA" w:rsidP="00903F89">
            <w:pPr>
              <w:pStyle w:val="ListParagraph"/>
              <w:numPr>
                <w:ilvl w:val="0"/>
                <w:numId w:val="27"/>
              </w:numPr>
              <w:ind w:left="360"/>
              <w:jc w:val="both"/>
              <w:rPr>
                <w:rFonts w:eastAsia="Arial" w:cs="Arial"/>
                <w:sz w:val="20"/>
                <w:szCs w:val="20"/>
              </w:rPr>
            </w:pPr>
            <w:r w:rsidRPr="00903F89">
              <w:rPr>
                <w:rFonts w:cs="Arial"/>
                <w:sz w:val="20"/>
                <w:szCs w:val="20"/>
              </w:rPr>
              <w:t xml:space="preserve">Εξωτερικά μέλη από </w:t>
            </w:r>
            <w:r w:rsidR="00750C48" w:rsidRPr="00903F89">
              <w:rPr>
                <w:rFonts w:cs="Arial"/>
                <w:sz w:val="20"/>
                <w:szCs w:val="20"/>
              </w:rPr>
              <w:t xml:space="preserve">ακαδημαϊκά ιδρύματα της </w:t>
            </w:r>
            <w:r w:rsidRPr="00903F89">
              <w:rPr>
                <w:rFonts w:cs="Arial"/>
                <w:sz w:val="20"/>
                <w:szCs w:val="20"/>
              </w:rPr>
              <w:t>Κύπρου</w:t>
            </w:r>
            <w:r w:rsidR="0033185D" w:rsidRPr="00903F89">
              <w:rPr>
                <w:rFonts w:cs="Arial"/>
                <w:sz w:val="20"/>
                <w:szCs w:val="20"/>
              </w:rPr>
              <w:t xml:space="preserve">:  </w:t>
            </w:r>
            <w:r w:rsidRPr="00903F89">
              <w:rPr>
                <w:rFonts w:cs="Arial"/>
                <w:sz w:val="20"/>
                <w:szCs w:val="20"/>
              </w:rPr>
              <w:t xml:space="preserve">Στα εξωτερικά μέλη Ειδικών Επιτροπών που προέρχονται από άλλα </w:t>
            </w:r>
            <w:r w:rsidR="00750C48" w:rsidRPr="00903F89">
              <w:rPr>
                <w:rFonts w:cs="Arial"/>
                <w:sz w:val="20"/>
                <w:szCs w:val="20"/>
              </w:rPr>
              <w:t xml:space="preserve">ακαδημαϊκά ιδρύματα </w:t>
            </w:r>
            <w:r w:rsidRPr="00903F89">
              <w:rPr>
                <w:rFonts w:cs="Arial"/>
                <w:sz w:val="20"/>
                <w:szCs w:val="20"/>
              </w:rPr>
              <w:t xml:space="preserve">της Κύπρου </w:t>
            </w:r>
            <w:r w:rsidR="00750C48" w:rsidRPr="00903F89">
              <w:rPr>
                <w:rFonts w:cs="Arial"/>
                <w:sz w:val="20"/>
                <w:szCs w:val="20"/>
              </w:rPr>
              <w:t xml:space="preserve">δύναται να </w:t>
            </w:r>
            <w:r w:rsidRPr="00903F89">
              <w:rPr>
                <w:rFonts w:cs="Arial"/>
                <w:sz w:val="20"/>
                <w:szCs w:val="20"/>
              </w:rPr>
              <w:t>καταβ</w:t>
            </w:r>
            <w:r w:rsidR="00750C48" w:rsidRPr="00903F89">
              <w:rPr>
                <w:rFonts w:cs="Arial"/>
                <w:sz w:val="20"/>
                <w:szCs w:val="20"/>
              </w:rPr>
              <w:t>ληθεί</w:t>
            </w:r>
            <w:r w:rsidRPr="00903F89">
              <w:rPr>
                <w:rFonts w:cs="Arial"/>
                <w:sz w:val="20"/>
                <w:szCs w:val="20"/>
              </w:rPr>
              <w:t xml:space="preserve"> κατ’ αποκοπή </w:t>
            </w:r>
            <w:r w:rsidR="00750C48" w:rsidRPr="00903F89">
              <w:rPr>
                <w:rFonts w:cs="Arial"/>
                <w:sz w:val="20"/>
                <w:szCs w:val="20"/>
              </w:rPr>
              <w:t>αμοιβή (</w:t>
            </w:r>
            <w:r w:rsidR="00750C48" w:rsidRPr="00903F89">
              <w:rPr>
                <w:rFonts w:cs="Arial"/>
                <w:sz w:val="20"/>
                <w:szCs w:val="20"/>
                <w:lang w:val="en-US"/>
              </w:rPr>
              <w:t>honorarium</w:t>
            </w:r>
            <w:r w:rsidR="00750C48" w:rsidRPr="00903F89">
              <w:rPr>
                <w:rFonts w:cs="Arial"/>
                <w:sz w:val="20"/>
                <w:szCs w:val="20"/>
              </w:rPr>
              <w:t xml:space="preserve">) </w:t>
            </w:r>
            <w:r w:rsidR="003E2BEF" w:rsidRPr="00903F89">
              <w:rPr>
                <w:rFonts w:cs="Arial"/>
                <w:sz w:val="20"/>
                <w:szCs w:val="20"/>
              </w:rPr>
              <w:t>μέχρι</w:t>
            </w:r>
            <w:r w:rsidR="00C61AF7" w:rsidRPr="00903F89">
              <w:rPr>
                <w:rFonts w:cs="Arial"/>
                <w:sz w:val="20"/>
                <w:szCs w:val="20"/>
              </w:rPr>
              <w:t xml:space="preserve"> €2</w:t>
            </w:r>
            <w:r w:rsidRPr="00903F89">
              <w:rPr>
                <w:rFonts w:cs="Arial"/>
                <w:sz w:val="20"/>
                <w:szCs w:val="20"/>
              </w:rPr>
              <w:t>00.</w:t>
            </w:r>
          </w:p>
          <w:p w14:paraId="1408E858" w14:textId="77777777" w:rsidR="00A42A35" w:rsidRPr="00903F89" w:rsidRDefault="00A42A35" w:rsidP="00903F89">
            <w:pPr>
              <w:pStyle w:val="ListParagraph"/>
              <w:ind w:left="0"/>
              <w:jc w:val="both"/>
              <w:rPr>
                <w:rFonts w:eastAsia="Arial" w:cs="Arial"/>
                <w:sz w:val="20"/>
                <w:szCs w:val="20"/>
              </w:rPr>
            </w:pPr>
          </w:p>
          <w:p w14:paraId="74C03558" w14:textId="77777777" w:rsidR="00A42A35" w:rsidRPr="00903F89" w:rsidRDefault="0033185D" w:rsidP="00903F89">
            <w:pPr>
              <w:pStyle w:val="ListParagraph"/>
              <w:numPr>
                <w:ilvl w:val="0"/>
                <w:numId w:val="27"/>
              </w:numPr>
              <w:ind w:left="360"/>
              <w:jc w:val="both"/>
              <w:rPr>
                <w:rFonts w:eastAsia="Arial" w:cs="Arial"/>
                <w:sz w:val="20"/>
                <w:szCs w:val="20"/>
              </w:rPr>
            </w:pPr>
            <w:r w:rsidRPr="00903F89">
              <w:rPr>
                <w:rFonts w:cs="Arial"/>
                <w:sz w:val="20"/>
                <w:szCs w:val="20"/>
              </w:rPr>
              <w:t>Μέλη Ακαδημαϊκού Προσωπικού του Πανεπιστημίου Κύπρου που βρίσκονται σε άδεια άνευ αποδοχών ή σε σαββατική άδεια:  Στα μέλη Ειδικών Επιτροπών που είναι μέλη του ακαδημαϊκού προσωπικού του Πανεπιστημίου Κύπρου και βρίσκονται είτε σε Άδεια Άνευ Αποδοχών είτε σε Σαββατική Άδεια στο εξωτερικό, καλύπτεται το κόστος μετάβασης (αεροπορικό εισιτήριο οικονομικής θέσης και μεταφορικά προς και από τα αεροδρόμια).</w:t>
            </w:r>
          </w:p>
          <w:p w14:paraId="0CCB61AA" w14:textId="77777777" w:rsidR="00A42A35" w:rsidRPr="00903F89" w:rsidRDefault="00A42A35" w:rsidP="00903F89">
            <w:pPr>
              <w:pStyle w:val="ListParagraph"/>
              <w:ind w:left="0"/>
              <w:jc w:val="both"/>
              <w:rPr>
                <w:rFonts w:cs="Arial"/>
                <w:sz w:val="20"/>
                <w:szCs w:val="20"/>
              </w:rPr>
            </w:pPr>
          </w:p>
          <w:p w14:paraId="73CB7500" w14:textId="4BD991EE" w:rsidR="000F71BD" w:rsidRPr="00903F89" w:rsidRDefault="045AFEAA" w:rsidP="00903F89">
            <w:pPr>
              <w:pStyle w:val="ListParagraph"/>
              <w:numPr>
                <w:ilvl w:val="0"/>
                <w:numId w:val="27"/>
              </w:numPr>
              <w:ind w:left="360"/>
              <w:jc w:val="both"/>
              <w:rPr>
                <w:rFonts w:eastAsia="Arial" w:cs="Arial"/>
                <w:sz w:val="20"/>
                <w:szCs w:val="20"/>
              </w:rPr>
            </w:pPr>
            <w:r w:rsidRPr="00903F89">
              <w:rPr>
                <w:rFonts w:cs="Arial"/>
                <w:sz w:val="20"/>
                <w:szCs w:val="20"/>
              </w:rPr>
              <w:t>Ανεξάρτητοι κριτές (</w:t>
            </w:r>
            <w:r w:rsidR="00C61AF7" w:rsidRPr="00903F89">
              <w:rPr>
                <w:rFonts w:cs="Arial"/>
                <w:sz w:val="20"/>
                <w:szCs w:val="20"/>
              </w:rPr>
              <w:t>«</w:t>
            </w:r>
            <w:r w:rsidRPr="00903F89">
              <w:rPr>
                <w:rFonts w:cs="Arial"/>
                <w:sz w:val="20"/>
                <w:szCs w:val="20"/>
              </w:rPr>
              <w:t>τρεις ανεξάρτητοι κριτές, Καθηγητές Πανεπιστημίων, από τουλάχιστον δύο διαφορετικές χώρες του εξωτερικού, ειδικοί στο γνωστικό αντικείμενο του υποψηφίου</w:t>
            </w:r>
            <w:r w:rsidR="00C61AF7" w:rsidRPr="00903F89">
              <w:rPr>
                <w:rFonts w:cs="Arial"/>
                <w:sz w:val="20"/>
                <w:szCs w:val="20"/>
              </w:rPr>
              <w:t>,</w:t>
            </w:r>
            <w:r w:rsidRPr="00903F89">
              <w:rPr>
                <w:rFonts w:cs="Arial"/>
                <w:sz w:val="20"/>
                <w:szCs w:val="20"/>
              </w:rPr>
              <w:t xml:space="preserve"> που επιλέγονται από την Ειδική Επιτροπή</w:t>
            </w:r>
            <w:r w:rsidR="00C61AF7" w:rsidRPr="00903F89">
              <w:rPr>
                <w:rFonts w:cs="Arial"/>
                <w:sz w:val="20"/>
                <w:szCs w:val="20"/>
              </w:rPr>
              <w:t>»</w:t>
            </w:r>
            <w:r w:rsidRPr="00903F89">
              <w:rPr>
                <w:rFonts w:cs="Arial"/>
                <w:sz w:val="20"/>
                <w:szCs w:val="20"/>
              </w:rPr>
              <w:t>)</w:t>
            </w:r>
            <w:r w:rsidR="0033185D" w:rsidRPr="00903F89">
              <w:rPr>
                <w:rFonts w:cs="Arial"/>
                <w:sz w:val="20"/>
                <w:szCs w:val="20"/>
              </w:rPr>
              <w:t>:</w:t>
            </w:r>
            <w:r w:rsidR="0033185D" w:rsidRPr="00903F89">
              <w:rPr>
                <w:rFonts w:cs="Arial"/>
                <w:i/>
                <w:sz w:val="20"/>
                <w:szCs w:val="20"/>
              </w:rPr>
              <w:t xml:space="preserve"> </w:t>
            </w:r>
            <w:r w:rsidRPr="00903F89">
              <w:rPr>
                <w:rFonts w:cs="Arial"/>
                <w:sz w:val="20"/>
                <w:szCs w:val="20"/>
              </w:rPr>
              <w:t xml:space="preserve">Στους ανεξάρτητους κριτές που εμπλέκονται στη διαδικασία </w:t>
            </w:r>
            <w:r w:rsidR="00C61AF7" w:rsidRPr="00903F89">
              <w:rPr>
                <w:rFonts w:cs="Arial"/>
                <w:sz w:val="20"/>
                <w:szCs w:val="20"/>
              </w:rPr>
              <w:t xml:space="preserve">ανέλιξης </w:t>
            </w:r>
            <w:r w:rsidRPr="00903F89">
              <w:rPr>
                <w:rFonts w:cs="Arial"/>
                <w:sz w:val="20"/>
                <w:szCs w:val="20"/>
              </w:rPr>
              <w:t xml:space="preserve">μελών ακαδημαϊκού προσωπικού </w:t>
            </w:r>
            <w:r w:rsidR="00C61AF7" w:rsidRPr="00903F89">
              <w:rPr>
                <w:rFonts w:cs="Arial"/>
                <w:sz w:val="20"/>
                <w:szCs w:val="20"/>
              </w:rPr>
              <w:t xml:space="preserve">δύναται να </w:t>
            </w:r>
            <w:r w:rsidRPr="00903F89">
              <w:rPr>
                <w:rFonts w:cs="Arial"/>
                <w:sz w:val="20"/>
                <w:szCs w:val="20"/>
              </w:rPr>
              <w:t>καταβ</w:t>
            </w:r>
            <w:r w:rsidR="00C61AF7" w:rsidRPr="00903F89">
              <w:rPr>
                <w:rFonts w:cs="Arial"/>
                <w:sz w:val="20"/>
                <w:szCs w:val="20"/>
              </w:rPr>
              <w:t>ληθεί</w:t>
            </w:r>
            <w:r w:rsidRPr="00903F89">
              <w:rPr>
                <w:rFonts w:cs="Arial"/>
                <w:sz w:val="20"/>
                <w:szCs w:val="20"/>
              </w:rPr>
              <w:t xml:space="preserve"> </w:t>
            </w:r>
            <w:r w:rsidR="00C61AF7" w:rsidRPr="00903F89">
              <w:rPr>
                <w:rFonts w:cs="Arial"/>
                <w:sz w:val="20"/>
                <w:szCs w:val="20"/>
              </w:rPr>
              <w:t>κατ’ αποκοπή αμοιβή (</w:t>
            </w:r>
            <w:r w:rsidR="00C61AF7" w:rsidRPr="00903F89">
              <w:rPr>
                <w:rFonts w:cs="Arial"/>
                <w:sz w:val="20"/>
                <w:szCs w:val="20"/>
                <w:lang w:val="en-US"/>
              </w:rPr>
              <w:t>honorarium</w:t>
            </w:r>
            <w:r w:rsidR="00C61AF7" w:rsidRPr="00903F89">
              <w:rPr>
                <w:rFonts w:cs="Arial"/>
                <w:sz w:val="20"/>
                <w:szCs w:val="20"/>
              </w:rPr>
              <w:t>) μέχρι €200</w:t>
            </w:r>
            <w:r w:rsidRPr="00903F89">
              <w:rPr>
                <w:rFonts w:cs="Arial"/>
                <w:sz w:val="20"/>
                <w:szCs w:val="20"/>
              </w:rPr>
              <w:t>.</w:t>
            </w:r>
          </w:p>
          <w:p w14:paraId="61501DCB" w14:textId="14775088" w:rsidR="000F71BD" w:rsidRPr="00903F89" w:rsidRDefault="000F71BD" w:rsidP="00903F89">
            <w:pPr>
              <w:jc w:val="both"/>
              <w:rPr>
                <w:rFonts w:cs="Arial"/>
                <w:sz w:val="20"/>
                <w:szCs w:val="20"/>
              </w:rPr>
            </w:pPr>
          </w:p>
          <w:p w14:paraId="1904042A" w14:textId="3754A276" w:rsidR="000F71BD" w:rsidRPr="00903F89" w:rsidRDefault="045AFEAA" w:rsidP="00903F89">
            <w:pPr>
              <w:jc w:val="both"/>
              <w:rPr>
                <w:rFonts w:cs="Arial"/>
                <w:sz w:val="20"/>
                <w:szCs w:val="20"/>
                <w:u w:val="single"/>
              </w:rPr>
            </w:pPr>
            <w:bookmarkStart w:id="35" w:name="_Hlk52353469"/>
            <w:r w:rsidRPr="00903F89">
              <w:rPr>
                <w:rFonts w:cs="Arial"/>
                <w:sz w:val="20"/>
                <w:szCs w:val="20"/>
                <w:u w:val="single"/>
              </w:rPr>
              <w:t xml:space="preserve">Εξωτερικοί </w:t>
            </w:r>
            <w:r w:rsidR="00C40736" w:rsidRPr="00903F89">
              <w:rPr>
                <w:rFonts w:cs="Arial"/>
                <w:sz w:val="20"/>
                <w:szCs w:val="20"/>
                <w:u w:val="single"/>
              </w:rPr>
              <w:t xml:space="preserve">Κριτές </w:t>
            </w:r>
            <w:r w:rsidRPr="00903F89">
              <w:rPr>
                <w:rFonts w:cs="Arial"/>
                <w:sz w:val="20"/>
                <w:szCs w:val="20"/>
                <w:u w:val="single"/>
              </w:rPr>
              <w:t xml:space="preserve">που συμμετέχουν σε </w:t>
            </w:r>
            <w:r w:rsidR="00C40736" w:rsidRPr="00903F89">
              <w:rPr>
                <w:rFonts w:cs="Arial"/>
                <w:sz w:val="20"/>
                <w:szCs w:val="20"/>
                <w:u w:val="single"/>
              </w:rPr>
              <w:t xml:space="preserve">Εξεταστικές </w:t>
            </w:r>
            <w:r w:rsidRPr="00903F89">
              <w:rPr>
                <w:rFonts w:cs="Arial"/>
                <w:sz w:val="20"/>
                <w:szCs w:val="20"/>
                <w:u w:val="single"/>
              </w:rPr>
              <w:t>Επιτροπές για υποστήριξη διδακτορικών διατριβών</w:t>
            </w:r>
            <w:bookmarkEnd w:id="35"/>
            <w:r w:rsidRPr="00903F89">
              <w:rPr>
                <w:rFonts w:cs="Arial"/>
                <w:sz w:val="20"/>
                <w:szCs w:val="20"/>
                <w:u w:val="single"/>
              </w:rPr>
              <w:t>:</w:t>
            </w:r>
          </w:p>
          <w:p w14:paraId="4A207548" w14:textId="77777777" w:rsidR="000F71BD" w:rsidRPr="00903F89" w:rsidRDefault="000F71BD" w:rsidP="00903F89">
            <w:pPr>
              <w:jc w:val="both"/>
              <w:rPr>
                <w:rFonts w:cs="Arial"/>
                <w:sz w:val="20"/>
                <w:szCs w:val="20"/>
              </w:rPr>
            </w:pPr>
          </w:p>
          <w:p w14:paraId="01776E54" w14:textId="1452160E" w:rsidR="0033185D" w:rsidRPr="00903F89" w:rsidRDefault="045AFEAA" w:rsidP="00903F89">
            <w:pPr>
              <w:pStyle w:val="ListParagraph"/>
              <w:numPr>
                <w:ilvl w:val="0"/>
                <w:numId w:val="26"/>
              </w:numPr>
              <w:jc w:val="both"/>
              <w:rPr>
                <w:rFonts w:cs="Arial"/>
                <w:sz w:val="20"/>
                <w:szCs w:val="20"/>
              </w:rPr>
            </w:pPr>
            <w:bookmarkStart w:id="36" w:name="_Hlk52353496"/>
            <w:r w:rsidRPr="00903F89">
              <w:rPr>
                <w:rFonts w:cs="Arial"/>
                <w:sz w:val="20"/>
                <w:szCs w:val="20"/>
              </w:rPr>
              <w:t xml:space="preserve">Εξωτερικοί κριτές από </w:t>
            </w:r>
            <w:r w:rsidR="00073E08" w:rsidRPr="00903F89">
              <w:rPr>
                <w:rFonts w:cs="Arial"/>
                <w:sz w:val="20"/>
                <w:szCs w:val="20"/>
              </w:rPr>
              <w:t xml:space="preserve">ακαδημαϊκά ιδρύματα </w:t>
            </w:r>
            <w:r w:rsidRPr="00903F89">
              <w:rPr>
                <w:rFonts w:cs="Arial"/>
                <w:sz w:val="20"/>
                <w:szCs w:val="20"/>
              </w:rPr>
              <w:t>εκτός Κύπρου</w:t>
            </w:r>
            <w:r w:rsidR="0033185D" w:rsidRPr="00903F89">
              <w:rPr>
                <w:rFonts w:cs="Arial"/>
                <w:sz w:val="20"/>
                <w:szCs w:val="20"/>
              </w:rPr>
              <w:t xml:space="preserve">:  </w:t>
            </w:r>
            <w:r w:rsidR="4407E268" w:rsidRPr="00903F89">
              <w:rPr>
                <w:rFonts w:cs="Arial"/>
                <w:sz w:val="20"/>
                <w:szCs w:val="20"/>
              </w:rPr>
              <w:t xml:space="preserve">Στους εξωτερικούς κριτές που συμμετέχουν σε εξεταστικές Επιτροπές για υποστήριξη διδακτορικών διατριβών και προέρχονται από </w:t>
            </w:r>
            <w:r w:rsidR="00073E08" w:rsidRPr="00903F89">
              <w:rPr>
                <w:rFonts w:cs="Arial"/>
                <w:sz w:val="20"/>
                <w:szCs w:val="20"/>
              </w:rPr>
              <w:t xml:space="preserve">ακαδημαϊκά ιδρύματα </w:t>
            </w:r>
            <w:r w:rsidR="4407E268" w:rsidRPr="00903F89">
              <w:rPr>
                <w:rFonts w:cs="Arial"/>
                <w:sz w:val="20"/>
                <w:szCs w:val="20"/>
              </w:rPr>
              <w:t xml:space="preserve">εκτός Κύπρου, </w:t>
            </w:r>
            <w:r w:rsidR="0033185D" w:rsidRPr="00903F89">
              <w:rPr>
                <w:rFonts w:cs="Arial"/>
                <w:sz w:val="20"/>
                <w:szCs w:val="20"/>
              </w:rPr>
              <w:t>με βάση τις πρόνοιες της ισχύουσας εγκυκλίου, δύναται να καταβληθεί:</w:t>
            </w:r>
          </w:p>
          <w:p w14:paraId="22614780" w14:textId="77777777" w:rsidR="0033185D" w:rsidRPr="00903F89" w:rsidRDefault="0033185D" w:rsidP="00903F89">
            <w:pPr>
              <w:pStyle w:val="ListParagraph"/>
              <w:jc w:val="both"/>
              <w:rPr>
                <w:rFonts w:cs="Arial"/>
                <w:sz w:val="20"/>
                <w:szCs w:val="20"/>
              </w:rPr>
            </w:pPr>
          </w:p>
          <w:p w14:paraId="5F990989" w14:textId="79CE6A40" w:rsidR="00A42A35" w:rsidRPr="00903F89" w:rsidRDefault="00A42A35" w:rsidP="00903F89">
            <w:pPr>
              <w:pStyle w:val="ListParagraph"/>
              <w:numPr>
                <w:ilvl w:val="0"/>
                <w:numId w:val="21"/>
              </w:numPr>
              <w:ind w:left="604" w:hanging="283"/>
              <w:jc w:val="both"/>
              <w:rPr>
                <w:rFonts w:cs="Arial"/>
                <w:sz w:val="20"/>
                <w:szCs w:val="20"/>
              </w:rPr>
            </w:pPr>
            <w:r w:rsidRPr="00903F89">
              <w:rPr>
                <w:rFonts w:cs="Arial"/>
                <w:sz w:val="20"/>
                <w:szCs w:val="20"/>
              </w:rPr>
              <w:t xml:space="preserve">κατ’ αποκοπή αμοιβή (honorarium) μέχρι €200, </w:t>
            </w:r>
          </w:p>
          <w:p w14:paraId="0D0FACFB" w14:textId="0B0DFB5F" w:rsidR="00A42A35" w:rsidRPr="00903F89" w:rsidRDefault="00A42A35" w:rsidP="00903F89">
            <w:pPr>
              <w:pStyle w:val="ListParagraph"/>
              <w:numPr>
                <w:ilvl w:val="0"/>
                <w:numId w:val="21"/>
              </w:numPr>
              <w:ind w:left="604" w:hanging="283"/>
              <w:jc w:val="both"/>
              <w:rPr>
                <w:rFonts w:cs="Arial"/>
                <w:sz w:val="20"/>
                <w:szCs w:val="20"/>
              </w:rPr>
            </w:pPr>
            <w:r w:rsidRPr="00903F89">
              <w:rPr>
                <w:rFonts w:cs="Arial"/>
                <w:sz w:val="20"/>
                <w:szCs w:val="20"/>
              </w:rPr>
              <w:t>κόστος μετάβασης (αεροπορικό εισιτήριο οικονομικής θέσης - μέγιστο ποσό αποζημίωσης για ταξίδια από χώρες της Ευρώπης, Βόρειου Αφρικής και Μέσης Ανατολής ορίζεται το ποσό των €800, και από άλλα μέρη του κόσμου το ποσό των €1.300- και μεταφορικά έξοδα από και προς τα αεροδρόμια</w:t>
            </w:r>
            <w:r w:rsidR="002843BE" w:rsidRPr="00903F89">
              <w:rPr>
                <w:rFonts w:cs="Arial"/>
                <w:sz w:val="20"/>
                <w:szCs w:val="20"/>
              </w:rPr>
              <w:t>, μέγιστο ποσό αποζημίωσης μέχρι €50 για χρήση ιδιωτικού μέσου μεταφοράς στο εξωτερικό</w:t>
            </w:r>
            <w:r w:rsidRPr="00903F89">
              <w:rPr>
                <w:rFonts w:cs="Arial"/>
                <w:sz w:val="20"/>
                <w:szCs w:val="20"/>
              </w:rPr>
              <w:t xml:space="preserve">), </w:t>
            </w:r>
          </w:p>
          <w:p w14:paraId="2D6BD55A" w14:textId="18185A6D" w:rsidR="00A42A35" w:rsidRPr="00903F89" w:rsidRDefault="00A42A35" w:rsidP="00903F89">
            <w:pPr>
              <w:pStyle w:val="ListParagraph"/>
              <w:numPr>
                <w:ilvl w:val="0"/>
                <w:numId w:val="21"/>
              </w:numPr>
              <w:ind w:left="604" w:hanging="283"/>
              <w:jc w:val="both"/>
              <w:rPr>
                <w:rFonts w:cs="Arial"/>
                <w:sz w:val="20"/>
                <w:szCs w:val="20"/>
              </w:rPr>
            </w:pPr>
            <w:r w:rsidRPr="00903F89">
              <w:rPr>
                <w:rFonts w:cs="Arial"/>
                <w:sz w:val="20"/>
                <w:szCs w:val="20"/>
              </w:rPr>
              <w:t>κόστος διαμονής (το μέγιστο όριο διαμονής</w:t>
            </w:r>
            <w:r w:rsidR="00A7049F" w:rsidRPr="00903F89">
              <w:rPr>
                <w:rFonts w:cs="Arial"/>
                <w:sz w:val="20"/>
                <w:szCs w:val="20"/>
              </w:rPr>
              <w:t xml:space="preserve"> </w:t>
            </w:r>
            <w:r w:rsidRPr="00903F89">
              <w:rPr>
                <w:rFonts w:cs="Arial"/>
                <w:sz w:val="20"/>
                <w:szCs w:val="20"/>
              </w:rPr>
              <w:t>καθορίστηκε σε τρία (3) βράδια, δεδομένου ότι οι εργασίες της Επιτροπής ολοκληρώνονται σε μία (1) ημέρα, ενώ αυτό δύναται να αυξηθεί κατά τον πρόσθετο αριθμό ημερών εργασιών της Επιτροπής</w:t>
            </w:r>
            <w:r w:rsidR="00A7049F" w:rsidRPr="00903F89">
              <w:rPr>
                <w:rFonts w:cs="Arial"/>
                <w:sz w:val="20"/>
                <w:szCs w:val="20"/>
              </w:rPr>
              <w:t>, σε μονόκλινο δωμάτιο με πρόγευμα</w:t>
            </w:r>
            <w:r w:rsidRPr="00903F89">
              <w:rPr>
                <w:rFonts w:cs="Arial"/>
                <w:sz w:val="20"/>
                <w:szCs w:val="20"/>
              </w:rPr>
              <w:t xml:space="preserve">), </w:t>
            </w:r>
          </w:p>
          <w:p w14:paraId="1CE4B211" w14:textId="4A69EF08" w:rsidR="00A42A35" w:rsidRPr="00903F89" w:rsidRDefault="00A42A35" w:rsidP="00903F89">
            <w:pPr>
              <w:pStyle w:val="ListParagraph"/>
              <w:numPr>
                <w:ilvl w:val="0"/>
                <w:numId w:val="21"/>
              </w:numPr>
              <w:ind w:left="592" w:hanging="271"/>
              <w:jc w:val="both"/>
              <w:rPr>
                <w:rFonts w:cs="Arial"/>
                <w:sz w:val="20"/>
                <w:szCs w:val="20"/>
              </w:rPr>
            </w:pPr>
            <w:r w:rsidRPr="00903F89">
              <w:rPr>
                <w:rFonts w:cs="Arial"/>
                <w:sz w:val="20"/>
                <w:szCs w:val="20"/>
              </w:rPr>
              <w:t>ημερήσιο επίδομα διατροφής</w:t>
            </w:r>
            <w:r w:rsidR="002445E0" w:rsidRPr="00903F89">
              <w:rPr>
                <w:rFonts w:cs="Arial"/>
                <w:sz w:val="20"/>
                <w:szCs w:val="20"/>
              </w:rPr>
              <w:t xml:space="preserve"> (ποσό των €25 για κάθε γεύμα, μέχρι €50 ημερησίως, μέχρι το μέγιστο όριο ημερών διαμονής, αφαιρώντας τον αριθμό γευμάτων που προσφέρονται και καλύπτονται από την οικεία οντότητα),</w:t>
            </w:r>
          </w:p>
          <w:p w14:paraId="79025FFD" w14:textId="77777777" w:rsidR="0006372D" w:rsidRPr="00903F89" w:rsidRDefault="00A42A35" w:rsidP="00903F89">
            <w:pPr>
              <w:pStyle w:val="ListParagraph"/>
              <w:numPr>
                <w:ilvl w:val="0"/>
                <w:numId w:val="21"/>
              </w:numPr>
              <w:ind w:left="604" w:hanging="283"/>
              <w:jc w:val="both"/>
              <w:rPr>
                <w:rFonts w:cs="Arial"/>
                <w:sz w:val="20"/>
                <w:szCs w:val="20"/>
              </w:rPr>
            </w:pPr>
            <w:r w:rsidRPr="00903F89">
              <w:rPr>
                <w:rFonts w:cs="Arial"/>
                <w:sz w:val="20"/>
                <w:szCs w:val="20"/>
              </w:rPr>
              <w:t>επιπρόσθετη κατ’ αποκοπή αμοιβή (honorarium) €100 σε περιπτώσεις όπου δίνουν, επιπρόσθετα, επιστημονικές διαλέξεις στις οντότητες του Πανεπιστημίου Κύπρου</w:t>
            </w:r>
            <w:r w:rsidR="00C40736" w:rsidRPr="00903F89">
              <w:rPr>
                <w:rFonts w:cs="Arial"/>
                <w:sz w:val="20"/>
                <w:szCs w:val="20"/>
              </w:rPr>
              <w:t xml:space="preserve"> (η δαπάνη χρεώνεται έναντι πρόνοιας του Άρθρου 315 «Συνέδρια και Σεμινάρια», της οικείας οντότητας)</w:t>
            </w:r>
            <w:r w:rsidRPr="00903F89">
              <w:rPr>
                <w:rFonts w:cs="Arial"/>
                <w:sz w:val="20"/>
                <w:szCs w:val="20"/>
              </w:rPr>
              <w:t>,</w:t>
            </w:r>
          </w:p>
          <w:p w14:paraId="2FCF8611" w14:textId="1F82D3C1" w:rsidR="0006372D" w:rsidRPr="00903F89" w:rsidRDefault="0006372D" w:rsidP="00903F89">
            <w:pPr>
              <w:pStyle w:val="ListParagraph"/>
              <w:numPr>
                <w:ilvl w:val="0"/>
                <w:numId w:val="21"/>
              </w:numPr>
              <w:ind w:left="604" w:hanging="283"/>
              <w:jc w:val="both"/>
              <w:rPr>
                <w:rFonts w:cs="Arial"/>
                <w:sz w:val="20"/>
                <w:szCs w:val="20"/>
              </w:rPr>
            </w:pPr>
            <w:r w:rsidRPr="00903F89">
              <w:rPr>
                <w:rFonts w:cs="Arial"/>
                <w:sz w:val="20"/>
                <w:szCs w:val="20"/>
              </w:rPr>
              <w:t>επιπρόσθετη κατ’ αποκοπή αποζημίωση (honorarium) €100 σε περιπτώσεις όπου εξωτερικά μέλη έρχονται στην Κύπρο για μία μόνο μέρα, χωρίς διανυκτέρευση (για κάλυψη των εξόδων διατροφής και διακίνησής τους, επιπρόσθετα της κατ’ αποκοπή αμοιβής (honorarium) και του κόστους μετάβασης).</w:t>
            </w:r>
          </w:p>
          <w:bookmarkEnd w:id="36"/>
          <w:p w14:paraId="4933BD35" w14:textId="28765459" w:rsidR="00E776C1" w:rsidRPr="00903F89" w:rsidRDefault="00E776C1" w:rsidP="00903F89">
            <w:pPr>
              <w:jc w:val="both"/>
              <w:rPr>
                <w:rFonts w:cs="Arial"/>
                <w:sz w:val="20"/>
                <w:szCs w:val="20"/>
              </w:rPr>
            </w:pPr>
          </w:p>
          <w:p w14:paraId="3C93EA41" w14:textId="118E8453" w:rsidR="00A42A35" w:rsidRPr="00903F89" w:rsidRDefault="00A42A35" w:rsidP="00903F89">
            <w:pPr>
              <w:pStyle w:val="ListParagraph"/>
              <w:numPr>
                <w:ilvl w:val="0"/>
                <w:numId w:val="25"/>
              </w:numPr>
              <w:ind w:left="360"/>
              <w:jc w:val="both"/>
              <w:rPr>
                <w:rFonts w:eastAsia="Arial" w:cs="Arial"/>
                <w:sz w:val="20"/>
                <w:szCs w:val="20"/>
              </w:rPr>
            </w:pPr>
            <w:r w:rsidRPr="00903F89">
              <w:rPr>
                <w:rFonts w:cs="Arial"/>
                <w:sz w:val="20"/>
                <w:szCs w:val="20"/>
              </w:rPr>
              <w:t xml:space="preserve">Εξωτερικοί κριτές από ακαδημαϊκά ιδρύματα της Κύπρου:  </w:t>
            </w:r>
            <w:r w:rsidR="045AFEAA" w:rsidRPr="00903F89">
              <w:rPr>
                <w:rFonts w:cs="Arial"/>
                <w:sz w:val="20"/>
                <w:szCs w:val="20"/>
              </w:rPr>
              <w:t xml:space="preserve">Στους εξωτερικούς κριτές που προέρχονται από άλλα </w:t>
            </w:r>
            <w:r w:rsidR="00073E08" w:rsidRPr="00903F89">
              <w:rPr>
                <w:rFonts w:cs="Arial"/>
                <w:sz w:val="20"/>
                <w:szCs w:val="20"/>
              </w:rPr>
              <w:t xml:space="preserve">ακαδημαϊκά ιδρύματα </w:t>
            </w:r>
            <w:r w:rsidR="045AFEAA" w:rsidRPr="00903F89">
              <w:rPr>
                <w:rFonts w:cs="Arial"/>
                <w:sz w:val="20"/>
                <w:szCs w:val="20"/>
              </w:rPr>
              <w:t xml:space="preserve">της Κύπρου, </w:t>
            </w:r>
            <w:r w:rsidR="00073E08" w:rsidRPr="00903F89">
              <w:rPr>
                <w:rFonts w:cs="Arial"/>
                <w:sz w:val="20"/>
                <w:szCs w:val="20"/>
              </w:rPr>
              <w:t>δύναται να καταβληθεί κατ’ αποκοπή αμοιβή (honorarium) μέχρι €150</w:t>
            </w:r>
            <w:r w:rsidR="045AFEAA" w:rsidRPr="00903F89">
              <w:rPr>
                <w:rFonts w:cs="Arial"/>
                <w:sz w:val="20"/>
                <w:szCs w:val="20"/>
              </w:rPr>
              <w:t>.</w:t>
            </w:r>
          </w:p>
          <w:p w14:paraId="23772D49" w14:textId="77777777" w:rsidR="00A42A35" w:rsidRPr="00903F89" w:rsidRDefault="00A42A35" w:rsidP="00903F89">
            <w:pPr>
              <w:pStyle w:val="ListParagraph"/>
              <w:ind w:left="24"/>
              <w:jc w:val="both"/>
              <w:rPr>
                <w:rFonts w:eastAsia="Arial" w:cs="Arial"/>
                <w:sz w:val="20"/>
                <w:szCs w:val="20"/>
              </w:rPr>
            </w:pPr>
          </w:p>
          <w:p w14:paraId="28D77B50" w14:textId="1D862287" w:rsidR="00A42A35" w:rsidRPr="00903F89" w:rsidRDefault="00A42A35" w:rsidP="00903F89">
            <w:pPr>
              <w:pStyle w:val="ListParagraph"/>
              <w:numPr>
                <w:ilvl w:val="0"/>
                <w:numId w:val="25"/>
              </w:numPr>
              <w:ind w:left="360"/>
              <w:jc w:val="both"/>
              <w:rPr>
                <w:rFonts w:eastAsia="Arial" w:cs="Arial"/>
                <w:sz w:val="20"/>
                <w:szCs w:val="20"/>
              </w:rPr>
            </w:pPr>
            <w:r w:rsidRPr="00903F89">
              <w:rPr>
                <w:rFonts w:cs="Arial"/>
                <w:sz w:val="20"/>
                <w:szCs w:val="20"/>
              </w:rPr>
              <w:t xml:space="preserve">Εξωτερικοί κριτές που συμμετέχουν </w:t>
            </w:r>
            <w:r w:rsidR="045AFEAA" w:rsidRPr="00903F89">
              <w:rPr>
                <w:rFonts w:cs="Arial"/>
                <w:sz w:val="20"/>
                <w:szCs w:val="20"/>
              </w:rPr>
              <w:t>μέσω τηλεδιάσκεψης</w:t>
            </w:r>
            <w:r w:rsidRPr="00903F89">
              <w:rPr>
                <w:rFonts w:cs="Arial"/>
                <w:sz w:val="20"/>
                <w:szCs w:val="20"/>
              </w:rPr>
              <w:t>:</w:t>
            </w:r>
            <w:r w:rsidR="045AFEAA" w:rsidRPr="00903F89">
              <w:rPr>
                <w:rFonts w:cs="Arial"/>
                <w:sz w:val="20"/>
                <w:szCs w:val="20"/>
              </w:rPr>
              <w:t xml:space="preserve"> </w:t>
            </w:r>
            <w:r w:rsidR="008260F1" w:rsidRPr="00903F89">
              <w:rPr>
                <w:rFonts w:cs="Arial"/>
                <w:sz w:val="20"/>
                <w:szCs w:val="20"/>
              </w:rPr>
              <w:t xml:space="preserve"> </w:t>
            </w:r>
            <w:r w:rsidR="045AFEAA" w:rsidRPr="00903F89">
              <w:rPr>
                <w:rFonts w:cs="Arial"/>
                <w:sz w:val="20"/>
                <w:szCs w:val="20"/>
              </w:rPr>
              <w:t xml:space="preserve">Στους εξωτερικούς κριτές που λαμβάνουν μέρος στις συνεδρίες μέσω τηλεδιάσκεψης, </w:t>
            </w:r>
            <w:r w:rsidR="00073E08" w:rsidRPr="00903F89">
              <w:rPr>
                <w:rFonts w:cs="Arial"/>
                <w:sz w:val="20"/>
                <w:szCs w:val="20"/>
              </w:rPr>
              <w:t>δύναται να καταβληθεί κατ’ αποκοπή αμοιβή (honorarium) μέχρι</w:t>
            </w:r>
            <w:r w:rsidR="045AFEAA" w:rsidRPr="00903F89">
              <w:rPr>
                <w:rFonts w:cs="Arial"/>
                <w:sz w:val="20"/>
                <w:szCs w:val="20"/>
              </w:rPr>
              <w:t xml:space="preserve"> €150.</w:t>
            </w:r>
            <w:r w:rsidR="000841EB" w:rsidRPr="00903F89">
              <w:rPr>
                <w:rFonts w:cs="Arial"/>
                <w:sz w:val="20"/>
                <w:szCs w:val="20"/>
              </w:rPr>
              <w:t xml:space="preserve"> </w:t>
            </w:r>
          </w:p>
          <w:p w14:paraId="6DA27869" w14:textId="77777777" w:rsidR="00A42A35" w:rsidRPr="00903F89" w:rsidRDefault="00A42A35" w:rsidP="00903F89">
            <w:pPr>
              <w:pStyle w:val="ListParagraph"/>
              <w:ind w:left="0"/>
              <w:jc w:val="both"/>
              <w:rPr>
                <w:rFonts w:cs="Arial"/>
                <w:sz w:val="20"/>
                <w:szCs w:val="20"/>
              </w:rPr>
            </w:pPr>
          </w:p>
          <w:p w14:paraId="0694AF4A" w14:textId="077835AD" w:rsidR="006118DA" w:rsidRPr="00903F89" w:rsidRDefault="00A42A35" w:rsidP="00903F89">
            <w:pPr>
              <w:pStyle w:val="ListParagraph"/>
              <w:numPr>
                <w:ilvl w:val="0"/>
                <w:numId w:val="25"/>
              </w:numPr>
              <w:ind w:left="360"/>
              <w:jc w:val="both"/>
              <w:rPr>
                <w:rFonts w:cs="Arial"/>
                <w:sz w:val="20"/>
                <w:szCs w:val="20"/>
              </w:rPr>
            </w:pPr>
            <w:r w:rsidRPr="00903F89">
              <w:rPr>
                <w:rFonts w:cs="Arial"/>
                <w:sz w:val="20"/>
                <w:szCs w:val="20"/>
              </w:rPr>
              <w:t xml:space="preserve">Εξωτερικοί κριτές που υποβάλλουν </w:t>
            </w:r>
            <w:r w:rsidR="00073E08" w:rsidRPr="00903F89">
              <w:rPr>
                <w:rFonts w:cs="Arial"/>
                <w:sz w:val="20"/>
                <w:szCs w:val="20"/>
              </w:rPr>
              <w:t>ειδική έκθεση χωρίς φυσική παρουσία</w:t>
            </w:r>
            <w:r w:rsidRPr="00903F89">
              <w:rPr>
                <w:rFonts w:cs="Arial"/>
                <w:sz w:val="20"/>
                <w:szCs w:val="20"/>
              </w:rPr>
              <w:t xml:space="preserve">:  </w:t>
            </w:r>
            <w:r w:rsidR="006118DA" w:rsidRPr="00903F89">
              <w:rPr>
                <w:rFonts w:cs="Arial"/>
                <w:sz w:val="20"/>
                <w:szCs w:val="20"/>
              </w:rPr>
              <w:t>Στους εξωτερικούς κριτές, των οποίων η φυσική παρουσία στη συνεδρία της Επιτροπής δεν κατέστη δυνατή, και δε συμμετείχαν στη συνεδρία μέσω τηλεδιάσκεψης, αλλά έχουν υποβάλει ειδική έκθεση η οποία περιλήφθηκε στον φάκελο αξιολόγησης, δύναται να καταβληθεί αποζημίωση μέχρι €100.</w:t>
            </w:r>
          </w:p>
          <w:p w14:paraId="7FBB2198" w14:textId="356A586D" w:rsidR="00073E08" w:rsidRPr="00903F89" w:rsidRDefault="00073E08" w:rsidP="00903F89">
            <w:pPr>
              <w:jc w:val="both"/>
              <w:rPr>
                <w:rFonts w:eastAsia="Arial" w:cs="Arial"/>
                <w:sz w:val="20"/>
                <w:szCs w:val="20"/>
              </w:rPr>
            </w:pPr>
          </w:p>
          <w:p w14:paraId="71E10CA4" w14:textId="2376BD7C" w:rsidR="003C2B1D" w:rsidRPr="00903F89" w:rsidRDefault="4407E268" w:rsidP="00903F89">
            <w:pPr>
              <w:jc w:val="both"/>
              <w:rPr>
                <w:rFonts w:cs="Arial"/>
                <w:sz w:val="20"/>
                <w:szCs w:val="20"/>
                <w:u w:val="single"/>
              </w:rPr>
            </w:pPr>
            <w:r w:rsidRPr="00903F89">
              <w:rPr>
                <w:rFonts w:cs="Arial"/>
                <w:sz w:val="20"/>
                <w:szCs w:val="20"/>
                <w:u w:val="single"/>
              </w:rPr>
              <w:t xml:space="preserve">Εξωτερικοί </w:t>
            </w:r>
            <w:r w:rsidR="00C40736" w:rsidRPr="00903F89">
              <w:rPr>
                <w:rFonts w:cs="Arial"/>
                <w:sz w:val="20"/>
                <w:szCs w:val="20"/>
                <w:u w:val="single"/>
              </w:rPr>
              <w:t xml:space="preserve">Αξιολογητές </w:t>
            </w:r>
            <w:r w:rsidRPr="00903F89">
              <w:rPr>
                <w:rFonts w:cs="Arial"/>
                <w:sz w:val="20"/>
                <w:szCs w:val="20"/>
                <w:u w:val="single"/>
              </w:rPr>
              <w:t>Οντοτήτων</w:t>
            </w:r>
          </w:p>
          <w:p w14:paraId="61AEF2C7" w14:textId="77777777" w:rsidR="003C2B1D" w:rsidRPr="00903F89" w:rsidRDefault="003C2B1D" w:rsidP="00903F89">
            <w:pPr>
              <w:jc w:val="both"/>
              <w:rPr>
                <w:rFonts w:cs="Arial"/>
                <w:sz w:val="20"/>
                <w:szCs w:val="20"/>
              </w:rPr>
            </w:pPr>
          </w:p>
          <w:p w14:paraId="362414C4" w14:textId="77777777" w:rsidR="00174CC1" w:rsidRPr="00903F89" w:rsidRDefault="4407E268" w:rsidP="00903F89">
            <w:pPr>
              <w:pStyle w:val="ListParagraph"/>
              <w:numPr>
                <w:ilvl w:val="0"/>
                <w:numId w:val="22"/>
              </w:numPr>
              <w:jc w:val="both"/>
              <w:rPr>
                <w:rFonts w:eastAsia="Arial" w:cs="Arial"/>
                <w:sz w:val="20"/>
                <w:szCs w:val="20"/>
              </w:rPr>
            </w:pPr>
            <w:r w:rsidRPr="00903F89">
              <w:rPr>
                <w:rFonts w:cs="Arial"/>
                <w:sz w:val="20"/>
                <w:szCs w:val="20"/>
              </w:rPr>
              <w:t xml:space="preserve">Εξωτερικοί αξιολογητές από </w:t>
            </w:r>
            <w:r w:rsidR="006118DA" w:rsidRPr="00903F89">
              <w:rPr>
                <w:rFonts w:cs="Arial"/>
                <w:sz w:val="20"/>
                <w:szCs w:val="20"/>
              </w:rPr>
              <w:t xml:space="preserve">ακαδημαϊκά ιδρύματα </w:t>
            </w:r>
            <w:r w:rsidRPr="00903F89">
              <w:rPr>
                <w:rFonts w:cs="Arial"/>
                <w:sz w:val="20"/>
                <w:szCs w:val="20"/>
              </w:rPr>
              <w:t>εκτός Κύπρου</w:t>
            </w:r>
            <w:r w:rsidR="00174CC1" w:rsidRPr="00903F89">
              <w:rPr>
                <w:rFonts w:cs="Arial"/>
                <w:sz w:val="20"/>
                <w:szCs w:val="20"/>
              </w:rPr>
              <w:t xml:space="preserve">:  </w:t>
            </w:r>
            <w:r w:rsidRPr="00903F89">
              <w:rPr>
                <w:rFonts w:cs="Arial"/>
                <w:sz w:val="20"/>
                <w:szCs w:val="20"/>
              </w:rPr>
              <w:t xml:space="preserve">Στους εξωτερικούς αξιολογητές Οντοτήτων που προέρχονται από </w:t>
            </w:r>
            <w:r w:rsidR="00446970" w:rsidRPr="00903F89">
              <w:rPr>
                <w:rFonts w:cs="Arial"/>
                <w:sz w:val="20"/>
                <w:szCs w:val="20"/>
              </w:rPr>
              <w:t xml:space="preserve">ακαδημαϊκά ιδρύματα </w:t>
            </w:r>
            <w:r w:rsidRPr="00903F89">
              <w:rPr>
                <w:rFonts w:cs="Arial"/>
                <w:sz w:val="20"/>
                <w:szCs w:val="20"/>
              </w:rPr>
              <w:t xml:space="preserve">εκτός Κύπρου, </w:t>
            </w:r>
            <w:r w:rsidR="00446970" w:rsidRPr="00903F89">
              <w:rPr>
                <w:rFonts w:cs="Arial"/>
                <w:sz w:val="20"/>
                <w:szCs w:val="20"/>
              </w:rPr>
              <w:t>δύναται να καταβληθεί</w:t>
            </w:r>
            <w:r w:rsidR="00174CC1" w:rsidRPr="00903F89">
              <w:rPr>
                <w:rFonts w:cs="Arial"/>
                <w:sz w:val="20"/>
                <w:szCs w:val="20"/>
              </w:rPr>
              <w:t>:</w:t>
            </w:r>
          </w:p>
          <w:p w14:paraId="4DE4ACD3" w14:textId="77777777" w:rsidR="00174CC1" w:rsidRPr="00903F89" w:rsidRDefault="00174CC1" w:rsidP="00903F89">
            <w:pPr>
              <w:pStyle w:val="ListParagraph"/>
              <w:jc w:val="both"/>
              <w:rPr>
                <w:rFonts w:cs="Arial"/>
                <w:sz w:val="20"/>
                <w:szCs w:val="20"/>
              </w:rPr>
            </w:pPr>
          </w:p>
          <w:p w14:paraId="69859FCC" w14:textId="414ECFF5" w:rsidR="00174CC1" w:rsidRPr="00903F89" w:rsidRDefault="00174CC1" w:rsidP="00903F89">
            <w:pPr>
              <w:pStyle w:val="ListParagraph"/>
              <w:numPr>
                <w:ilvl w:val="0"/>
                <w:numId w:val="21"/>
              </w:numPr>
              <w:ind w:left="746" w:hanging="284"/>
              <w:jc w:val="both"/>
              <w:rPr>
                <w:rFonts w:cs="Arial"/>
                <w:sz w:val="20"/>
                <w:szCs w:val="20"/>
              </w:rPr>
            </w:pPr>
            <w:r w:rsidRPr="00903F89">
              <w:rPr>
                <w:rFonts w:cs="Arial"/>
                <w:sz w:val="20"/>
                <w:szCs w:val="20"/>
              </w:rPr>
              <w:t xml:space="preserve">κατ’ αποκοπή αμοιβή (honorarium) μέχρι €500, </w:t>
            </w:r>
          </w:p>
          <w:p w14:paraId="4650559D" w14:textId="227F093A" w:rsidR="00174CC1" w:rsidRPr="00903F89" w:rsidRDefault="00174CC1" w:rsidP="00903F89">
            <w:pPr>
              <w:pStyle w:val="ListParagraph"/>
              <w:numPr>
                <w:ilvl w:val="0"/>
                <w:numId w:val="21"/>
              </w:numPr>
              <w:ind w:left="746" w:hanging="284"/>
              <w:jc w:val="both"/>
              <w:rPr>
                <w:rFonts w:cs="Arial"/>
                <w:sz w:val="20"/>
                <w:szCs w:val="20"/>
              </w:rPr>
            </w:pPr>
            <w:r w:rsidRPr="00903F89">
              <w:rPr>
                <w:rFonts w:cs="Arial"/>
                <w:sz w:val="20"/>
                <w:szCs w:val="20"/>
              </w:rPr>
              <w:t>κόστος μετάβασης (αεροπορικό εισιτήριο οικονομικής θέσης - μέγιστο ποσό αποζημίωσης για ταξίδια από χώρες της Ευρώπης, Βόρειου Αφρικής και Μέσης Ανατολής ορίζεται το ποσό των €800, και από άλλα μέρη του κόσμου το ποσό των €1.300- και μεταφορικά έξοδα από και προς τα αεροδρόμια</w:t>
            </w:r>
            <w:r w:rsidR="002843BE" w:rsidRPr="00903F89">
              <w:rPr>
                <w:rFonts w:cs="Arial"/>
                <w:sz w:val="20"/>
                <w:szCs w:val="20"/>
              </w:rPr>
              <w:t>, μέγιστο ποσό αποζημίωσης μέχρι €50 για χρήση ιδιωτικού μέσου μεταφοράς στο εξωτερικό</w:t>
            </w:r>
            <w:r w:rsidRPr="00903F89">
              <w:rPr>
                <w:rFonts w:cs="Arial"/>
                <w:sz w:val="20"/>
                <w:szCs w:val="20"/>
              </w:rPr>
              <w:t xml:space="preserve">), </w:t>
            </w:r>
          </w:p>
          <w:p w14:paraId="12F12F38" w14:textId="1FA82D3E" w:rsidR="00174CC1" w:rsidRPr="00903F89" w:rsidRDefault="00174CC1" w:rsidP="00903F89">
            <w:pPr>
              <w:pStyle w:val="ListParagraph"/>
              <w:numPr>
                <w:ilvl w:val="0"/>
                <w:numId w:val="21"/>
              </w:numPr>
              <w:ind w:left="746" w:hanging="284"/>
              <w:jc w:val="both"/>
              <w:rPr>
                <w:rFonts w:cs="Arial"/>
                <w:sz w:val="20"/>
                <w:szCs w:val="20"/>
              </w:rPr>
            </w:pPr>
            <w:r w:rsidRPr="00903F89">
              <w:rPr>
                <w:rFonts w:cs="Arial"/>
                <w:sz w:val="20"/>
                <w:szCs w:val="20"/>
              </w:rPr>
              <w:t>κόστος διαμονής (</w:t>
            </w:r>
            <w:r w:rsidR="00A7049F" w:rsidRPr="00903F89">
              <w:rPr>
                <w:rFonts w:cs="Arial"/>
                <w:sz w:val="20"/>
                <w:szCs w:val="20"/>
              </w:rPr>
              <w:t>τ</w:t>
            </w:r>
            <w:r w:rsidRPr="00903F89">
              <w:rPr>
                <w:rFonts w:cs="Arial"/>
                <w:sz w:val="20"/>
                <w:szCs w:val="20"/>
              </w:rPr>
              <w:t>ο μέγιστο όριο διαμονής που καλύπτεται από το Πανεπιστήμιο αντιστοιχεί στον αριθμό ημερών εργασιών συν δύο (2) επιπλέον βράδια</w:t>
            </w:r>
            <w:r w:rsidR="00A7049F" w:rsidRPr="00903F89">
              <w:rPr>
                <w:rFonts w:cs="Arial"/>
                <w:sz w:val="20"/>
                <w:szCs w:val="20"/>
              </w:rPr>
              <w:t>, σε μονόκλινο δωμάτιο με πρόγευμα</w:t>
            </w:r>
            <w:r w:rsidRPr="00903F89">
              <w:rPr>
                <w:rFonts w:cs="Arial"/>
                <w:sz w:val="20"/>
                <w:szCs w:val="20"/>
              </w:rPr>
              <w:t xml:space="preserve">), </w:t>
            </w:r>
          </w:p>
          <w:p w14:paraId="49AD4040" w14:textId="09AD896B" w:rsidR="00174CC1" w:rsidRPr="00903F89" w:rsidRDefault="00174CC1" w:rsidP="00903F89">
            <w:pPr>
              <w:pStyle w:val="ListParagraph"/>
              <w:numPr>
                <w:ilvl w:val="0"/>
                <w:numId w:val="21"/>
              </w:numPr>
              <w:ind w:left="746" w:hanging="425"/>
              <w:jc w:val="both"/>
              <w:rPr>
                <w:rFonts w:cs="Arial"/>
                <w:sz w:val="20"/>
                <w:szCs w:val="20"/>
              </w:rPr>
            </w:pPr>
            <w:r w:rsidRPr="00903F89">
              <w:rPr>
                <w:rFonts w:cs="Arial"/>
                <w:sz w:val="20"/>
                <w:szCs w:val="20"/>
              </w:rPr>
              <w:t xml:space="preserve">ημερήσιο επίδομα διατροφής </w:t>
            </w:r>
            <w:r w:rsidR="002445E0" w:rsidRPr="00903F89">
              <w:rPr>
                <w:rFonts w:cs="Arial"/>
                <w:sz w:val="20"/>
                <w:szCs w:val="20"/>
              </w:rPr>
              <w:t>(ποσό των €25 για κάθε γεύμα, μέχρι €50 ημερησίως, μέχρι το μέγιστο όριο ημερών διαμονής, αφαιρώντας τον αριθμό γευμάτων που προσφέρονται και καλύπτονται από την οικεία οντότητα),</w:t>
            </w:r>
          </w:p>
          <w:p w14:paraId="3ABAC739" w14:textId="77777777" w:rsidR="0006372D" w:rsidRPr="00903F89" w:rsidRDefault="00C40736" w:rsidP="00903F89">
            <w:pPr>
              <w:pStyle w:val="ListParagraph"/>
              <w:numPr>
                <w:ilvl w:val="0"/>
                <w:numId w:val="21"/>
              </w:numPr>
              <w:ind w:left="746" w:hanging="284"/>
              <w:jc w:val="both"/>
              <w:rPr>
                <w:rFonts w:cs="Arial"/>
                <w:sz w:val="20"/>
                <w:szCs w:val="20"/>
              </w:rPr>
            </w:pPr>
            <w:r w:rsidRPr="00903F89">
              <w:rPr>
                <w:rFonts w:cs="Arial"/>
                <w:sz w:val="20"/>
                <w:szCs w:val="20"/>
              </w:rPr>
              <w:t xml:space="preserve">επιπρόσθετη κατ’ αποκοπή αμοιβή (honorarium) €100 σε περιπτώσεις όπου δίνουν, επιπρόσθετα, επιστημονικές διαλέξεις στις οντότητες του Πανεπιστημίου Κύπρου (η δαπάνη χρεώνεται έναντι πρόνοιας του Άρθρου 315 «Συνέδρια και Σεμινάρια», της οικείας οντότητας), </w:t>
            </w:r>
          </w:p>
          <w:p w14:paraId="72FBAAEB" w14:textId="1A16B69C" w:rsidR="0006372D" w:rsidRPr="00903F89" w:rsidRDefault="0006372D" w:rsidP="00903F89">
            <w:pPr>
              <w:pStyle w:val="ListParagraph"/>
              <w:numPr>
                <w:ilvl w:val="0"/>
                <w:numId w:val="21"/>
              </w:numPr>
              <w:ind w:left="746" w:hanging="284"/>
              <w:jc w:val="both"/>
              <w:rPr>
                <w:rFonts w:cs="Arial"/>
                <w:sz w:val="20"/>
                <w:szCs w:val="20"/>
              </w:rPr>
            </w:pPr>
            <w:r w:rsidRPr="00903F89">
              <w:rPr>
                <w:rFonts w:cs="Arial"/>
                <w:sz w:val="20"/>
                <w:szCs w:val="20"/>
              </w:rPr>
              <w:t>επιπρόσθετη κατ’ αποκοπή αποζημίωση (honorarium) €100 σε περιπτώσεις όπου εξωτερικά μέλη έρχονται στην Κύπρο για μία μόνο μέρα, χωρίς διανυκτέρευση (για κάλυψη των εξόδων διατροφής και διακίνησής τους, επιπρόσθετα της κατ’ αποκοπή αμοιβής (honorarium) και του κόστους μετάβασης).</w:t>
            </w:r>
          </w:p>
          <w:p w14:paraId="140ABFBE" w14:textId="4C646DC2" w:rsidR="00E776C1" w:rsidRPr="00903F89" w:rsidRDefault="00E776C1" w:rsidP="00903F89">
            <w:pPr>
              <w:jc w:val="both"/>
              <w:rPr>
                <w:rFonts w:cs="Arial"/>
                <w:sz w:val="20"/>
                <w:szCs w:val="20"/>
              </w:rPr>
            </w:pPr>
          </w:p>
          <w:p w14:paraId="5CF21CC9" w14:textId="7CD81BC0" w:rsidR="003C2B1D" w:rsidRPr="00903F89" w:rsidRDefault="4407E268" w:rsidP="00903F89">
            <w:pPr>
              <w:pStyle w:val="ListParagraph"/>
              <w:numPr>
                <w:ilvl w:val="0"/>
                <w:numId w:val="23"/>
              </w:numPr>
              <w:jc w:val="both"/>
              <w:rPr>
                <w:rFonts w:eastAsia="Arial" w:cs="Arial"/>
                <w:sz w:val="20"/>
                <w:szCs w:val="20"/>
              </w:rPr>
            </w:pPr>
            <w:r w:rsidRPr="00903F89">
              <w:rPr>
                <w:rFonts w:cs="Arial"/>
                <w:sz w:val="20"/>
                <w:szCs w:val="20"/>
              </w:rPr>
              <w:t>Εξωτερικοί αξιολογητές από</w:t>
            </w:r>
            <w:r w:rsidR="00167B45" w:rsidRPr="00903F89">
              <w:rPr>
                <w:rFonts w:cs="Arial"/>
                <w:sz w:val="20"/>
                <w:szCs w:val="20"/>
              </w:rPr>
              <w:t xml:space="preserve"> ακαδημαϊκά ιδρύματα </w:t>
            </w:r>
            <w:r w:rsidR="007F4AE5" w:rsidRPr="00903F89">
              <w:rPr>
                <w:rFonts w:cs="Arial"/>
                <w:sz w:val="20"/>
                <w:szCs w:val="20"/>
              </w:rPr>
              <w:t>της</w:t>
            </w:r>
            <w:r w:rsidR="00167B45" w:rsidRPr="00903F89">
              <w:rPr>
                <w:rFonts w:cs="Arial"/>
                <w:sz w:val="20"/>
                <w:szCs w:val="20"/>
              </w:rPr>
              <w:t xml:space="preserve"> </w:t>
            </w:r>
            <w:r w:rsidRPr="00903F89">
              <w:rPr>
                <w:rFonts w:cs="Arial"/>
                <w:sz w:val="20"/>
                <w:szCs w:val="20"/>
              </w:rPr>
              <w:t>Κύπρου</w:t>
            </w:r>
            <w:r w:rsidR="00C40736" w:rsidRPr="00903F89">
              <w:rPr>
                <w:rFonts w:cs="Arial"/>
                <w:sz w:val="20"/>
                <w:szCs w:val="20"/>
              </w:rPr>
              <w:t>: Στους εξωτερικούς αξιολογητές Οντοτήτων που προέ</w:t>
            </w:r>
            <w:r w:rsidR="002478C3" w:rsidRPr="00903F89">
              <w:rPr>
                <w:rFonts w:cs="Arial"/>
                <w:sz w:val="20"/>
                <w:szCs w:val="20"/>
              </w:rPr>
              <w:t>ρ</w:t>
            </w:r>
            <w:r w:rsidR="00C40736" w:rsidRPr="00903F89">
              <w:rPr>
                <w:rFonts w:cs="Arial"/>
                <w:sz w:val="20"/>
                <w:szCs w:val="20"/>
              </w:rPr>
              <w:t xml:space="preserve">χονται από ακαδημαϊκά ιδρύματα </w:t>
            </w:r>
            <w:r w:rsidR="007F4AE5" w:rsidRPr="00903F89">
              <w:rPr>
                <w:rFonts w:cs="Arial"/>
                <w:sz w:val="20"/>
                <w:szCs w:val="20"/>
              </w:rPr>
              <w:t>της</w:t>
            </w:r>
            <w:r w:rsidR="00C40736" w:rsidRPr="00903F89">
              <w:rPr>
                <w:rFonts w:cs="Arial"/>
                <w:sz w:val="20"/>
                <w:szCs w:val="20"/>
              </w:rPr>
              <w:t xml:space="preserve"> Κύπρου, δύναται να καταβληθεί:</w:t>
            </w:r>
          </w:p>
          <w:p w14:paraId="2A0A91B3" w14:textId="77777777" w:rsidR="002478C3" w:rsidRPr="00903F89" w:rsidRDefault="002478C3" w:rsidP="00903F89">
            <w:pPr>
              <w:pStyle w:val="ListParagraph"/>
              <w:ind w:left="360"/>
              <w:jc w:val="both"/>
              <w:rPr>
                <w:rFonts w:eastAsia="Arial" w:cs="Arial"/>
                <w:sz w:val="20"/>
                <w:szCs w:val="20"/>
              </w:rPr>
            </w:pPr>
          </w:p>
          <w:p w14:paraId="24273603" w14:textId="77777777" w:rsidR="00C40736" w:rsidRPr="00903F89" w:rsidRDefault="00C40736" w:rsidP="00903F89">
            <w:pPr>
              <w:pStyle w:val="ListParagraph"/>
              <w:numPr>
                <w:ilvl w:val="0"/>
                <w:numId w:val="21"/>
              </w:numPr>
              <w:ind w:left="746" w:hanging="284"/>
              <w:jc w:val="both"/>
              <w:rPr>
                <w:rFonts w:cs="Arial"/>
                <w:sz w:val="20"/>
                <w:szCs w:val="20"/>
              </w:rPr>
            </w:pPr>
            <w:r w:rsidRPr="00903F89">
              <w:rPr>
                <w:rFonts w:cs="Arial"/>
                <w:sz w:val="20"/>
                <w:szCs w:val="20"/>
              </w:rPr>
              <w:t xml:space="preserve">κατ’ αποκοπή αμοιβή (honorarium) μέχρι ύψους €300, </w:t>
            </w:r>
          </w:p>
          <w:p w14:paraId="177F6E75" w14:textId="3986BA4C" w:rsidR="00C61D41" w:rsidRPr="00903F89" w:rsidRDefault="00167B45" w:rsidP="00903F89">
            <w:pPr>
              <w:pStyle w:val="ListParagraph"/>
              <w:numPr>
                <w:ilvl w:val="0"/>
                <w:numId w:val="21"/>
              </w:numPr>
              <w:ind w:left="746" w:hanging="284"/>
              <w:jc w:val="both"/>
              <w:rPr>
                <w:rFonts w:cs="Arial"/>
                <w:sz w:val="20"/>
                <w:szCs w:val="20"/>
              </w:rPr>
            </w:pPr>
            <w:r w:rsidRPr="00903F89">
              <w:rPr>
                <w:rFonts w:cs="Arial"/>
                <w:sz w:val="20"/>
                <w:szCs w:val="20"/>
              </w:rPr>
              <w:t>το κόστος διαμονής με πρόγευμα, οδοιπορικά και ημερήσιο επίδομα διατροφής, με βάση τις πρόνοιες της</w:t>
            </w:r>
            <w:r w:rsidR="00A733AB" w:rsidRPr="00903F89">
              <w:rPr>
                <w:rFonts w:cs="Arial"/>
                <w:sz w:val="20"/>
                <w:szCs w:val="20"/>
              </w:rPr>
              <w:t xml:space="preserve"> </w:t>
            </w:r>
            <w:r w:rsidR="00C65B66" w:rsidRPr="00903F89">
              <w:rPr>
                <w:rFonts w:cs="Arial"/>
                <w:sz w:val="20"/>
                <w:szCs w:val="20"/>
              </w:rPr>
              <w:t xml:space="preserve">ισχύουσας </w:t>
            </w:r>
            <w:r w:rsidR="00A733AB" w:rsidRPr="00903F89">
              <w:rPr>
                <w:rFonts w:cs="Arial"/>
                <w:sz w:val="20"/>
                <w:szCs w:val="20"/>
              </w:rPr>
              <w:t>ε</w:t>
            </w:r>
            <w:r w:rsidRPr="00903F89">
              <w:rPr>
                <w:rFonts w:cs="Arial"/>
                <w:sz w:val="20"/>
                <w:szCs w:val="20"/>
              </w:rPr>
              <w:t>γκυκλίου</w:t>
            </w:r>
            <w:r w:rsidR="00C40736" w:rsidRPr="00903F89">
              <w:rPr>
                <w:rFonts w:cs="Arial"/>
                <w:sz w:val="20"/>
                <w:szCs w:val="20"/>
              </w:rPr>
              <w:t xml:space="preserve"> και αφορούν περιπτώσεις αξιολογητών που προέρχονται από ακαδημαϊκά ιδρύματα που εδρεύουν εκτός επαρχίας Λευκωσίας και διαμένουν στις επαρχίες αυτές</w:t>
            </w:r>
            <w:r w:rsidR="00A733AB" w:rsidRPr="00903F89">
              <w:rPr>
                <w:rFonts w:cs="Arial"/>
                <w:sz w:val="20"/>
                <w:szCs w:val="20"/>
              </w:rPr>
              <w:t>.</w:t>
            </w:r>
            <w:r w:rsidR="001C01D5" w:rsidRPr="00903F89">
              <w:rPr>
                <w:rFonts w:cs="Arial"/>
                <w:sz w:val="20"/>
                <w:szCs w:val="20"/>
              </w:rPr>
              <w:t xml:space="preserve"> Το μέγιστο όριο διαμονής που καλύπτεται από το Πανεπιστήμιο αντιστοιχεί στον αριθμό ημερών εργασιών. </w:t>
            </w:r>
          </w:p>
          <w:p w14:paraId="0C5E2E69" w14:textId="77777777" w:rsidR="00C61D41" w:rsidRPr="00903F89" w:rsidRDefault="00C61D41" w:rsidP="00903F89">
            <w:pPr>
              <w:jc w:val="both"/>
              <w:rPr>
                <w:rFonts w:cs="Arial"/>
                <w:sz w:val="20"/>
                <w:szCs w:val="20"/>
                <w:u w:val="single"/>
              </w:rPr>
            </w:pPr>
          </w:p>
          <w:p w14:paraId="4C7B5C1A" w14:textId="7F56F985" w:rsidR="00F11ED4" w:rsidRPr="00903F89" w:rsidRDefault="045AFEAA" w:rsidP="00903F89">
            <w:pPr>
              <w:jc w:val="both"/>
              <w:rPr>
                <w:rFonts w:cs="Arial"/>
                <w:sz w:val="20"/>
                <w:szCs w:val="20"/>
                <w:u w:val="single"/>
              </w:rPr>
            </w:pPr>
            <w:r w:rsidRPr="00903F89">
              <w:rPr>
                <w:rFonts w:cs="Arial"/>
                <w:sz w:val="20"/>
                <w:szCs w:val="20"/>
                <w:u w:val="single"/>
              </w:rPr>
              <w:t xml:space="preserve">Εξωτερικοί </w:t>
            </w:r>
            <w:r w:rsidR="00C40736" w:rsidRPr="00903F89">
              <w:rPr>
                <w:rFonts w:cs="Arial"/>
                <w:sz w:val="20"/>
                <w:szCs w:val="20"/>
                <w:u w:val="single"/>
              </w:rPr>
              <w:t>Κριτές Μαθημάτων Αρχιτεκτονικής Σύνθεσης</w:t>
            </w:r>
            <w:r w:rsidRPr="00903F89">
              <w:rPr>
                <w:rFonts w:cs="Arial"/>
                <w:sz w:val="20"/>
                <w:szCs w:val="20"/>
                <w:u w:val="single"/>
              </w:rPr>
              <w:t>:</w:t>
            </w:r>
          </w:p>
          <w:p w14:paraId="33892764" w14:textId="77777777" w:rsidR="00F11ED4" w:rsidRPr="00903F89" w:rsidRDefault="00F11ED4" w:rsidP="00903F89">
            <w:pPr>
              <w:pStyle w:val="ListParagraph"/>
              <w:jc w:val="both"/>
              <w:rPr>
                <w:rFonts w:cs="Arial"/>
                <w:sz w:val="20"/>
                <w:szCs w:val="20"/>
              </w:rPr>
            </w:pPr>
          </w:p>
          <w:p w14:paraId="1A94A62C" w14:textId="209D6FFA" w:rsidR="002478C3" w:rsidRPr="00903F89" w:rsidRDefault="045AFEAA" w:rsidP="00903F89">
            <w:pPr>
              <w:pStyle w:val="ListParagraph"/>
              <w:numPr>
                <w:ilvl w:val="0"/>
                <w:numId w:val="24"/>
              </w:numPr>
              <w:jc w:val="both"/>
              <w:rPr>
                <w:rFonts w:cs="Arial"/>
                <w:sz w:val="20"/>
                <w:szCs w:val="20"/>
              </w:rPr>
            </w:pPr>
            <w:r w:rsidRPr="00903F89">
              <w:rPr>
                <w:rFonts w:cs="Arial"/>
                <w:sz w:val="20"/>
                <w:szCs w:val="20"/>
              </w:rPr>
              <w:t xml:space="preserve">Εξωτερικοί κριτές από </w:t>
            </w:r>
            <w:r w:rsidR="001C01D5" w:rsidRPr="00903F89">
              <w:rPr>
                <w:rFonts w:cs="Arial"/>
                <w:sz w:val="20"/>
                <w:szCs w:val="20"/>
              </w:rPr>
              <w:t xml:space="preserve">ακαδημαϊκά ιδρύματα </w:t>
            </w:r>
            <w:r w:rsidRPr="00903F89">
              <w:rPr>
                <w:rFonts w:cs="Arial"/>
                <w:sz w:val="20"/>
                <w:szCs w:val="20"/>
              </w:rPr>
              <w:t>εκτός Κύπρου</w:t>
            </w:r>
            <w:r w:rsidR="008260F1" w:rsidRPr="00903F89">
              <w:rPr>
                <w:rFonts w:cs="Arial"/>
                <w:sz w:val="20"/>
                <w:szCs w:val="20"/>
              </w:rPr>
              <w:t xml:space="preserve">: Στους εξωτερικούς κριτές </w:t>
            </w:r>
            <w:r w:rsidR="00813479" w:rsidRPr="00903F89">
              <w:rPr>
                <w:rFonts w:cs="Arial"/>
                <w:sz w:val="20"/>
                <w:szCs w:val="20"/>
              </w:rPr>
              <w:t xml:space="preserve">για τις τελικές αξιολογήσεις </w:t>
            </w:r>
            <w:r w:rsidR="008260F1" w:rsidRPr="00903F89">
              <w:rPr>
                <w:rFonts w:cs="Arial"/>
                <w:sz w:val="20"/>
                <w:szCs w:val="20"/>
              </w:rPr>
              <w:t>μαθημάτων αρχιτεκτονικής σύνθεσης που προέρχονται από ακαδημαϊκά ιδρύματα εκτός Κύπρου δύναται να καταβληθεί</w:t>
            </w:r>
            <w:r w:rsidR="002478C3" w:rsidRPr="00903F89">
              <w:rPr>
                <w:rFonts w:cs="Arial"/>
                <w:sz w:val="20"/>
                <w:szCs w:val="20"/>
              </w:rPr>
              <w:t>:</w:t>
            </w:r>
            <w:r w:rsidR="0023755B" w:rsidRPr="00903F89">
              <w:rPr>
                <w:rFonts w:cs="Arial"/>
                <w:sz w:val="20"/>
                <w:szCs w:val="20"/>
              </w:rPr>
              <w:t xml:space="preserve"> </w:t>
            </w:r>
          </w:p>
          <w:p w14:paraId="7A01816A" w14:textId="77777777" w:rsidR="002478C3" w:rsidRPr="00903F89" w:rsidRDefault="002478C3" w:rsidP="00903F89">
            <w:pPr>
              <w:pStyle w:val="ListParagraph"/>
              <w:ind w:left="360"/>
              <w:jc w:val="both"/>
              <w:rPr>
                <w:rFonts w:cs="Arial"/>
                <w:sz w:val="20"/>
                <w:szCs w:val="20"/>
              </w:rPr>
            </w:pPr>
          </w:p>
          <w:p w14:paraId="1997F977" w14:textId="6946A6F0" w:rsidR="002478C3" w:rsidRPr="00903F89" w:rsidRDefault="002478C3" w:rsidP="00903F89">
            <w:pPr>
              <w:pStyle w:val="ListParagraph"/>
              <w:numPr>
                <w:ilvl w:val="0"/>
                <w:numId w:val="21"/>
              </w:numPr>
              <w:ind w:left="720"/>
              <w:jc w:val="both"/>
              <w:rPr>
                <w:rFonts w:cs="Arial"/>
                <w:sz w:val="20"/>
                <w:szCs w:val="20"/>
              </w:rPr>
            </w:pPr>
            <w:r w:rsidRPr="00903F89">
              <w:rPr>
                <w:rFonts w:cs="Arial"/>
                <w:sz w:val="20"/>
                <w:szCs w:val="20"/>
              </w:rPr>
              <w:t xml:space="preserve">κατ’ αποκοπή αμοιβή (honorarium) μέχρι €150, </w:t>
            </w:r>
          </w:p>
          <w:p w14:paraId="19284A69" w14:textId="1F4632A4" w:rsidR="000318F7" w:rsidRPr="00903F89" w:rsidRDefault="002478C3" w:rsidP="00903F89">
            <w:pPr>
              <w:pStyle w:val="ListParagraph"/>
              <w:numPr>
                <w:ilvl w:val="0"/>
                <w:numId w:val="21"/>
              </w:numPr>
              <w:ind w:left="720"/>
              <w:jc w:val="both"/>
              <w:rPr>
                <w:rFonts w:cs="Arial"/>
                <w:sz w:val="20"/>
                <w:szCs w:val="20"/>
              </w:rPr>
            </w:pPr>
            <w:r w:rsidRPr="00903F89">
              <w:rPr>
                <w:rFonts w:cs="Arial"/>
                <w:sz w:val="20"/>
                <w:szCs w:val="20"/>
              </w:rPr>
              <w:t>κόστος μετάβασης (αεροπορικό εισιτήριο οικονομικής θέσης - μέγιστο ποσό αποζημίωσης για ταξίδια από χώρες της Ευρώπης, Βόρειου Αφρικής και Μέσης Ανατολής ορίζεται το ποσό των €800, και από άλλα μέρη του κόσμου το ποσό των €1.300- και μεταφορικά έξοδα από και προς τα αεροδρόμια</w:t>
            </w:r>
            <w:r w:rsidR="002843BE" w:rsidRPr="00903F89">
              <w:rPr>
                <w:rFonts w:cs="Arial"/>
                <w:sz w:val="20"/>
                <w:szCs w:val="20"/>
              </w:rPr>
              <w:t>, μέγιστο ποσό αποζημίωσης μέχρι €50 για χρήση ιδιωτικού μέσου μεταφοράς στο εξωτερικό</w:t>
            </w:r>
            <w:r w:rsidRPr="00903F89">
              <w:rPr>
                <w:rFonts w:cs="Arial"/>
                <w:sz w:val="20"/>
                <w:szCs w:val="20"/>
              </w:rPr>
              <w:t xml:space="preserve">), </w:t>
            </w:r>
          </w:p>
          <w:p w14:paraId="07EF5709" w14:textId="6E856C38" w:rsidR="000318F7" w:rsidRPr="00903F89" w:rsidRDefault="000318F7" w:rsidP="00903F89">
            <w:pPr>
              <w:pStyle w:val="ListParagraph"/>
              <w:numPr>
                <w:ilvl w:val="0"/>
                <w:numId w:val="21"/>
              </w:numPr>
              <w:ind w:left="720"/>
              <w:jc w:val="both"/>
              <w:rPr>
                <w:rFonts w:cs="Arial"/>
                <w:sz w:val="20"/>
                <w:szCs w:val="20"/>
              </w:rPr>
            </w:pPr>
            <w:r w:rsidRPr="00903F89">
              <w:rPr>
                <w:rFonts w:cs="Arial"/>
                <w:sz w:val="20"/>
                <w:szCs w:val="20"/>
              </w:rPr>
              <w:t>κόστος διαμονής (</w:t>
            </w:r>
            <w:r w:rsidR="00A7049F" w:rsidRPr="00903F89">
              <w:rPr>
                <w:rFonts w:cs="Arial"/>
                <w:sz w:val="20"/>
                <w:szCs w:val="20"/>
              </w:rPr>
              <w:t>τ</w:t>
            </w:r>
            <w:r w:rsidRPr="00903F89">
              <w:rPr>
                <w:rFonts w:cs="Arial"/>
                <w:sz w:val="20"/>
                <w:szCs w:val="20"/>
              </w:rPr>
              <w:t>ο μέγιστο όριο διαμονής που καλύπτεται από το Πανεπιστήμιο καθορίζεται σε τέσσερα (4) βράδια</w:t>
            </w:r>
            <w:r w:rsidR="00A7049F" w:rsidRPr="00903F89">
              <w:rPr>
                <w:rFonts w:cs="Arial"/>
                <w:sz w:val="20"/>
                <w:szCs w:val="20"/>
              </w:rPr>
              <w:t>, σε μονόκλινο δωμάτιο με πρόγευμα</w:t>
            </w:r>
            <w:r w:rsidRPr="00903F89">
              <w:rPr>
                <w:rFonts w:cs="Arial"/>
                <w:sz w:val="20"/>
                <w:szCs w:val="20"/>
              </w:rPr>
              <w:t xml:space="preserve">), </w:t>
            </w:r>
          </w:p>
          <w:p w14:paraId="020A5F1A" w14:textId="3AA381CF" w:rsidR="000318F7" w:rsidRPr="00903F89" w:rsidRDefault="000318F7" w:rsidP="00903F89">
            <w:pPr>
              <w:pStyle w:val="ListParagraph"/>
              <w:numPr>
                <w:ilvl w:val="0"/>
                <w:numId w:val="21"/>
              </w:numPr>
              <w:ind w:left="746" w:hanging="425"/>
              <w:jc w:val="both"/>
              <w:rPr>
                <w:rFonts w:cs="Arial"/>
                <w:sz w:val="20"/>
                <w:szCs w:val="20"/>
              </w:rPr>
            </w:pPr>
            <w:r w:rsidRPr="00903F89">
              <w:rPr>
                <w:rFonts w:cs="Arial"/>
                <w:sz w:val="20"/>
                <w:szCs w:val="20"/>
              </w:rPr>
              <w:t xml:space="preserve">ημερήσιο επίδομα διατροφής </w:t>
            </w:r>
            <w:r w:rsidR="002445E0" w:rsidRPr="00903F89">
              <w:rPr>
                <w:rFonts w:cs="Arial"/>
                <w:sz w:val="20"/>
                <w:szCs w:val="20"/>
              </w:rPr>
              <w:t>(ποσό των €25 για κάθε γεύμα, μέχρι €50 ημερησίως, μέχρι το μέγιστο όριο ημερών διαμονής, αφαιρώντας τον αριθμό γευμάτων που προσφέρονται και καλύπτονται από την οικεία οντότητα),</w:t>
            </w:r>
          </w:p>
          <w:p w14:paraId="5F4829EA" w14:textId="77777777" w:rsidR="0006372D" w:rsidRPr="00903F89" w:rsidRDefault="000318F7" w:rsidP="00903F89">
            <w:pPr>
              <w:pStyle w:val="ListParagraph"/>
              <w:numPr>
                <w:ilvl w:val="0"/>
                <w:numId w:val="21"/>
              </w:numPr>
              <w:ind w:left="720"/>
              <w:jc w:val="both"/>
              <w:rPr>
                <w:rFonts w:cs="Arial"/>
                <w:sz w:val="20"/>
                <w:szCs w:val="20"/>
              </w:rPr>
            </w:pPr>
            <w:r w:rsidRPr="00903F89">
              <w:rPr>
                <w:rFonts w:cs="Arial"/>
                <w:sz w:val="20"/>
                <w:szCs w:val="20"/>
                <w:lang w:eastAsia="en-US"/>
              </w:rPr>
              <w:t xml:space="preserve">επιπρόσθετη κατ’ αποκοπή αμοιβή (honorarium) €100 σε περιπτώσεις όπου δίνουν, επιπρόσθετα, επιστημονικές διαλέξεις στις οντότητες του Πανεπιστημίου Κύπρου (η δαπάνη χρεώνεται έναντι πρόνοιας του Άρθρου 315 «Συνέδρια και Σεμινάρια», της οικείας οντότητας), </w:t>
            </w:r>
          </w:p>
          <w:p w14:paraId="17EBCD63" w14:textId="4A436FB2" w:rsidR="0006372D" w:rsidRPr="00903F89" w:rsidRDefault="0006372D" w:rsidP="00903F89">
            <w:pPr>
              <w:pStyle w:val="ListParagraph"/>
              <w:numPr>
                <w:ilvl w:val="0"/>
                <w:numId w:val="21"/>
              </w:numPr>
              <w:ind w:left="720"/>
              <w:jc w:val="both"/>
              <w:rPr>
                <w:rFonts w:cs="Arial"/>
                <w:sz w:val="20"/>
                <w:szCs w:val="20"/>
              </w:rPr>
            </w:pPr>
            <w:r w:rsidRPr="00903F89">
              <w:rPr>
                <w:rFonts w:cs="Arial"/>
                <w:sz w:val="20"/>
                <w:szCs w:val="20"/>
              </w:rPr>
              <w:t xml:space="preserve">επιπρόσθετη κατ’ αποκοπή αποζημίωση (honorarium) €100 σε περιπτώσεις όπου εξωτερικά μέλη έρχονται στην Κύπρο για μία μόνο μέρα, χωρίς διανυκτέρευση (για κάλυψη των εξόδων διατροφής και διακίνησής τους, επιπρόσθετα της κατ’ αποκοπή αμοιβής (honorarium) και του κόστους μετάβασης). </w:t>
            </w:r>
          </w:p>
          <w:p w14:paraId="7C099348" w14:textId="77777777" w:rsidR="000318F7" w:rsidRPr="00903F89" w:rsidRDefault="000318F7" w:rsidP="00903F89">
            <w:pPr>
              <w:pStyle w:val="ListParagraph"/>
              <w:jc w:val="both"/>
              <w:rPr>
                <w:rFonts w:cs="Arial"/>
                <w:sz w:val="20"/>
                <w:szCs w:val="20"/>
              </w:rPr>
            </w:pPr>
          </w:p>
          <w:p w14:paraId="4B62150B" w14:textId="6B7A0F10" w:rsidR="000318F7" w:rsidRPr="00903F89" w:rsidRDefault="000318F7" w:rsidP="00903F89">
            <w:pPr>
              <w:pStyle w:val="ListParagraph"/>
              <w:numPr>
                <w:ilvl w:val="0"/>
                <w:numId w:val="24"/>
              </w:numPr>
              <w:jc w:val="both"/>
              <w:rPr>
                <w:rFonts w:cs="Arial"/>
                <w:sz w:val="20"/>
                <w:szCs w:val="20"/>
              </w:rPr>
            </w:pPr>
            <w:r w:rsidRPr="00903F89">
              <w:rPr>
                <w:rFonts w:cs="Arial"/>
                <w:sz w:val="20"/>
                <w:szCs w:val="20"/>
              </w:rPr>
              <w:t xml:space="preserve">Εξωτερικοί κριτές από ακαδημαϊκά ιδρύματα </w:t>
            </w:r>
            <w:r w:rsidR="007F4AE5" w:rsidRPr="00903F89">
              <w:rPr>
                <w:rFonts w:cs="Arial"/>
                <w:sz w:val="20"/>
                <w:szCs w:val="20"/>
              </w:rPr>
              <w:t xml:space="preserve">της </w:t>
            </w:r>
            <w:r w:rsidRPr="00903F89">
              <w:rPr>
                <w:rFonts w:cs="Arial"/>
                <w:sz w:val="20"/>
                <w:szCs w:val="20"/>
              </w:rPr>
              <w:t xml:space="preserve">Κύπρου: Στους εξωτερικούς κριτές </w:t>
            </w:r>
            <w:r w:rsidR="00813479" w:rsidRPr="00903F89">
              <w:rPr>
                <w:rFonts w:cs="Arial"/>
                <w:sz w:val="20"/>
                <w:szCs w:val="20"/>
              </w:rPr>
              <w:t xml:space="preserve">για τις τελικές αξιολογήσεις μαθημάτων αρχιτεκτονικής σύνθεσης </w:t>
            </w:r>
            <w:r w:rsidRPr="00903F89">
              <w:rPr>
                <w:rFonts w:cs="Arial"/>
                <w:sz w:val="20"/>
                <w:szCs w:val="20"/>
              </w:rPr>
              <w:t>που προέρχονται από ακαδημαϊκά ιδρύματα</w:t>
            </w:r>
            <w:r w:rsidR="007F4AE5" w:rsidRPr="00903F89">
              <w:rPr>
                <w:rFonts w:cs="Arial"/>
                <w:sz w:val="20"/>
                <w:szCs w:val="20"/>
              </w:rPr>
              <w:t xml:space="preserve"> της </w:t>
            </w:r>
            <w:r w:rsidRPr="00903F89">
              <w:rPr>
                <w:rFonts w:cs="Arial"/>
                <w:sz w:val="20"/>
                <w:szCs w:val="20"/>
              </w:rPr>
              <w:t>Κύπρου δύναται να καταβληθεί:</w:t>
            </w:r>
          </w:p>
          <w:p w14:paraId="33BBED5B" w14:textId="465A9053" w:rsidR="00E805D5" w:rsidRPr="00903F89" w:rsidRDefault="000318F7" w:rsidP="00903F89">
            <w:pPr>
              <w:pStyle w:val="ListParagraph"/>
              <w:numPr>
                <w:ilvl w:val="0"/>
                <w:numId w:val="29"/>
              </w:numPr>
              <w:jc w:val="both"/>
              <w:rPr>
                <w:rFonts w:cs="Arial"/>
                <w:sz w:val="20"/>
                <w:szCs w:val="20"/>
              </w:rPr>
            </w:pPr>
            <w:r w:rsidRPr="00903F89">
              <w:rPr>
                <w:rFonts w:cs="Arial"/>
                <w:sz w:val="20"/>
                <w:szCs w:val="20"/>
              </w:rPr>
              <w:t>κατ’ αποκοπή αμοιβή (honorarium) μέχρι €100.</w:t>
            </w:r>
          </w:p>
        </w:tc>
      </w:tr>
      <w:tr w:rsidR="00AC7841" w:rsidRPr="00903F89" w14:paraId="7E6B3F97" w14:textId="77777777" w:rsidTr="00AD5278">
        <w:tc>
          <w:tcPr>
            <w:tcW w:w="10538" w:type="dxa"/>
            <w:gridSpan w:val="3"/>
            <w:shd w:val="clear" w:color="auto" w:fill="auto"/>
          </w:tcPr>
          <w:p w14:paraId="475E0ED1" w14:textId="77777777" w:rsidR="00AC7841" w:rsidRPr="00903F89" w:rsidRDefault="00AC7841" w:rsidP="00903F89">
            <w:pPr>
              <w:jc w:val="both"/>
              <w:rPr>
                <w:rFonts w:cs="Arial"/>
                <w:b/>
                <w:sz w:val="20"/>
                <w:szCs w:val="20"/>
                <w:u w:val="single"/>
              </w:rPr>
            </w:pPr>
          </w:p>
        </w:tc>
      </w:tr>
      <w:tr w:rsidR="00AC7841" w:rsidRPr="00903F89" w14:paraId="1E906E7F" w14:textId="77777777" w:rsidTr="00AD5278">
        <w:tc>
          <w:tcPr>
            <w:tcW w:w="10538" w:type="dxa"/>
            <w:gridSpan w:val="3"/>
            <w:shd w:val="clear" w:color="auto" w:fill="auto"/>
          </w:tcPr>
          <w:p w14:paraId="2EDAE503" w14:textId="778B02AF" w:rsidR="00AC7841" w:rsidRPr="00903F89" w:rsidRDefault="00605882" w:rsidP="00903F89">
            <w:pPr>
              <w:jc w:val="both"/>
              <w:rPr>
                <w:rFonts w:cs="Arial"/>
                <w:sz w:val="20"/>
                <w:szCs w:val="20"/>
              </w:rPr>
            </w:pPr>
            <w:r w:rsidRPr="00903F89">
              <w:rPr>
                <w:rFonts w:cs="Arial"/>
                <w:sz w:val="20"/>
                <w:szCs w:val="20"/>
              </w:rPr>
              <w:t>Αύξηση της πρόνοιας του άρθρου λαμβάνοντας υπόψη την απορρόφηση που σημειώθηκε σε προηγούμενα έτη (2017: €214.000, 2018: €298.000, 2019: €269.000) και της ανάγκης που υπάρχει για σύγκληση Ειδικών Επιτροπών κατά το 2022 για την εκλογή / ανέλιξη μελών Ακαδημαϊκού Προσωπικού.</w:t>
            </w:r>
          </w:p>
        </w:tc>
      </w:tr>
      <w:bookmarkEnd w:id="32"/>
      <w:tr w:rsidR="00492B85" w:rsidRPr="00903F89" w14:paraId="23D98BC0" w14:textId="77777777" w:rsidTr="00AD5278">
        <w:tc>
          <w:tcPr>
            <w:tcW w:w="2870" w:type="dxa"/>
          </w:tcPr>
          <w:p w14:paraId="1C909A2E" w14:textId="64D31EEC" w:rsidR="008F763E" w:rsidRPr="00903F89" w:rsidRDefault="008F763E" w:rsidP="00903F89">
            <w:pPr>
              <w:jc w:val="both"/>
              <w:rPr>
                <w:rFonts w:cs="Arial"/>
                <w:b/>
                <w:sz w:val="20"/>
                <w:szCs w:val="20"/>
                <w:u w:val="single"/>
              </w:rPr>
            </w:pPr>
          </w:p>
        </w:tc>
        <w:tc>
          <w:tcPr>
            <w:tcW w:w="3865" w:type="dxa"/>
          </w:tcPr>
          <w:p w14:paraId="72778EE8" w14:textId="77777777" w:rsidR="008F763E" w:rsidRPr="00903F89" w:rsidRDefault="008F763E" w:rsidP="00903F89">
            <w:pPr>
              <w:jc w:val="both"/>
              <w:rPr>
                <w:rFonts w:cs="Arial"/>
                <w:sz w:val="20"/>
                <w:szCs w:val="20"/>
              </w:rPr>
            </w:pPr>
          </w:p>
        </w:tc>
        <w:tc>
          <w:tcPr>
            <w:tcW w:w="3803" w:type="dxa"/>
          </w:tcPr>
          <w:p w14:paraId="6FB23CF6" w14:textId="77777777" w:rsidR="008F763E" w:rsidRPr="00903F89" w:rsidRDefault="008F763E" w:rsidP="00903F89">
            <w:pPr>
              <w:jc w:val="both"/>
              <w:rPr>
                <w:rFonts w:cs="Arial"/>
                <w:b/>
                <w:sz w:val="20"/>
                <w:szCs w:val="20"/>
                <w:u w:val="single"/>
              </w:rPr>
            </w:pPr>
          </w:p>
        </w:tc>
      </w:tr>
      <w:tr w:rsidR="00492B85" w:rsidRPr="00903F89" w14:paraId="4661E0EC" w14:textId="77777777" w:rsidTr="00AD5278">
        <w:tc>
          <w:tcPr>
            <w:tcW w:w="10538" w:type="dxa"/>
            <w:gridSpan w:val="3"/>
          </w:tcPr>
          <w:p w14:paraId="64DE7CAD" w14:textId="35ED932A" w:rsidR="008F763E" w:rsidRPr="00903F89" w:rsidRDefault="045AFEAA" w:rsidP="00903F89">
            <w:pPr>
              <w:jc w:val="both"/>
              <w:rPr>
                <w:rFonts w:eastAsia="Arial" w:cs="Arial"/>
                <w:b/>
                <w:bCs/>
                <w:sz w:val="20"/>
                <w:szCs w:val="20"/>
                <w:u w:val="single"/>
              </w:rPr>
            </w:pPr>
            <w:r w:rsidRPr="00903F89">
              <w:rPr>
                <w:rFonts w:cs="Arial"/>
                <w:b/>
                <w:bCs/>
                <w:sz w:val="20"/>
                <w:szCs w:val="20"/>
                <w:u w:val="single"/>
              </w:rPr>
              <w:t>Άρθρο 304 – Χορηγίες Υποψηφίων Ακαδημαϊκών και Επισκεπτών Καθηγητών Σύντομης Διάρκειας – €</w:t>
            </w:r>
            <w:r w:rsidR="00176DD5" w:rsidRPr="00903F89">
              <w:rPr>
                <w:rFonts w:cs="Arial"/>
                <w:b/>
                <w:bCs/>
                <w:sz w:val="20"/>
                <w:szCs w:val="20"/>
                <w:u w:val="single"/>
              </w:rPr>
              <w:t>55.000</w:t>
            </w:r>
          </w:p>
        </w:tc>
      </w:tr>
      <w:tr w:rsidR="00492B85" w:rsidRPr="00903F89" w14:paraId="7BE3871F" w14:textId="77777777" w:rsidTr="00AD5278">
        <w:tc>
          <w:tcPr>
            <w:tcW w:w="2870" w:type="dxa"/>
          </w:tcPr>
          <w:p w14:paraId="0B55F87F" w14:textId="77777777" w:rsidR="008F763E" w:rsidRPr="00903F89" w:rsidRDefault="008F763E" w:rsidP="00903F89">
            <w:pPr>
              <w:jc w:val="both"/>
              <w:rPr>
                <w:rFonts w:cs="Arial"/>
                <w:b/>
                <w:sz w:val="20"/>
                <w:szCs w:val="20"/>
                <w:u w:val="single"/>
              </w:rPr>
            </w:pPr>
          </w:p>
        </w:tc>
        <w:tc>
          <w:tcPr>
            <w:tcW w:w="3865" w:type="dxa"/>
          </w:tcPr>
          <w:p w14:paraId="7C2AEA3D" w14:textId="77777777" w:rsidR="008F763E" w:rsidRPr="00903F89" w:rsidRDefault="008F763E" w:rsidP="00903F89">
            <w:pPr>
              <w:jc w:val="both"/>
              <w:rPr>
                <w:rFonts w:cs="Arial"/>
                <w:sz w:val="20"/>
                <w:szCs w:val="20"/>
              </w:rPr>
            </w:pPr>
          </w:p>
        </w:tc>
        <w:tc>
          <w:tcPr>
            <w:tcW w:w="3803" w:type="dxa"/>
          </w:tcPr>
          <w:p w14:paraId="156918A7" w14:textId="77777777" w:rsidR="008F763E" w:rsidRPr="00903F89" w:rsidRDefault="008F763E" w:rsidP="00903F89">
            <w:pPr>
              <w:jc w:val="both"/>
              <w:rPr>
                <w:rFonts w:cs="Arial"/>
                <w:b/>
                <w:sz w:val="20"/>
                <w:szCs w:val="20"/>
                <w:u w:val="single"/>
              </w:rPr>
            </w:pPr>
          </w:p>
        </w:tc>
      </w:tr>
      <w:tr w:rsidR="00492B85" w:rsidRPr="00903F89" w14:paraId="5D439DB9" w14:textId="77777777" w:rsidTr="00AD5278">
        <w:tc>
          <w:tcPr>
            <w:tcW w:w="10538" w:type="dxa"/>
            <w:gridSpan w:val="3"/>
          </w:tcPr>
          <w:p w14:paraId="06F417D9" w14:textId="7CE19DD2" w:rsidR="008F763E" w:rsidRPr="00903F89" w:rsidRDefault="045AFEAA" w:rsidP="00903F89">
            <w:pPr>
              <w:jc w:val="both"/>
              <w:rPr>
                <w:rFonts w:eastAsia="Arial" w:cs="Arial"/>
                <w:b/>
                <w:bCs/>
                <w:sz w:val="20"/>
                <w:szCs w:val="20"/>
              </w:rPr>
            </w:pPr>
            <w:r w:rsidRPr="00903F89">
              <w:rPr>
                <w:rFonts w:cs="Arial"/>
                <w:sz w:val="20"/>
                <w:szCs w:val="20"/>
              </w:rPr>
              <w:t>Α:  Χορηγίες Υποψηφίων Ακαδημαϊκών</w:t>
            </w:r>
          </w:p>
        </w:tc>
      </w:tr>
      <w:tr w:rsidR="00492B85" w:rsidRPr="00903F89" w14:paraId="6AF38832" w14:textId="77777777" w:rsidTr="00AD5278">
        <w:tc>
          <w:tcPr>
            <w:tcW w:w="2870" w:type="dxa"/>
          </w:tcPr>
          <w:p w14:paraId="07794B7D" w14:textId="77777777" w:rsidR="008F763E" w:rsidRPr="00903F89" w:rsidRDefault="008F763E" w:rsidP="00903F89">
            <w:pPr>
              <w:jc w:val="both"/>
              <w:rPr>
                <w:rFonts w:cs="Arial"/>
                <w:b/>
                <w:sz w:val="20"/>
                <w:szCs w:val="20"/>
                <w:u w:val="single"/>
              </w:rPr>
            </w:pPr>
          </w:p>
        </w:tc>
        <w:tc>
          <w:tcPr>
            <w:tcW w:w="3865" w:type="dxa"/>
          </w:tcPr>
          <w:p w14:paraId="5351AD23" w14:textId="77777777" w:rsidR="008F763E" w:rsidRPr="00903F89" w:rsidRDefault="008F763E" w:rsidP="00903F89">
            <w:pPr>
              <w:jc w:val="both"/>
              <w:rPr>
                <w:rFonts w:cs="Arial"/>
                <w:sz w:val="20"/>
                <w:szCs w:val="20"/>
              </w:rPr>
            </w:pPr>
          </w:p>
        </w:tc>
        <w:tc>
          <w:tcPr>
            <w:tcW w:w="3803" w:type="dxa"/>
          </w:tcPr>
          <w:p w14:paraId="7F6BF06D" w14:textId="77777777" w:rsidR="008F763E" w:rsidRPr="00903F89" w:rsidRDefault="008F763E" w:rsidP="00903F89">
            <w:pPr>
              <w:jc w:val="both"/>
              <w:rPr>
                <w:rFonts w:cs="Arial"/>
                <w:b/>
                <w:sz w:val="20"/>
                <w:szCs w:val="20"/>
                <w:u w:val="single"/>
              </w:rPr>
            </w:pPr>
          </w:p>
        </w:tc>
      </w:tr>
      <w:tr w:rsidR="00492B85" w:rsidRPr="00903F89" w14:paraId="27250AD3" w14:textId="77777777" w:rsidTr="00AD5278">
        <w:tc>
          <w:tcPr>
            <w:tcW w:w="10538" w:type="dxa"/>
            <w:gridSpan w:val="3"/>
          </w:tcPr>
          <w:p w14:paraId="0B71C87D" w14:textId="60DACC36" w:rsidR="008F763E" w:rsidRPr="00903F89" w:rsidRDefault="4407E268" w:rsidP="00903F89">
            <w:pPr>
              <w:jc w:val="both"/>
              <w:rPr>
                <w:rFonts w:eastAsia="Arial" w:cs="Arial"/>
                <w:b/>
                <w:bCs/>
                <w:sz w:val="20"/>
                <w:szCs w:val="20"/>
                <w:u w:val="single"/>
              </w:rPr>
            </w:pPr>
            <w:r w:rsidRPr="00903F89">
              <w:rPr>
                <w:rFonts w:cs="Arial"/>
                <w:sz w:val="20"/>
                <w:szCs w:val="20"/>
              </w:rPr>
              <w:t xml:space="preserve">Το ποσό προορίζεται να καλύψει χορηγίες προς υποψηφίους Ακαδημαϊκούς οι οποίοι καλούνται και παρευρίσκονται για προσωπική συνέντευξη, σύμφωνα με τη σχετική πολιτική </w:t>
            </w:r>
            <w:bookmarkStart w:id="37" w:name="_Hlk87949408"/>
            <w:r w:rsidRPr="00903F89">
              <w:rPr>
                <w:rFonts w:cs="Arial"/>
                <w:sz w:val="20"/>
                <w:szCs w:val="20"/>
              </w:rPr>
              <w:t>(</w:t>
            </w:r>
            <w:r w:rsidR="00B64187" w:rsidRPr="00903F89">
              <w:rPr>
                <w:rFonts w:cs="Arial"/>
                <w:sz w:val="20"/>
                <w:szCs w:val="20"/>
              </w:rPr>
              <w:t xml:space="preserve">Απόφαση Συμβουλίου, </w:t>
            </w:r>
            <w:r w:rsidRPr="00903F89">
              <w:rPr>
                <w:rFonts w:cs="Arial"/>
                <w:sz w:val="20"/>
                <w:szCs w:val="20"/>
              </w:rPr>
              <w:t>248</w:t>
            </w:r>
            <w:r w:rsidRPr="00903F89">
              <w:rPr>
                <w:rFonts w:cs="Arial"/>
                <w:sz w:val="20"/>
                <w:szCs w:val="20"/>
                <w:vertAlign w:val="superscript"/>
              </w:rPr>
              <w:t>η</w:t>
            </w:r>
            <w:r w:rsidR="00B64187" w:rsidRPr="00903F89">
              <w:rPr>
                <w:rFonts w:cs="Arial"/>
                <w:sz w:val="20"/>
                <w:szCs w:val="20"/>
              </w:rPr>
              <w:t xml:space="preserve"> </w:t>
            </w:r>
            <w:r w:rsidRPr="00903F89">
              <w:rPr>
                <w:rFonts w:cs="Arial"/>
                <w:sz w:val="20"/>
                <w:szCs w:val="20"/>
              </w:rPr>
              <w:t>Συνεδρία, ημερ. 09/03/2016)</w:t>
            </w:r>
            <w:bookmarkEnd w:id="37"/>
            <w:r w:rsidRPr="00903F89">
              <w:rPr>
                <w:rFonts w:cs="Arial"/>
                <w:sz w:val="20"/>
                <w:szCs w:val="20"/>
              </w:rPr>
              <w:t xml:space="preserve">.  Συγκεκριμένα δύναται να καταβάλλεται ως αποζημίωση (των μεταφορικών εξόδων και των εξόδων διαμονής) προς τους υποψήφιους Ακαδημαϊκούς, ανάλογα με τη χώρα προέλευσης του υποψηφίου, το εξής ανώτατο ποσό: </w:t>
            </w:r>
          </w:p>
        </w:tc>
      </w:tr>
      <w:tr w:rsidR="00492B85" w:rsidRPr="00903F89" w14:paraId="6193121A" w14:textId="77777777" w:rsidTr="00AD5278">
        <w:tc>
          <w:tcPr>
            <w:tcW w:w="2870" w:type="dxa"/>
          </w:tcPr>
          <w:p w14:paraId="5B4D998B" w14:textId="77777777" w:rsidR="008F763E" w:rsidRPr="00903F89" w:rsidRDefault="008F763E" w:rsidP="00903F89">
            <w:pPr>
              <w:jc w:val="both"/>
              <w:rPr>
                <w:rFonts w:cs="Arial"/>
                <w:b/>
                <w:sz w:val="20"/>
                <w:szCs w:val="20"/>
                <w:u w:val="single"/>
              </w:rPr>
            </w:pPr>
          </w:p>
        </w:tc>
        <w:tc>
          <w:tcPr>
            <w:tcW w:w="3865" w:type="dxa"/>
          </w:tcPr>
          <w:p w14:paraId="4B0849B4" w14:textId="77777777" w:rsidR="008F763E" w:rsidRPr="00903F89" w:rsidRDefault="008F763E" w:rsidP="00903F89">
            <w:pPr>
              <w:jc w:val="both"/>
              <w:rPr>
                <w:rFonts w:cs="Arial"/>
                <w:sz w:val="20"/>
                <w:szCs w:val="20"/>
              </w:rPr>
            </w:pPr>
          </w:p>
        </w:tc>
        <w:tc>
          <w:tcPr>
            <w:tcW w:w="3803" w:type="dxa"/>
          </w:tcPr>
          <w:p w14:paraId="180060ED" w14:textId="77777777" w:rsidR="008F763E" w:rsidRPr="00903F89" w:rsidRDefault="008F763E" w:rsidP="00903F89">
            <w:pPr>
              <w:jc w:val="both"/>
              <w:rPr>
                <w:rFonts w:cs="Arial"/>
                <w:b/>
                <w:sz w:val="20"/>
                <w:szCs w:val="20"/>
                <w:u w:val="single"/>
              </w:rPr>
            </w:pPr>
          </w:p>
        </w:tc>
      </w:tr>
      <w:tr w:rsidR="00492B85" w:rsidRPr="00903F89" w14:paraId="2C4F2A14" w14:textId="77777777" w:rsidTr="00AD5278">
        <w:tc>
          <w:tcPr>
            <w:tcW w:w="10538" w:type="dxa"/>
            <w:gridSpan w:val="3"/>
          </w:tcPr>
          <w:tbl>
            <w:tblPr>
              <w:tblpPr w:leftFromText="180" w:rightFromText="180" w:vertAnchor="text" w:horzAnchor="margin" w:tblpY="-35"/>
              <w:tblW w:w="0" w:type="auto"/>
              <w:tblLook w:val="04A0" w:firstRow="1" w:lastRow="0" w:firstColumn="1" w:lastColumn="0" w:noHBand="0" w:noVBand="1"/>
            </w:tblPr>
            <w:tblGrid>
              <w:gridCol w:w="583"/>
              <w:gridCol w:w="7745"/>
              <w:gridCol w:w="1876"/>
            </w:tblGrid>
            <w:tr w:rsidR="00492B85" w:rsidRPr="00903F89" w14:paraId="162A0C9A" w14:textId="77777777" w:rsidTr="045AFEAA">
              <w:trPr>
                <w:trHeight w:val="145"/>
              </w:trPr>
              <w:tc>
                <w:tcPr>
                  <w:tcW w:w="583" w:type="dxa"/>
                  <w:shd w:val="clear" w:color="auto" w:fill="auto"/>
                </w:tcPr>
                <w:p w14:paraId="210749DF"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w:t>
                  </w:r>
                </w:p>
              </w:tc>
              <w:tc>
                <w:tcPr>
                  <w:tcW w:w="7745" w:type="dxa"/>
                  <w:shd w:val="clear" w:color="auto" w:fill="auto"/>
                </w:tcPr>
                <w:p w14:paraId="2FA9A942"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Ελλάδα:</w:t>
                  </w:r>
                </w:p>
              </w:tc>
              <w:tc>
                <w:tcPr>
                  <w:tcW w:w="1876" w:type="dxa"/>
                  <w:shd w:val="clear" w:color="auto" w:fill="auto"/>
                </w:tcPr>
                <w:p w14:paraId="1ACF1A20"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Μέχρι €200</w:t>
                  </w:r>
                </w:p>
              </w:tc>
            </w:tr>
            <w:tr w:rsidR="00492B85" w:rsidRPr="00903F89" w14:paraId="39685B59" w14:textId="77777777" w:rsidTr="045AFEAA">
              <w:trPr>
                <w:trHeight w:val="173"/>
              </w:trPr>
              <w:tc>
                <w:tcPr>
                  <w:tcW w:w="583" w:type="dxa"/>
                  <w:shd w:val="clear" w:color="auto" w:fill="auto"/>
                </w:tcPr>
                <w:p w14:paraId="663234A7"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w:t>
                  </w:r>
                </w:p>
              </w:tc>
              <w:tc>
                <w:tcPr>
                  <w:tcW w:w="7745" w:type="dxa"/>
                  <w:shd w:val="clear" w:color="auto" w:fill="auto"/>
                </w:tcPr>
                <w:p w14:paraId="2F1ADA2A"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Χώρες της Ευρώπης (εκτός Ελλάδας) και Χώρες Μέσης Ανατολής:</w:t>
                  </w:r>
                </w:p>
              </w:tc>
              <w:tc>
                <w:tcPr>
                  <w:tcW w:w="1876" w:type="dxa"/>
                  <w:shd w:val="clear" w:color="auto" w:fill="auto"/>
                </w:tcPr>
                <w:p w14:paraId="34303B86"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Μέχρι €400</w:t>
                  </w:r>
                </w:p>
              </w:tc>
            </w:tr>
            <w:tr w:rsidR="00492B85" w:rsidRPr="00903F89" w14:paraId="2710C595" w14:textId="77777777" w:rsidTr="045AFEAA">
              <w:trPr>
                <w:trHeight w:val="145"/>
              </w:trPr>
              <w:tc>
                <w:tcPr>
                  <w:tcW w:w="583" w:type="dxa"/>
                  <w:shd w:val="clear" w:color="auto" w:fill="auto"/>
                </w:tcPr>
                <w:p w14:paraId="73852CBC"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w:t>
                  </w:r>
                </w:p>
              </w:tc>
              <w:tc>
                <w:tcPr>
                  <w:tcW w:w="7745" w:type="dxa"/>
                  <w:shd w:val="clear" w:color="auto" w:fill="auto"/>
                </w:tcPr>
                <w:p w14:paraId="57122C78"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Αμερική, Αυστραλία, Άλλες Χώρες:</w:t>
                  </w:r>
                </w:p>
              </w:tc>
              <w:tc>
                <w:tcPr>
                  <w:tcW w:w="1876" w:type="dxa"/>
                  <w:shd w:val="clear" w:color="auto" w:fill="auto"/>
                </w:tcPr>
                <w:p w14:paraId="6F40E151" w14:textId="77777777" w:rsidR="008F763E" w:rsidRPr="00903F89" w:rsidRDefault="045AFEAA" w:rsidP="00903F89">
                  <w:pPr>
                    <w:tabs>
                      <w:tab w:val="left" w:pos="426"/>
                    </w:tabs>
                    <w:jc w:val="both"/>
                    <w:rPr>
                      <w:rFonts w:eastAsia="Arial" w:cs="Arial"/>
                      <w:sz w:val="20"/>
                      <w:szCs w:val="20"/>
                    </w:rPr>
                  </w:pPr>
                  <w:r w:rsidRPr="00903F89">
                    <w:rPr>
                      <w:rFonts w:cs="Arial"/>
                      <w:sz w:val="20"/>
                      <w:szCs w:val="20"/>
                    </w:rPr>
                    <w:t>Μέχρι €700</w:t>
                  </w:r>
                </w:p>
              </w:tc>
            </w:tr>
          </w:tbl>
          <w:p w14:paraId="00CBFA54" w14:textId="33034F55" w:rsidR="008F763E" w:rsidRPr="00903F89" w:rsidRDefault="008F763E" w:rsidP="00903F89">
            <w:pPr>
              <w:jc w:val="both"/>
              <w:rPr>
                <w:rFonts w:cs="Arial"/>
                <w:b/>
                <w:sz w:val="20"/>
                <w:szCs w:val="20"/>
                <w:u w:val="single"/>
              </w:rPr>
            </w:pPr>
          </w:p>
        </w:tc>
      </w:tr>
      <w:tr w:rsidR="00492B85" w:rsidRPr="00903F89" w14:paraId="25D919DA" w14:textId="77777777" w:rsidTr="00AD5278">
        <w:tc>
          <w:tcPr>
            <w:tcW w:w="2870" w:type="dxa"/>
          </w:tcPr>
          <w:p w14:paraId="6D485275" w14:textId="77777777" w:rsidR="008F763E" w:rsidRPr="00903F89" w:rsidRDefault="008F763E" w:rsidP="00903F89">
            <w:pPr>
              <w:jc w:val="both"/>
              <w:rPr>
                <w:rFonts w:cs="Arial"/>
                <w:b/>
                <w:sz w:val="20"/>
                <w:szCs w:val="20"/>
                <w:u w:val="single"/>
              </w:rPr>
            </w:pPr>
          </w:p>
        </w:tc>
        <w:tc>
          <w:tcPr>
            <w:tcW w:w="3865" w:type="dxa"/>
          </w:tcPr>
          <w:p w14:paraId="0A903F87" w14:textId="77777777" w:rsidR="008F763E" w:rsidRPr="00903F89" w:rsidRDefault="008F763E" w:rsidP="00903F89">
            <w:pPr>
              <w:jc w:val="both"/>
              <w:rPr>
                <w:rFonts w:cs="Arial"/>
                <w:sz w:val="20"/>
                <w:szCs w:val="20"/>
              </w:rPr>
            </w:pPr>
          </w:p>
        </w:tc>
        <w:tc>
          <w:tcPr>
            <w:tcW w:w="3803" w:type="dxa"/>
          </w:tcPr>
          <w:p w14:paraId="5AE1DC9B" w14:textId="77777777" w:rsidR="008F763E" w:rsidRPr="00903F89" w:rsidRDefault="008F763E" w:rsidP="00903F89">
            <w:pPr>
              <w:jc w:val="both"/>
              <w:rPr>
                <w:rFonts w:cs="Arial"/>
                <w:b/>
                <w:sz w:val="20"/>
                <w:szCs w:val="20"/>
                <w:u w:val="single"/>
              </w:rPr>
            </w:pPr>
          </w:p>
        </w:tc>
      </w:tr>
      <w:tr w:rsidR="00492B85" w:rsidRPr="00903F89" w14:paraId="03566EEF" w14:textId="77777777" w:rsidTr="00AD5278">
        <w:tc>
          <w:tcPr>
            <w:tcW w:w="10538" w:type="dxa"/>
            <w:gridSpan w:val="3"/>
          </w:tcPr>
          <w:p w14:paraId="72B420AD" w14:textId="4978A0FF" w:rsidR="008F763E" w:rsidRPr="00903F89" w:rsidRDefault="045AFEAA" w:rsidP="00903F89">
            <w:pPr>
              <w:jc w:val="both"/>
              <w:rPr>
                <w:rFonts w:eastAsia="Arial" w:cs="Arial"/>
                <w:b/>
                <w:bCs/>
                <w:sz w:val="20"/>
                <w:szCs w:val="20"/>
                <w:u w:val="single"/>
              </w:rPr>
            </w:pPr>
            <w:r w:rsidRPr="00903F89">
              <w:rPr>
                <w:rFonts w:cs="Arial"/>
                <w:sz w:val="20"/>
                <w:szCs w:val="20"/>
              </w:rPr>
              <w:t>Νοείται ότι η σχετική αποζημίωση θα δίνεται μόνον κατόπιν προσκόμισης των απαραίτητων αποδεικτικών στοιχείων.</w:t>
            </w:r>
          </w:p>
        </w:tc>
      </w:tr>
      <w:tr w:rsidR="00492B85" w:rsidRPr="00903F89" w14:paraId="0D87F78B" w14:textId="77777777" w:rsidTr="00AD5278">
        <w:tc>
          <w:tcPr>
            <w:tcW w:w="2870" w:type="dxa"/>
          </w:tcPr>
          <w:p w14:paraId="2797CF2E" w14:textId="77777777" w:rsidR="008F763E" w:rsidRPr="00903F89" w:rsidRDefault="008F763E" w:rsidP="00903F89">
            <w:pPr>
              <w:jc w:val="both"/>
              <w:rPr>
                <w:rFonts w:cs="Arial"/>
                <w:b/>
                <w:sz w:val="20"/>
                <w:szCs w:val="20"/>
                <w:u w:val="single"/>
              </w:rPr>
            </w:pPr>
          </w:p>
        </w:tc>
        <w:tc>
          <w:tcPr>
            <w:tcW w:w="3865" w:type="dxa"/>
          </w:tcPr>
          <w:p w14:paraId="05F3DD06" w14:textId="77777777" w:rsidR="008F763E" w:rsidRPr="00903F89" w:rsidRDefault="008F763E" w:rsidP="00903F89">
            <w:pPr>
              <w:jc w:val="both"/>
              <w:rPr>
                <w:rFonts w:cs="Arial"/>
                <w:sz w:val="20"/>
                <w:szCs w:val="20"/>
              </w:rPr>
            </w:pPr>
          </w:p>
        </w:tc>
        <w:tc>
          <w:tcPr>
            <w:tcW w:w="3803" w:type="dxa"/>
          </w:tcPr>
          <w:p w14:paraId="7772E354" w14:textId="77777777" w:rsidR="008F763E" w:rsidRPr="00903F89" w:rsidRDefault="008F763E" w:rsidP="00903F89">
            <w:pPr>
              <w:jc w:val="both"/>
              <w:rPr>
                <w:rFonts w:cs="Arial"/>
                <w:b/>
                <w:sz w:val="20"/>
                <w:szCs w:val="20"/>
                <w:u w:val="single"/>
              </w:rPr>
            </w:pPr>
          </w:p>
        </w:tc>
      </w:tr>
      <w:tr w:rsidR="00492B85" w:rsidRPr="00903F89" w14:paraId="7749E46A" w14:textId="77777777" w:rsidTr="00AD5278">
        <w:tc>
          <w:tcPr>
            <w:tcW w:w="10538" w:type="dxa"/>
            <w:gridSpan w:val="3"/>
          </w:tcPr>
          <w:p w14:paraId="4241F467" w14:textId="76708D07" w:rsidR="008F763E" w:rsidRPr="00903F89" w:rsidRDefault="045AFEAA" w:rsidP="00903F89">
            <w:pPr>
              <w:jc w:val="both"/>
              <w:rPr>
                <w:rFonts w:eastAsia="Arial" w:cs="Arial"/>
                <w:b/>
                <w:bCs/>
                <w:sz w:val="20"/>
                <w:szCs w:val="20"/>
                <w:u w:val="single"/>
              </w:rPr>
            </w:pPr>
            <w:r w:rsidRPr="00903F89">
              <w:rPr>
                <w:rFonts w:cs="Arial"/>
                <w:sz w:val="20"/>
                <w:szCs w:val="20"/>
                <w:u w:val="single"/>
              </w:rPr>
              <w:t>Β.  Χορηγίες Επισκεπτών Καθηγητών Σύντομης Διάρκειας</w:t>
            </w:r>
          </w:p>
        </w:tc>
      </w:tr>
      <w:tr w:rsidR="00492B85" w:rsidRPr="00903F89" w14:paraId="0CFE4CE6" w14:textId="77777777" w:rsidTr="00AD5278">
        <w:tc>
          <w:tcPr>
            <w:tcW w:w="2870" w:type="dxa"/>
          </w:tcPr>
          <w:p w14:paraId="2D414A0A" w14:textId="77777777" w:rsidR="008F763E" w:rsidRPr="00903F89" w:rsidRDefault="008F763E" w:rsidP="00903F89">
            <w:pPr>
              <w:jc w:val="both"/>
              <w:rPr>
                <w:rFonts w:cs="Arial"/>
                <w:b/>
                <w:sz w:val="20"/>
                <w:szCs w:val="20"/>
                <w:u w:val="single"/>
              </w:rPr>
            </w:pPr>
          </w:p>
        </w:tc>
        <w:tc>
          <w:tcPr>
            <w:tcW w:w="3865" w:type="dxa"/>
          </w:tcPr>
          <w:p w14:paraId="3CC23C26" w14:textId="77777777" w:rsidR="008F763E" w:rsidRPr="00903F89" w:rsidRDefault="008F763E" w:rsidP="00903F89">
            <w:pPr>
              <w:jc w:val="both"/>
              <w:rPr>
                <w:rFonts w:cs="Arial"/>
                <w:sz w:val="20"/>
                <w:szCs w:val="20"/>
              </w:rPr>
            </w:pPr>
          </w:p>
        </w:tc>
        <w:tc>
          <w:tcPr>
            <w:tcW w:w="3803" w:type="dxa"/>
          </w:tcPr>
          <w:p w14:paraId="028A4178" w14:textId="77777777" w:rsidR="008F763E" w:rsidRPr="00903F89" w:rsidRDefault="008F763E" w:rsidP="00903F89">
            <w:pPr>
              <w:jc w:val="both"/>
              <w:rPr>
                <w:rFonts w:cs="Arial"/>
                <w:b/>
                <w:sz w:val="20"/>
                <w:szCs w:val="20"/>
                <w:u w:val="single"/>
              </w:rPr>
            </w:pPr>
          </w:p>
        </w:tc>
      </w:tr>
      <w:tr w:rsidR="00492B85" w:rsidRPr="00903F89" w14:paraId="1C8EA7E9" w14:textId="77777777" w:rsidTr="00AD5278">
        <w:tc>
          <w:tcPr>
            <w:tcW w:w="10538" w:type="dxa"/>
            <w:gridSpan w:val="3"/>
          </w:tcPr>
          <w:p w14:paraId="5DE45B47" w14:textId="446A759F" w:rsidR="008F763E" w:rsidRPr="00903F89" w:rsidRDefault="045AFEAA" w:rsidP="00903F89">
            <w:pPr>
              <w:jc w:val="both"/>
              <w:rPr>
                <w:rFonts w:eastAsia="Arial" w:cs="Arial"/>
                <w:b/>
                <w:bCs/>
                <w:sz w:val="20"/>
                <w:szCs w:val="20"/>
                <w:u w:val="single"/>
              </w:rPr>
            </w:pPr>
            <w:r w:rsidRPr="00903F89">
              <w:rPr>
                <w:rFonts w:cs="Arial"/>
                <w:sz w:val="20"/>
                <w:szCs w:val="20"/>
              </w:rPr>
              <w:t xml:space="preserve">Το άρθρο καλύπτει δαπάνες μεταφορικών εξόδων στους Επισκέπτες Καθηγητές Σύντομης Διάρκειας (αεροπορικό εισιτήριο οικονομικής θέσης και έξοδα μεταφοράς από και προς το αεροδρόμιο, στην Κύπρο και στο εξωτερικό).  Οι δαπάνες αυτές είναι πέραν από τις ημερήσιες απολαβές και το τιμητικό επίδομα που καταβάλλονται στους Επισκέπτες Καθηγητές Σύντομης Διάρκειας και καλύπτονται στο πλαίσιο των τρεχουσών δαπανών, από το Άρθρο </w:t>
            </w:r>
            <w:r w:rsidR="00D37576" w:rsidRPr="00903F89">
              <w:rPr>
                <w:rFonts w:cs="Arial"/>
                <w:sz w:val="20"/>
                <w:szCs w:val="20"/>
              </w:rPr>
              <w:t>11-</w:t>
            </w:r>
            <w:r w:rsidRPr="00903F89">
              <w:rPr>
                <w:rFonts w:cs="Arial"/>
                <w:sz w:val="20"/>
                <w:szCs w:val="20"/>
              </w:rPr>
              <w:t>103 «Επισκέπτες Ακαδημαϊκοί/Επισκέπτες Καθηγητές Σύντομης Διάρκειας».</w:t>
            </w:r>
          </w:p>
        </w:tc>
      </w:tr>
      <w:tr w:rsidR="00492B85" w:rsidRPr="00903F89" w14:paraId="1A97FE99" w14:textId="77777777" w:rsidTr="00AD5278">
        <w:tc>
          <w:tcPr>
            <w:tcW w:w="2870" w:type="dxa"/>
          </w:tcPr>
          <w:p w14:paraId="4D3C8745" w14:textId="77777777" w:rsidR="008F763E" w:rsidRPr="00903F89" w:rsidRDefault="008F763E" w:rsidP="00903F89">
            <w:pPr>
              <w:jc w:val="both"/>
              <w:rPr>
                <w:rFonts w:cs="Arial"/>
                <w:b/>
                <w:sz w:val="20"/>
                <w:szCs w:val="20"/>
                <w:u w:val="single"/>
              </w:rPr>
            </w:pPr>
          </w:p>
        </w:tc>
        <w:tc>
          <w:tcPr>
            <w:tcW w:w="3865" w:type="dxa"/>
          </w:tcPr>
          <w:p w14:paraId="261E4101" w14:textId="77777777" w:rsidR="008F763E" w:rsidRPr="00903F89" w:rsidRDefault="008F763E" w:rsidP="00903F89">
            <w:pPr>
              <w:jc w:val="both"/>
              <w:rPr>
                <w:rFonts w:cs="Arial"/>
                <w:sz w:val="20"/>
                <w:szCs w:val="20"/>
              </w:rPr>
            </w:pPr>
          </w:p>
        </w:tc>
        <w:tc>
          <w:tcPr>
            <w:tcW w:w="3803" w:type="dxa"/>
          </w:tcPr>
          <w:p w14:paraId="71B07C28" w14:textId="77777777" w:rsidR="008F763E" w:rsidRPr="00903F89" w:rsidRDefault="008F763E" w:rsidP="00903F89">
            <w:pPr>
              <w:jc w:val="both"/>
              <w:rPr>
                <w:rFonts w:cs="Arial"/>
                <w:b/>
                <w:sz w:val="20"/>
                <w:szCs w:val="20"/>
                <w:u w:val="single"/>
              </w:rPr>
            </w:pPr>
          </w:p>
        </w:tc>
      </w:tr>
      <w:tr w:rsidR="00492B85" w:rsidRPr="00903F89" w14:paraId="68E26570" w14:textId="77777777" w:rsidTr="00AD5278">
        <w:tc>
          <w:tcPr>
            <w:tcW w:w="10538" w:type="dxa"/>
            <w:gridSpan w:val="3"/>
            <w:shd w:val="clear" w:color="auto" w:fill="auto"/>
          </w:tcPr>
          <w:p w14:paraId="16557E7E" w14:textId="7D0B8ACF" w:rsidR="008F763E" w:rsidRPr="00903F89" w:rsidRDefault="045AFEAA" w:rsidP="00903F89">
            <w:pPr>
              <w:jc w:val="both"/>
              <w:rPr>
                <w:rFonts w:eastAsia="Arial" w:cs="Arial"/>
                <w:b/>
                <w:bCs/>
                <w:sz w:val="20"/>
                <w:szCs w:val="20"/>
                <w:u w:val="single"/>
              </w:rPr>
            </w:pPr>
            <w:r w:rsidRPr="00903F89">
              <w:rPr>
                <w:rFonts w:cs="Arial"/>
                <w:sz w:val="20"/>
                <w:szCs w:val="20"/>
              </w:rPr>
              <w:t>Το άρθρο καλύπτει κατ’ εξαίρεση, δαπάνες μεταφορικών εξόδων (αεροπορικό εισιτήριο οικονομικής θέσης και έξοδα μεταφοράς από και προς το αεροδρόμιο, στην Κύπρο και στο εξωτερικό)  και εξόδων διαμονής στους Συνεργάτες Καθηγητές του Αυτοχρηματοδοτούμενου Μεταπτυχιακού Προγράμματος ΤΙΜΕ ΜΒΕ, καθώς και στους Ειδικούς Επιστήμονες του Αυτοχρηματοδοτούμενου Μεταπτυχιακού Προγράμματος Σχολικής Συμβουλευτικής και Καθοδήγησης (αεροπορικά εισιτήρια μέχρι €1000 ανά εξάμηνο ανά άτομο).</w:t>
            </w:r>
          </w:p>
        </w:tc>
      </w:tr>
      <w:tr w:rsidR="00C61D41" w:rsidRPr="00903F89" w14:paraId="076C1B52" w14:textId="77777777" w:rsidTr="00AD5278">
        <w:tc>
          <w:tcPr>
            <w:tcW w:w="2870" w:type="dxa"/>
            <w:shd w:val="clear" w:color="auto" w:fill="auto"/>
          </w:tcPr>
          <w:p w14:paraId="28A9B10C" w14:textId="77777777" w:rsidR="00C61D41" w:rsidRPr="00903F89" w:rsidRDefault="00C61D41" w:rsidP="00903F89">
            <w:pPr>
              <w:jc w:val="both"/>
              <w:rPr>
                <w:rFonts w:eastAsia="Arial" w:cs="Arial"/>
                <w:b/>
                <w:bCs/>
                <w:sz w:val="20"/>
                <w:szCs w:val="20"/>
                <w:u w:val="single"/>
              </w:rPr>
            </w:pPr>
          </w:p>
        </w:tc>
        <w:tc>
          <w:tcPr>
            <w:tcW w:w="3865" w:type="dxa"/>
            <w:shd w:val="clear" w:color="auto" w:fill="auto"/>
          </w:tcPr>
          <w:p w14:paraId="10F9E7F6" w14:textId="77777777" w:rsidR="00C61D41" w:rsidRPr="00903F89" w:rsidRDefault="00C61D41" w:rsidP="00903F89">
            <w:pPr>
              <w:jc w:val="both"/>
              <w:rPr>
                <w:rFonts w:cs="Arial"/>
                <w:sz w:val="20"/>
                <w:szCs w:val="20"/>
              </w:rPr>
            </w:pPr>
          </w:p>
        </w:tc>
        <w:tc>
          <w:tcPr>
            <w:tcW w:w="3803" w:type="dxa"/>
          </w:tcPr>
          <w:p w14:paraId="5E449099" w14:textId="77777777" w:rsidR="00C61D41" w:rsidRPr="00903F89" w:rsidRDefault="00C61D41" w:rsidP="00903F89">
            <w:pPr>
              <w:jc w:val="both"/>
              <w:rPr>
                <w:rFonts w:cs="Arial"/>
                <w:b/>
                <w:sz w:val="20"/>
                <w:szCs w:val="20"/>
                <w:u w:val="single"/>
              </w:rPr>
            </w:pPr>
          </w:p>
        </w:tc>
      </w:tr>
      <w:tr w:rsidR="00492B85" w:rsidRPr="00903F89" w14:paraId="69589C75" w14:textId="77777777" w:rsidTr="00AD5278">
        <w:tc>
          <w:tcPr>
            <w:tcW w:w="10538" w:type="dxa"/>
            <w:gridSpan w:val="3"/>
          </w:tcPr>
          <w:p w14:paraId="6651C0A6" w14:textId="50F0577A" w:rsidR="008F763E" w:rsidRPr="00903F89" w:rsidRDefault="045AFEAA" w:rsidP="00903F89">
            <w:pPr>
              <w:jc w:val="both"/>
              <w:rPr>
                <w:rFonts w:eastAsia="Arial" w:cs="Arial"/>
                <w:b/>
                <w:bCs/>
                <w:strike/>
                <w:sz w:val="20"/>
                <w:szCs w:val="20"/>
              </w:rPr>
            </w:pPr>
            <w:r w:rsidRPr="00903F89">
              <w:rPr>
                <w:rFonts w:cs="Arial"/>
                <w:b/>
                <w:bCs/>
                <w:sz w:val="20"/>
                <w:szCs w:val="20"/>
                <w:u w:val="single"/>
              </w:rPr>
              <w:t>Άρθρο 305 – Έξοδα Φιλοξενίας – €</w:t>
            </w:r>
            <w:r w:rsidR="00B017CD" w:rsidRPr="00903F89">
              <w:rPr>
                <w:rFonts w:cs="Arial"/>
                <w:b/>
                <w:bCs/>
                <w:sz w:val="20"/>
                <w:szCs w:val="20"/>
                <w:u w:val="single"/>
              </w:rPr>
              <w:t>1</w:t>
            </w:r>
            <w:r w:rsidR="001B6482" w:rsidRPr="00903F89">
              <w:rPr>
                <w:rFonts w:cs="Arial"/>
                <w:b/>
                <w:bCs/>
                <w:sz w:val="20"/>
                <w:szCs w:val="20"/>
                <w:u w:val="single"/>
              </w:rPr>
              <w:t>2</w:t>
            </w:r>
            <w:r w:rsidR="00176DD5" w:rsidRPr="00903F89">
              <w:rPr>
                <w:rFonts w:cs="Arial"/>
                <w:b/>
                <w:bCs/>
                <w:sz w:val="20"/>
                <w:szCs w:val="20"/>
                <w:u w:val="single"/>
              </w:rPr>
              <w:t>8.</w:t>
            </w:r>
            <w:r w:rsidR="007555CD" w:rsidRPr="00903F89">
              <w:rPr>
                <w:rFonts w:cs="Arial"/>
                <w:b/>
                <w:bCs/>
                <w:sz w:val="20"/>
                <w:szCs w:val="20"/>
                <w:u w:val="single"/>
              </w:rPr>
              <w:t>450</w:t>
            </w:r>
          </w:p>
        </w:tc>
      </w:tr>
      <w:tr w:rsidR="00492B85" w:rsidRPr="00903F89" w14:paraId="4F6A093B" w14:textId="77777777" w:rsidTr="00AD5278">
        <w:trPr>
          <w:trHeight w:val="80"/>
        </w:trPr>
        <w:tc>
          <w:tcPr>
            <w:tcW w:w="2870" w:type="dxa"/>
          </w:tcPr>
          <w:p w14:paraId="79200FBD" w14:textId="77777777" w:rsidR="008F763E" w:rsidRPr="00903F89" w:rsidRDefault="008F763E" w:rsidP="00903F89">
            <w:pPr>
              <w:jc w:val="both"/>
              <w:rPr>
                <w:rFonts w:cs="Arial"/>
                <w:b/>
                <w:sz w:val="20"/>
                <w:szCs w:val="20"/>
                <w:u w:val="single"/>
              </w:rPr>
            </w:pPr>
          </w:p>
        </w:tc>
        <w:tc>
          <w:tcPr>
            <w:tcW w:w="3865" w:type="dxa"/>
          </w:tcPr>
          <w:p w14:paraId="5E08ADCF" w14:textId="77777777" w:rsidR="008F763E" w:rsidRPr="00903F89" w:rsidRDefault="008F763E" w:rsidP="00903F89">
            <w:pPr>
              <w:jc w:val="both"/>
              <w:rPr>
                <w:rFonts w:cs="Arial"/>
                <w:sz w:val="20"/>
                <w:szCs w:val="20"/>
              </w:rPr>
            </w:pPr>
          </w:p>
        </w:tc>
        <w:tc>
          <w:tcPr>
            <w:tcW w:w="3803" w:type="dxa"/>
          </w:tcPr>
          <w:p w14:paraId="0E00CAA0" w14:textId="77777777" w:rsidR="008F763E" w:rsidRPr="00903F89" w:rsidRDefault="008F763E" w:rsidP="00903F89">
            <w:pPr>
              <w:jc w:val="both"/>
              <w:rPr>
                <w:rFonts w:cs="Arial"/>
                <w:sz w:val="20"/>
                <w:szCs w:val="20"/>
              </w:rPr>
            </w:pPr>
          </w:p>
        </w:tc>
      </w:tr>
      <w:tr w:rsidR="00492B85" w:rsidRPr="00903F89" w14:paraId="05BCC53C" w14:textId="77777777" w:rsidTr="00AD5278">
        <w:tc>
          <w:tcPr>
            <w:tcW w:w="10538" w:type="dxa"/>
            <w:gridSpan w:val="3"/>
          </w:tcPr>
          <w:p w14:paraId="64ED7C0C" w14:textId="400FB742" w:rsidR="008F763E" w:rsidRPr="00903F89" w:rsidRDefault="045AFEAA" w:rsidP="00903F89">
            <w:pPr>
              <w:jc w:val="both"/>
              <w:rPr>
                <w:rFonts w:eastAsia="Arial" w:cs="Arial"/>
                <w:b/>
                <w:bCs/>
                <w:sz w:val="20"/>
                <w:szCs w:val="20"/>
                <w:u w:val="single"/>
              </w:rPr>
            </w:pPr>
            <w:r w:rsidRPr="00903F89">
              <w:rPr>
                <w:rFonts w:cs="Arial"/>
                <w:sz w:val="20"/>
                <w:szCs w:val="20"/>
              </w:rPr>
              <w:t xml:space="preserve">Το ποσό προορίζεται να καλύψει έξοδα φιλοξενίας του Συμβουλίου, της Συγκλήτου, των Πρυτανικών Αρχών, των Σχολών, των Τμημάτων, των Ερευνητικών Μονάδων και άλλων ακαδημαϊκών οργανωτικών οντοτήτων, καθώς και έξοδα από τη συμμετοχή των μελών της πανεπιστημιακής κοινότητας σε διάφορες εκδηλώσεις. Δαπάνες φιλοξενίας που αφορούν φαγητό και ποτό σε εστιατόρια, αποζημιώνονται βάσει σχετικών εγκυκλίων. </w:t>
            </w:r>
          </w:p>
        </w:tc>
      </w:tr>
      <w:tr w:rsidR="0033719E" w:rsidRPr="00903F89" w14:paraId="1D157D16" w14:textId="77777777" w:rsidTr="00AD5278">
        <w:tc>
          <w:tcPr>
            <w:tcW w:w="10538" w:type="dxa"/>
            <w:gridSpan w:val="3"/>
          </w:tcPr>
          <w:p w14:paraId="6DC0EB73" w14:textId="77777777" w:rsidR="0033719E" w:rsidRPr="00903F89" w:rsidRDefault="0033719E" w:rsidP="00903F89">
            <w:pPr>
              <w:jc w:val="both"/>
              <w:rPr>
                <w:rFonts w:cs="Arial"/>
                <w:sz w:val="20"/>
                <w:szCs w:val="20"/>
              </w:rPr>
            </w:pPr>
          </w:p>
        </w:tc>
      </w:tr>
      <w:tr w:rsidR="0033719E" w:rsidRPr="00903F89" w14:paraId="40D78B41" w14:textId="77777777" w:rsidTr="00AD5278">
        <w:tc>
          <w:tcPr>
            <w:tcW w:w="10538" w:type="dxa"/>
            <w:gridSpan w:val="3"/>
            <w:shd w:val="clear" w:color="auto" w:fill="auto"/>
          </w:tcPr>
          <w:p w14:paraId="682DD1D3" w14:textId="786C4262" w:rsidR="0033719E" w:rsidRPr="00903F89" w:rsidRDefault="0033719E" w:rsidP="00903F89">
            <w:pPr>
              <w:jc w:val="both"/>
              <w:rPr>
                <w:rFonts w:cs="Arial"/>
                <w:sz w:val="20"/>
                <w:szCs w:val="20"/>
              </w:rPr>
            </w:pPr>
            <w:r w:rsidRPr="00903F89">
              <w:rPr>
                <w:rFonts w:eastAsia="Arial" w:cs="Arial"/>
                <w:sz w:val="20"/>
                <w:szCs w:val="20"/>
              </w:rPr>
              <w:t>Επίσης, πρόνοια προορίζεται να καλύψει δαπάνες του Συμβουλίου Αθλητισμού, του Κέντρου Διδασκαλίας και Μάθησης, του Κέντρου Επιχειρηματικότητας, του Ινστιτούτου Κομφούκιος</w:t>
            </w:r>
            <w:r w:rsidR="00D37576" w:rsidRPr="00903F89">
              <w:rPr>
                <w:rFonts w:eastAsia="Arial" w:cs="Arial"/>
                <w:sz w:val="20"/>
                <w:szCs w:val="20"/>
              </w:rPr>
              <w:t xml:space="preserve"> </w:t>
            </w:r>
            <w:r w:rsidRPr="00903F89">
              <w:rPr>
                <w:rFonts w:eastAsia="Arial" w:cs="Arial"/>
                <w:sz w:val="20"/>
                <w:szCs w:val="20"/>
              </w:rPr>
              <w:t>και του</w:t>
            </w:r>
            <w:r w:rsidRPr="00903F89">
              <w:rPr>
                <w:rFonts w:cs="Arial"/>
                <w:sz w:val="20"/>
                <w:szCs w:val="20"/>
              </w:rPr>
              <w:t xml:space="preserve"> </w:t>
            </w:r>
            <w:r w:rsidRPr="00903F89">
              <w:rPr>
                <w:rFonts w:eastAsia="Arial" w:cs="Arial"/>
                <w:sz w:val="20"/>
                <w:szCs w:val="20"/>
              </w:rPr>
              <w:t>Προγράμματος  Παιδαγωγικής Κατάρτισης Υποψηφίων Εκπαιδευτικών Λειτουργών Μέσης Γενικής και Μέσης Τεχνικής και Επαγγελματικής Εκπαίδευσης.</w:t>
            </w:r>
          </w:p>
        </w:tc>
      </w:tr>
      <w:tr w:rsidR="0029523F" w:rsidRPr="00903F89" w14:paraId="408D53EC" w14:textId="77777777" w:rsidTr="00AD5278">
        <w:tc>
          <w:tcPr>
            <w:tcW w:w="10538" w:type="dxa"/>
            <w:gridSpan w:val="3"/>
            <w:shd w:val="clear" w:color="auto" w:fill="auto"/>
          </w:tcPr>
          <w:p w14:paraId="6E68ABA2" w14:textId="77777777" w:rsidR="0029523F" w:rsidRPr="00903F89" w:rsidRDefault="0029523F" w:rsidP="00903F89">
            <w:pPr>
              <w:jc w:val="both"/>
              <w:rPr>
                <w:rFonts w:eastAsia="Arial" w:cs="Arial"/>
                <w:sz w:val="20"/>
                <w:szCs w:val="20"/>
              </w:rPr>
            </w:pPr>
          </w:p>
        </w:tc>
      </w:tr>
      <w:tr w:rsidR="0029523F" w:rsidRPr="00903F89" w14:paraId="15573AFD" w14:textId="77777777" w:rsidTr="00AD5278">
        <w:tc>
          <w:tcPr>
            <w:tcW w:w="10538" w:type="dxa"/>
            <w:gridSpan w:val="3"/>
            <w:shd w:val="clear" w:color="auto" w:fill="auto"/>
          </w:tcPr>
          <w:p w14:paraId="5C21BCDC" w14:textId="1533E42A" w:rsidR="0029523F" w:rsidRPr="00903F89" w:rsidRDefault="004B63E5" w:rsidP="00903F89">
            <w:pPr>
              <w:jc w:val="both"/>
              <w:rPr>
                <w:rFonts w:eastAsia="Arial" w:cs="Arial"/>
                <w:sz w:val="20"/>
                <w:szCs w:val="20"/>
              </w:rPr>
            </w:pPr>
            <w:r w:rsidRPr="00903F89">
              <w:rPr>
                <w:rFonts w:eastAsia="Arial" w:cs="Arial"/>
                <w:sz w:val="20"/>
                <w:szCs w:val="20"/>
              </w:rPr>
              <w:t xml:space="preserve">Διευκρινίζεται ότι η πρόνοια του άρθρου δύναται να καλύψει δαπάνες </w:t>
            </w:r>
            <w:r w:rsidR="003D0B23" w:rsidRPr="00903F89">
              <w:rPr>
                <w:rFonts w:eastAsia="Arial" w:cs="Arial"/>
                <w:sz w:val="20"/>
                <w:szCs w:val="20"/>
              </w:rPr>
              <w:t>ύψους</w:t>
            </w:r>
            <w:r w:rsidR="00EF4921" w:rsidRPr="00903F89">
              <w:rPr>
                <w:rFonts w:eastAsia="Arial" w:cs="Arial"/>
                <w:sz w:val="20"/>
                <w:szCs w:val="20"/>
              </w:rPr>
              <w:t xml:space="preserve"> μέχρι</w:t>
            </w:r>
            <w:r w:rsidR="003D0B23" w:rsidRPr="00903F89">
              <w:rPr>
                <w:rFonts w:eastAsia="Arial" w:cs="Arial"/>
                <w:sz w:val="20"/>
                <w:szCs w:val="20"/>
              </w:rPr>
              <w:t xml:space="preserve"> €2.850 </w:t>
            </w:r>
            <w:r w:rsidR="00EF4921" w:rsidRPr="00903F89">
              <w:rPr>
                <w:rFonts w:eastAsia="Arial" w:cs="Arial"/>
                <w:sz w:val="20"/>
                <w:szCs w:val="20"/>
              </w:rPr>
              <w:t xml:space="preserve">(€150 ανά Σχολή και €75 ανά Τμήμα), </w:t>
            </w:r>
            <w:r w:rsidR="0029523F" w:rsidRPr="00903F89">
              <w:rPr>
                <w:rFonts w:eastAsia="Arial" w:cs="Arial"/>
                <w:sz w:val="20"/>
                <w:szCs w:val="20"/>
              </w:rPr>
              <w:t xml:space="preserve">για το κόψιμο </w:t>
            </w:r>
            <w:r w:rsidR="00EF4921" w:rsidRPr="00903F89">
              <w:rPr>
                <w:rFonts w:eastAsia="Arial" w:cs="Arial"/>
                <w:sz w:val="20"/>
                <w:szCs w:val="20"/>
              </w:rPr>
              <w:t>β</w:t>
            </w:r>
            <w:r w:rsidR="0029523F" w:rsidRPr="00903F89">
              <w:rPr>
                <w:rFonts w:eastAsia="Arial" w:cs="Arial"/>
                <w:sz w:val="20"/>
                <w:szCs w:val="20"/>
              </w:rPr>
              <w:t xml:space="preserve">ασιλόπιττας, από έσοδα εκτός κρατικής χορηγίας και συγκεκριμένα από το ποσό που </w:t>
            </w:r>
            <w:r w:rsidR="002D53B7" w:rsidRPr="00903F89">
              <w:rPr>
                <w:rFonts w:eastAsia="Arial" w:cs="Arial"/>
                <w:sz w:val="20"/>
                <w:szCs w:val="20"/>
              </w:rPr>
              <w:t xml:space="preserve">εκχωρεί το </w:t>
            </w:r>
            <w:r w:rsidR="00AB7246" w:rsidRPr="00903F89">
              <w:rPr>
                <w:rFonts w:eastAsia="Arial" w:cs="Arial"/>
                <w:sz w:val="20"/>
                <w:szCs w:val="20"/>
              </w:rPr>
              <w:t xml:space="preserve">Συμβούλιο </w:t>
            </w:r>
            <w:r w:rsidR="0029523F" w:rsidRPr="00903F89">
              <w:rPr>
                <w:rFonts w:eastAsia="Arial" w:cs="Arial"/>
                <w:sz w:val="20"/>
                <w:szCs w:val="20"/>
              </w:rPr>
              <w:t xml:space="preserve">ετησίως στο </w:t>
            </w:r>
            <w:r w:rsidR="002D53B7" w:rsidRPr="00903F89">
              <w:rPr>
                <w:rFonts w:eastAsia="Arial" w:cs="Arial"/>
                <w:sz w:val="20"/>
                <w:szCs w:val="20"/>
              </w:rPr>
              <w:t>Π</w:t>
            </w:r>
            <w:r w:rsidR="0029523F" w:rsidRPr="00903F89">
              <w:rPr>
                <w:rFonts w:eastAsia="Arial" w:cs="Arial"/>
                <w:sz w:val="20"/>
                <w:szCs w:val="20"/>
              </w:rPr>
              <w:t xml:space="preserve">ρυτανικό </w:t>
            </w:r>
            <w:r w:rsidR="002D53B7" w:rsidRPr="00903F89">
              <w:rPr>
                <w:rFonts w:eastAsia="Arial" w:cs="Arial"/>
                <w:sz w:val="20"/>
                <w:szCs w:val="20"/>
              </w:rPr>
              <w:t>Σ</w:t>
            </w:r>
            <w:r w:rsidR="0029523F" w:rsidRPr="00903F89">
              <w:rPr>
                <w:rFonts w:eastAsia="Arial" w:cs="Arial"/>
                <w:sz w:val="20"/>
                <w:szCs w:val="20"/>
              </w:rPr>
              <w:t>υμβούλιο για χειρισμό.</w:t>
            </w:r>
          </w:p>
        </w:tc>
      </w:tr>
      <w:tr w:rsidR="00492B85" w:rsidRPr="00903F89" w14:paraId="4B761B0F" w14:textId="77777777" w:rsidTr="00AD5278">
        <w:tc>
          <w:tcPr>
            <w:tcW w:w="2870" w:type="dxa"/>
          </w:tcPr>
          <w:p w14:paraId="7689FF0E" w14:textId="77777777" w:rsidR="008F763E" w:rsidRPr="00903F89" w:rsidRDefault="008F763E" w:rsidP="00903F89">
            <w:pPr>
              <w:jc w:val="both"/>
              <w:rPr>
                <w:rFonts w:cs="Arial"/>
                <w:b/>
                <w:sz w:val="20"/>
                <w:szCs w:val="20"/>
                <w:u w:val="single"/>
              </w:rPr>
            </w:pPr>
          </w:p>
        </w:tc>
        <w:tc>
          <w:tcPr>
            <w:tcW w:w="3865" w:type="dxa"/>
          </w:tcPr>
          <w:p w14:paraId="270AC475" w14:textId="77777777" w:rsidR="008F763E" w:rsidRPr="00903F89" w:rsidRDefault="008F763E" w:rsidP="00903F89">
            <w:pPr>
              <w:jc w:val="both"/>
              <w:rPr>
                <w:rFonts w:cs="Arial"/>
                <w:sz w:val="20"/>
                <w:szCs w:val="20"/>
              </w:rPr>
            </w:pPr>
          </w:p>
        </w:tc>
        <w:tc>
          <w:tcPr>
            <w:tcW w:w="3803" w:type="dxa"/>
          </w:tcPr>
          <w:p w14:paraId="631F8675" w14:textId="77777777" w:rsidR="008F763E" w:rsidRPr="00903F89" w:rsidRDefault="008F763E" w:rsidP="00903F89">
            <w:pPr>
              <w:jc w:val="both"/>
              <w:rPr>
                <w:rFonts w:cs="Arial"/>
                <w:b/>
                <w:sz w:val="20"/>
                <w:szCs w:val="20"/>
                <w:u w:val="single"/>
              </w:rPr>
            </w:pPr>
          </w:p>
        </w:tc>
      </w:tr>
      <w:tr w:rsidR="00492B85" w:rsidRPr="00903F89" w14:paraId="07F9186A" w14:textId="77777777" w:rsidTr="00AD5278">
        <w:tc>
          <w:tcPr>
            <w:tcW w:w="10538" w:type="dxa"/>
            <w:gridSpan w:val="3"/>
          </w:tcPr>
          <w:p w14:paraId="55F736AB" w14:textId="486F1B34" w:rsidR="008F763E" w:rsidRPr="00903F89" w:rsidRDefault="00B64187" w:rsidP="00903F89">
            <w:pPr>
              <w:jc w:val="both"/>
              <w:rPr>
                <w:rFonts w:eastAsia="Arial" w:cs="Arial"/>
                <w:b/>
                <w:bCs/>
                <w:sz w:val="20"/>
                <w:szCs w:val="20"/>
                <w:u w:val="single"/>
              </w:rPr>
            </w:pPr>
            <w:r w:rsidRPr="00903F89">
              <w:rPr>
                <w:rFonts w:cs="Arial"/>
                <w:sz w:val="20"/>
                <w:szCs w:val="20"/>
              </w:rPr>
              <w:t xml:space="preserve">Η πρόνοια δύναται να καλύψει δαπάνες </w:t>
            </w:r>
            <w:r w:rsidR="009F4571" w:rsidRPr="00903F89">
              <w:rPr>
                <w:rFonts w:cs="Arial"/>
                <w:sz w:val="20"/>
                <w:szCs w:val="20"/>
              </w:rPr>
              <w:t>ύψους μέχρι €2.000 ετησίως, το οποίο μπορεί να διαθέ</w:t>
            </w:r>
            <w:r w:rsidRPr="00903F89">
              <w:rPr>
                <w:rFonts w:cs="Arial"/>
                <w:sz w:val="20"/>
                <w:szCs w:val="20"/>
              </w:rPr>
              <w:t xml:space="preserve">σει ο Πρύτανης </w:t>
            </w:r>
            <w:r w:rsidR="009F4571" w:rsidRPr="00903F89">
              <w:rPr>
                <w:rFonts w:cs="Arial"/>
                <w:sz w:val="20"/>
                <w:szCs w:val="20"/>
              </w:rPr>
              <w:t>κατά την κρίση του για κάλυψη δαπανών σε εστ</w:t>
            </w:r>
            <w:r w:rsidR="0033719E" w:rsidRPr="00903F89">
              <w:rPr>
                <w:rFonts w:cs="Arial"/>
                <w:sz w:val="20"/>
                <w:szCs w:val="20"/>
              </w:rPr>
              <w:t>ιατόρια</w:t>
            </w:r>
            <w:r w:rsidRPr="00903F89">
              <w:rPr>
                <w:rFonts w:cs="Arial"/>
                <w:sz w:val="20"/>
                <w:szCs w:val="20"/>
              </w:rPr>
              <w:t xml:space="preserve"> (Απόφαση Συμβουλίου, Συνεδρία Αρ. 7/2016, ημερ. 09/05/2016).  </w:t>
            </w:r>
            <w:r w:rsidR="045AFEAA" w:rsidRPr="00903F89">
              <w:rPr>
                <w:rFonts w:cs="Arial"/>
                <w:sz w:val="20"/>
                <w:szCs w:val="20"/>
              </w:rPr>
              <w:t>Στα έξοδα φιλοξενίας που κατανέμονται στις Κοσμητείες των Σχολών περιλαμβάνεται και πρόνοια η οποία προορίζεται για κάλυψη εξόδων φιλοξενίας στις τελετές απονομής βραβείων</w:t>
            </w:r>
            <w:r w:rsidRPr="00903F89">
              <w:rPr>
                <w:rFonts w:cs="Arial"/>
                <w:sz w:val="20"/>
                <w:szCs w:val="20"/>
              </w:rPr>
              <w:t>.</w:t>
            </w:r>
          </w:p>
        </w:tc>
      </w:tr>
      <w:tr w:rsidR="00492B85" w:rsidRPr="00903F89" w14:paraId="41B4BEC4" w14:textId="77777777" w:rsidTr="00AD5278">
        <w:tc>
          <w:tcPr>
            <w:tcW w:w="2870" w:type="dxa"/>
          </w:tcPr>
          <w:p w14:paraId="4A4F5E5E" w14:textId="77777777" w:rsidR="008F763E" w:rsidRPr="00903F89" w:rsidRDefault="008F763E" w:rsidP="00903F89">
            <w:pPr>
              <w:jc w:val="both"/>
              <w:rPr>
                <w:rFonts w:cs="Arial"/>
                <w:b/>
                <w:sz w:val="20"/>
                <w:szCs w:val="20"/>
                <w:u w:val="single"/>
              </w:rPr>
            </w:pPr>
          </w:p>
        </w:tc>
        <w:tc>
          <w:tcPr>
            <w:tcW w:w="3865" w:type="dxa"/>
          </w:tcPr>
          <w:p w14:paraId="61E41264" w14:textId="77777777" w:rsidR="008F763E" w:rsidRPr="00903F89" w:rsidRDefault="008F763E" w:rsidP="00903F89">
            <w:pPr>
              <w:jc w:val="both"/>
              <w:rPr>
                <w:rFonts w:cs="Arial"/>
                <w:sz w:val="20"/>
                <w:szCs w:val="20"/>
              </w:rPr>
            </w:pPr>
          </w:p>
        </w:tc>
        <w:tc>
          <w:tcPr>
            <w:tcW w:w="3803" w:type="dxa"/>
          </w:tcPr>
          <w:p w14:paraId="05A262CB" w14:textId="77777777" w:rsidR="008F763E" w:rsidRPr="00903F89" w:rsidRDefault="008F763E" w:rsidP="00903F89">
            <w:pPr>
              <w:jc w:val="both"/>
              <w:rPr>
                <w:rFonts w:cs="Arial"/>
                <w:b/>
                <w:sz w:val="20"/>
                <w:szCs w:val="20"/>
                <w:u w:val="single"/>
              </w:rPr>
            </w:pPr>
          </w:p>
        </w:tc>
      </w:tr>
      <w:tr w:rsidR="00492B85" w:rsidRPr="00903F89" w14:paraId="72F3FDE4" w14:textId="77777777" w:rsidTr="00AD5278">
        <w:tc>
          <w:tcPr>
            <w:tcW w:w="10538" w:type="dxa"/>
            <w:gridSpan w:val="3"/>
          </w:tcPr>
          <w:p w14:paraId="2793FA3F" w14:textId="36A4B7AD" w:rsidR="008F763E" w:rsidRPr="00903F89" w:rsidRDefault="045AFEAA" w:rsidP="00903F89">
            <w:pPr>
              <w:jc w:val="both"/>
              <w:rPr>
                <w:rFonts w:eastAsia="Arial" w:cs="Arial"/>
                <w:b/>
                <w:bCs/>
                <w:sz w:val="20"/>
                <w:szCs w:val="20"/>
                <w:u w:val="single"/>
              </w:rPr>
            </w:pPr>
            <w:r w:rsidRPr="00903F89">
              <w:rPr>
                <w:rFonts w:cs="Arial"/>
                <w:sz w:val="20"/>
                <w:szCs w:val="20"/>
              </w:rPr>
              <w:t xml:space="preserve">Τα </w:t>
            </w:r>
            <w:r w:rsidR="00AA5275" w:rsidRPr="00AA5275">
              <w:rPr>
                <w:rFonts w:cs="Arial"/>
                <w:sz w:val="20"/>
                <w:szCs w:val="20"/>
              </w:rPr>
              <w:t xml:space="preserve">έξοδα φιλοξενίας των Διοικητικών Υπηρεσιών και του Διευθυντή Διοίκησης και Οικονομικών [για έξοδα φιλοξενίας τα οποία δεν καλύπτονται από το </w:t>
            </w:r>
            <w:proofErr w:type="spellStart"/>
            <w:r w:rsidR="00AA5275" w:rsidRPr="00AA5275">
              <w:rPr>
                <w:rFonts w:cs="Arial"/>
                <w:sz w:val="20"/>
                <w:szCs w:val="20"/>
              </w:rPr>
              <w:t>κατ</w:t>
            </w:r>
            <w:proofErr w:type="spellEnd"/>
            <w:r w:rsidR="00AA5275" w:rsidRPr="00AA5275">
              <w:rPr>
                <w:rFonts w:cs="Arial"/>
                <w:sz w:val="20"/>
                <w:szCs w:val="20"/>
              </w:rPr>
              <w:t xml:space="preserve">΄ </w:t>
            </w:r>
            <w:proofErr w:type="spellStart"/>
            <w:r w:rsidR="00AA5275" w:rsidRPr="00AA5275">
              <w:rPr>
                <w:rFonts w:cs="Arial"/>
                <w:sz w:val="20"/>
                <w:szCs w:val="20"/>
              </w:rPr>
              <w:t>αποκοπήν</w:t>
            </w:r>
            <w:proofErr w:type="spellEnd"/>
            <w:r w:rsidR="00AA5275" w:rsidRPr="00AA5275">
              <w:rPr>
                <w:rFonts w:cs="Arial"/>
                <w:sz w:val="20"/>
                <w:szCs w:val="20"/>
              </w:rPr>
              <w:t xml:space="preserve"> επίδομα φιλοξενίας που παραχωρείται σε αυτόν έναντι της πρόνοιας του Άρθρου 12-123 «Επιδόματα Διευθυντή Διοίκησης και Οικονομικών (π.χ. Φιλοξενίας, Οδοιπορικών, κ.ά.)]</w:t>
            </w:r>
            <w:r w:rsidR="00AA5275">
              <w:rPr>
                <w:rFonts w:cs="Arial"/>
                <w:sz w:val="20"/>
                <w:szCs w:val="20"/>
              </w:rPr>
              <w:t>,</w:t>
            </w:r>
            <w:r w:rsidR="00AA5275" w:rsidRPr="00AA5275">
              <w:rPr>
                <w:rFonts w:cs="Arial"/>
                <w:sz w:val="20"/>
                <w:szCs w:val="20"/>
              </w:rPr>
              <w:t xml:space="preserve">  </w:t>
            </w:r>
            <w:r w:rsidRPr="00903F89">
              <w:rPr>
                <w:rFonts w:cs="Arial"/>
                <w:sz w:val="20"/>
                <w:szCs w:val="20"/>
              </w:rPr>
              <w:t xml:space="preserve">καλύπτονται στο πλαίσιο του Άρθρου </w:t>
            </w:r>
            <w:r w:rsidR="0007111E" w:rsidRPr="00903F89">
              <w:rPr>
                <w:rFonts w:cs="Arial"/>
                <w:sz w:val="20"/>
                <w:szCs w:val="20"/>
              </w:rPr>
              <w:t>306 «Έξοδα Φιλοξενίας Διοικητικών Υπηρεσιών».</w:t>
            </w:r>
          </w:p>
        </w:tc>
      </w:tr>
      <w:tr w:rsidR="00492B85" w:rsidRPr="00903F89" w14:paraId="48BADD2B" w14:textId="77777777" w:rsidTr="00AD5278">
        <w:tc>
          <w:tcPr>
            <w:tcW w:w="2870" w:type="dxa"/>
          </w:tcPr>
          <w:p w14:paraId="134E070C" w14:textId="77777777" w:rsidR="008F763E" w:rsidRPr="00903F89" w:rsidRDefault="008F763E" w:rsidP="00903F89">
            <w:pPr>
              <w:jc w:val="both"/>
              <w:rPr>
                <w:rFonts w:cs="Arial"/>
                <w:b/>
                <w:sz w:val="20"/>
                <w:szCs w:val="20"/>
                <w:u w:val="single"/>
              </w:rPr>
            </w:pPr>
          </w:p>
        </w:tc>
        <w:tc>
          <w:tcPr>
            <w:tcW w:w="3865" w:type="dxa"/>
          </w:tcPr>
          <w:p w14:paraId="33711181" w14:textId="77777777" w:rsidR="008F763E" w:rsidRPr="00903F89" w:rsidRDefault="008F763E" w:rsidP="00903F89">
            <w:pPr>
              <w:jc w:val="both"/>
              <w:rPr>
                <w:rFonts w:cs="Arial"/>
                <w:sz w:val="20"/>
                <w:szCs w:val="20"/>
              </w:rPr>
            </w:pPr>
          </w:p>
        </w:tc>
        <w:tc>
          <w:tcPr>
            <w:tcW w:w="3803" w:type="dxa"/>
          </w:tcPr>
          <w:p w14:paraId="13B959E8" w14:textId="77777777" w:rsidR="008F763E" w:rsidRPr="00903F89" w:rsidRDefault="008F763E" w:rsidP="00903F89">
            <w:pPr>
              <w:jc w:val="both"/>
              <w:rPr>
                <w:rFonts w:cs="Arial"/>
                <w:b/>
                <w:sz w:val="20"/>
                <w:szCs w:val="20"/>
                <w:u w:val="single"/>
              </w:rPr>
            </w:pPr>
          </w:p>
        </w:tc>
      </w:tr>
      <w:tr w:rsidR="00492B85" w:rsidRPr="00903F89" w14:paraId="1FDEA55A" w14:textId="77777777" w:rsidTr="00AD5278">
        <w:tc>
          <w:tcPr>
            <w:tcW w:w="10538" w:type="dxa"/>
            <w:gridSpan w:val="3"/>
          </w:tcPr>
          <w:p w14:paraId="4FF90917" w14:textId="58834D94" w:rsidR="00AF6896" w:rsidRPr="00903F89" w:rsidRDefault="045AFEAA" w:rsidP="00903F89">
            <w:pPr>
              <w:jc w:val="both"/>
              <w:rPr>
                <w:rFonts w:cs="Arial"/>
                <w:sz w:val="20"/>
                <w:szCs w:val="20"/>
              </w:rPr>
            </w:pPr>
            <w:r w:rsidRPr="00903F89">
              <w:rPr>
                <w:rFonts w:cs="Arial"/>
                <w:sz w:val="20"/>
                <w:szCs w:val="20"/>
              </w:rPr>
              <w:t xml:space="preserve">Πρόνοια προορίζεται να καλύψει σχετικές δαπάνες για την ανάπτυξη της Ιατρικής Σχολής.  Η πρόνοια θα καλύψει δαπάνες που απορρέουν και από δραστηριότητες/εκδηλώσεις των οργανωτικών οντοτήτων για ενδυνάμωση των σχέσεων τους (συμπεριλαμβανομένων και των δαπανών των Αυτοχρηματοδοτούμενων Μεταπτυχιακών Προγραμμάτων) με τον επιχειρηματικό κόσμο και οι οποίες χρηματοδοτούνται από έσοδα της δραστηριοποίησης των Σχολών/ Τμημάτων. </w:t>
            </w:r>
          </w:p>
        </w:tc>
      </w:tr>
      <w:tr w:rsidR="00492B85" w:rsidRPr="00903F89" w14:paraId="5A6A308F" w14:textId="77777777" w:rsidTr="00AD5278">
        <w:tc>
          <w:tcPr>
            <w:tcW w:w="10538" w:type="dxa"/>
            <w:gridSpan w:val="3"/>
          </w:tcPr>
          <w:p w14:paraId="599F96D4" w14:textId="10B8B40A" w:rsidR="002417AA" w:rsidRPr="00903F89" w:rsidRDefault="002417AA" w:rsidP="00903F89">
            <w:pPr>
              <w:jc w:val="both"/>
              <w:rPr>
                <w:rFonts w:cs="Arial"/>
                <w:sz w:val="20"/>
                <w:szCs w:val="20"/>
              </w:rPr>
            </w:pPr>
          </w:p>
        </w:tc>
      </w:tr>
      <w:tr w:rsidR="0007111E" w:rsidRPr="00903F89" w14:paraId="300A0B9B" w14:textId="77777777" w:rsidTr="00AD5278">
        <w:tc>
          <w:tcPr>
            <w:tcW w:w="10538" w:type="dxa"/>
            <w:gridSpan w:val="3"/>
          </w:tcPr>
          <w:p w14:paraId="23452E32" w14:textId="42D0AD6F" w:rsidR="0007111E" w:rsidRPr="00903F89" w:rsidRDefault="0007111E" w:rsidP="00903F89">
            <w:pPr>
              <w:jc w:val="both"/>
              <w:rPr>
                <w:rFonts w:cs="Arial"/>
                <w:sz w:val="20"/>
                <w:szCs w:val="20"/>
              </w:rPr>
            </w:pPr>
            <w:r w:rsidRPr="00903F89">
              <w:rPr>
                <w:rFonts w:cs="Arial"/>
                <w:b/>
                <w:bCs/>
                <w:sz w:val="20"/>
                <w:szCs w:val="20"/>
                <w:u w:val="single"/>
              </w:rPr>
              <w:t>Άρθρο 306 – Έξοδα Φιλοξενίας Διοικητικών Υπηρεσιών– €13.900</w:t>
            </w:r>
          </w:p>
        </w:tc>
      </w:tr>
      <w:tr w:rsidR="0007111E" w:rsidRPr="00903F89" w14:paraId="0DF263C8" w14:textId="77777777" w:rsidTr="00AD5278">
        <w:tc>
          <w:tcPr>
            <w:tcW w:w="10538" w:type="dxa"/>
            <w:gridSpan w:val="3"/>
          </w:tcPr>
          <w:p w14:paraId="3658F66C" w14:textId="77777777" w:rsidR="0007111E" w:rsidRPr="00903F89" w:rsidRDefault="0007111E" w:rsidP="00903F89">
            <w:pPr>
              <w:jc w:val="both"/>
              <w:rPr>
                <w:rFonts w:cs="Arial"/>
                <w:b/>
                <w:bCs/>
                <w:sz w:val="20"/>
                <w:szCs w:val="20"/>
                <w:u w:val="single"/>
              </w:rPr>
            </w:pPr>
          </w:p>
        </w:tc>
      </w:tr>
      <w:tr w:rsidR="00903F89" w:rsidRPr="00903F89" w14:paraId="6E0A799A" w14:textId="77777777" w:rsidTr="00380448">
        <w:tc>
          <w:tcPr>
            <w:tcW w:w="10538" w:type="dxa"/>
            <w:gridSpan w:val="3"/>
            <w:shd w:val="clear" w:color="auto" w:fill="auto"/>
          </w:tcPr>
          <w:p w14:paraId="5DC873AC" w14:textId="06BEC887" w:rsidR="0007111E" w:rsidRPr="00903F89" w:rsidRDefault="00686014" w:rsidP="00903F89">
            <w:pPr>
              <w:jc w:val="both"/>
              <w:rPr>
                <w:rFonts w:cs="Arial"/>
                <w:bCs/>
                <w:sz w:val="20"/>
                <w:szCs w:val="20"/>
                <w:u w:val="single"/>
              </w:rPr>
            </w:pPr>
            <w:r w:rsidRPr="00686014">
              <w:rPr>
                <w:rFonts w:cs="Arial"/>
                <w:sz w:val="20"/>
                <w:szCs w:val="20"/>
              </w:rPr>
              <w:t xml:space="preserve">Δημιουργία νέου </w:t>
            </w:r>
            <w:r w:rsidR="00160872">
              <w:rPr>
                <w:rFonts w:cs="Arial"/>
                <w:sz w:val="20"/>
                <w:szCs w:val="20"/>
              </w:rPr>
              <w:t>ά</w:t>
            </w:r>
            <w:r w:rsidRPr="00686014">
              <w:rPr>
                <w:rFonts w:cs="Arial"/>
                <w:sz w:val="20"/>
                <w:szCs w:val="20"/>
              </w:rPr>
              <w:t>ρθρου με την ονομασία «Έξοδα Φιλοξενίας Διοικητικών Υπηρεσιών», έναντι κατάργησης του Άρθρου 12-124 «Έξοδα Φιλοξενίας» στην Ομάδα/ Υποομάδα 100/12.</w:t>
            </w:r>
          </w:p>
        </w:tc>
      </w:tr>
      <w:tr w:rsidR="0007111E" w:rsidRPr="00903F89" w14:paraId="22EDA1B5" w14:textId="77777777" w:rsidTr="00AD5278">
        <w:tc>
          <w:tcPr>
            <w:tcW w:w="10538" w:type="dxa"/>
            <w:gridSpan w:val="3"/>
          </w:tcPr>
          <w:p w14:paraId="24A32C77" w14:textId="77777777" w:rsidR="0007111E" w:rsidRPr="00903F89" w:rsidRDefault="0007111E" w:rsidP="00903F89">
            <w:pPr>
              <w:jc w:val="both"/>
              <w:rPr>
                <w:rFonts w:cs="Arial"/>
                <w:bCs/>
                <w:sz w:val="20"/>
                <w:szCs w:val="20"/>
                <w:u w:val="single"/>
              </w:rPr>
            </w:pPr>
          </w:p>
        </w:tc>
      </w:tr>
      <w:tr w:rsidR="0007111E" w:rsidRPr="00903F89" w14:paraId="2CC9363A" w14:textId="77777777" w:rsidTr="00AD5278">
        <w:tc>
          <w:tcPr>
            <w:tcW w:w="10538" w:type="dxa"/>
            <w:gridSpan w:val="3"/>
          </w:tcPr>
          <w:p w14:paraId="32922CB0" w14:textId="7A6FC658" w:rsidR="0007111E" w:rsidRPr="00903F89" w:rsidRDefault="0007111E" w:rsidP="00903F89">
            <w:pPr>
              <w:jc w:val="both"/>
              <w:rPr>
                <w:rFonts w:cs="Arial"/>
                <w:bCs/>
                <w:sz w:val="20"/>
                <w:szCs w:val="20"/>
                <w:u w:val="single"/>
              </w:rPr>
            </w:pPr>
            <w:r w:rsidRPr="00903F89">
              <w:rPr>
                <w:rFonts w:eastAsia="Arial" w:cs="Arial"/>
                <w:sz w:val="20"/>
                <w:szCs w:val="20"/>
              </w:rPr>
              <w:t xml:space="preserve">Το άρθρο αυτό καλύπτει έξοδα φιλοξενίας των Διοικητικών Υπηρεσιών και του Διευθυντή Διοίκησης και Οικονομικών [για έξοδα φιλοξενίας τα οποία δεν καλύπτονται από το </w:t>
            </w:r>
            <w:proofErr w:type="spellStart"/>
            <w:r w:rsidRPr="00903F89">
              <w:rPr>
                <w:rFonts w:eastAsia="Arial" w:cs="Arial"/>
                <w:sz w:val="20"/>
                <w:szCs w:val="20"/>
              </w:rPr>
              <w:t>κατ</w:t>
            </w:r>
            <w:proofErr w:type="spellEnd"/>
            <w:r w:rsidRPr="00903F89">
              <w:rPr>
                <w:rFonts w:eastAsia="Arial" w:cs="Arial"/>
                <w:sz w:val="20"/>
                <w:szCs w:val="20"/>
              </w:rPr>
              <w:t xml:space="preserve">΄ </w:t>
            </w:r>
            <w:proofErr w:type="spellStart"/>
            <w:r w:rsidRPr="00903F89">
              <w:rPr>
                <w:rFonts w:eastAsia="Arial" w:cs="Arial"/>
                <w:sz w:val="20"/>
                <w:szCs w:val="20"/>
              </w:rPr>
              <w:t>αποκοπήν</w:t>
            </w:r>
            <w:proofErr w:type="spellEnd"/>
            <w:r w:rsidRPr="00903F89">
              <w:rPr>
                <w:rFonts w:eastAsia="Arial" w:cs="Arial"/>
                <w:sz w:val="20"/>
                <w:szCs w:val="20"/>
              </w:rPr>
              <w:t xml:space="preserve"> επίδομα φιλοξενίας που παραχωρείται σε αυτόν έναντι της πρόνοιας του Άρθρου 12-123 «Επιδόματα Διευθυντή Διοίκησης και Οικονομικών (π.χ. Φιλοξενίας, Οδοιπορικών, κ.ά.)].  Έξοδα φιλοξενίας του Συμβουλίου του Πανεπιστημίου, της Συγκλήτου, των Πρυτανικών Αρχών και των σχετικών τους Επιτροπών, καλύπτονται από την πρόνοια του Άρθρου 305 «Έξοδα Φιλοξενίας».</w:t>
            </w:r>
          </w:p>
        </w:tc>
      </w:tr>
      <w:tr w:rsidR="0007111E" w:rsidRPr="00903F89" w14:paraId="4E4CB335" w14:textId="77777777" w:rsidTr="005A5204">
        <w:tc>
          <w:tcPr>
            <w:tcW w:w="10538" w:type="dxa"/>
            <w:gridSpan w:val="3"/>
            <w:shd w:val="clear" w:color="auto" w:fill="auto"/>
          </w:tcPr>
          <w:p w14:paraId="5486B14D" w14:textId="77777777" w:rsidR="0007111E" w:rsidRPr="00903F89" w:rsidRDefault="0007111E" w:rsidP="00903F89">
            <w:pPr>
              <w:jc w:val="both"/>
              <w:rPr>
                <w:rFonts w:cs="Arial"/>
                <w:b/>
                <w:bCs/>
                <w:sz w:val="20"/>
                <w:szCs w:val="20"/>
                <w:u w:val="single"/>
              </w:rPr>
            </w:pPr>
          </w:p>
        </w:tc>
      </w:tr>
      <w:tr w:rsidR="0007111E" w:rsidRPr="00903F89" w14:paraId="5A9208E3" w14:textId="77777777" w:rsidTr="005A5204">
        <w:tc>
          <w:tcPr>
            <w:tcW w:w="10538" w:type="dxa"/>
            <w:gridSpan w:val="3"/>
            <w:shd w:val="clear" w:color="auto" w:fill="auto"/>
          </w:tcPr>
          <w:p w14:paraId="1AD78EE8" w14:textId="2D192045" w:rsidR="0007111E" w:rsidRPr="00903F89" w:rsidRDefault="0007111E" w:rsidP="00903F89">
            <w:pPr>
              <w:jc w:val="both"/>
              <w:rPr>
                <w:rFonts w:cs="Arial"/>
                <w:b/>
                <w:bCs/>
                <w:sz w:val="20"/>
                <w:szCs w:val="20"/>
                <w:u w:val="single"/>
              </w:rPr>
            </w:pPr>
            <w:r w:rsidRPr="00903F89">
              <w:rPr>
                <w:rFonts w:eastAsia="Arial" w:cs="Arial"/>
                <w:sz w:val="20"/>
                <w:szCs w:val="20"/>
              </w:rPr>
              <w:t>Συγκεκριμένα το παρόν άρθρο καλύπτει έξοδα φιλοξενίας της Διεύθυνσης Διοίκησης και Οικονομικών (συμπεριλαμβανομένου και του Τομέα Συμβάσεων και Αγορών), της Υπηρεσίας Ανθρώπινου Δυναμικού, της Υπηρεσίας Σπουδών και Φοιτητικής Μέριμνας, της Υπηρεσίας Διεθνών Σχέσεων, της Υπηρεσίας Υποστήριξης Έρευνας, της Υπηρεσίας Πληροφορικών Εφαρμογών, της Υπηρεσίας Πληροφορικής Υποδομής, των Οικονομικών Υπηρεσιών, των Τεχνικών Υπηρεσιών, της Βιβλιοθήκης και της Υπηρεσίας Ανάπτυξης Πανεπιστημίου.  Η πρόνοια του άρθρου καλύπτει επίσης δαπάνες οι οποίες χρηματοδοτούνται αποκλειστικά από έσοδα των οργανωτικών οντοτήτων, όπως της Υπηρεσίας Ονοματοδοσίας (Μητρώο Διαδικτυακών Ονομάτων .CY), ή της Επιχειρησιακής Διεύθυνσης.</w:t>
            </w:r>
          </w:p>
        </w:tc>
      </w:tr>
      <w:tr w:rsidR="0007111E" w:rsidRPr="00903F89" w14:paraId="79D633F0" w14:textId="77777777" w:rsidTr="005A5204">
        <w:tc>
          <w:tcPr>
            <w:tcW w:w="10538" w:type="dxa"/>
            <w:gridSpan w:val="3"/>
            <w:shd w:val="clear" w:color="auto" w:fill="auto"/>
          </w:tcPr>
          <w:p w14:paraId="1FBEE7FA" w14:textId="77777777" w:rsidR="0007111E" w:rsidRPr="00903F89" w:rsidRDefault="0007111E" w:rsidP="00903F89">
            <w:pPr>
              <w:jc w:val="both"/>
              <w:rPr>
                <w:rFonts w:cs="Arial"/>
                <w:b/>
                <w:bCs/>
                <w:sz w:val="20"/>
                <w:szCs w:val="20"/>
                <w:u w:val="single"/>
              </w:rPr>
            </w:pPr>
          </w:p>
        </w:tc>
      </w:tr>
      <w:tr w:rsidR="0007111E" w:rsidRPr="00903F89" w14:paraId="669DC34E" w14:textId="77777777" w:rsidTr="005A5204">
        <w:tc>
          <w:tcPr>
            <w:tcW w:w="10538" w:type="dxa"/>
            <w:gridSpan w:val="3"/>
            <w:shd w:val="clear" w:color="auto" w:fill="auto"/>
          </w:tcPr>
          <w:p w14:paraId="0611740D" w14:textId="37F7CC1C" w:rsidR="0007111E" w:rsidRPr="00903F89" w:rsidRDefault="0007111E" w:rsidP="00903F89">
            <w:pPr>
              <w:jc w:val="both"/>
              <w:rPr>
                <w:rFonts w:cs="Arial"/>
                <w:b/>
                <w:bCs/>
                <w:sz w:val="20"/>
                <w:szCs w:val="20"/>
                <w:u w:val="single"/>
              </w:rPr>
            </w:pPr>
            <w:r w:rsidRPr="00903F89">
              <w:rPr>
                <w:rFonts w:eastAsia="Arial" w:cs="Arial"/>
                <w:sz w:val="20"/>
                <w:szCs w:val="20"/>
              </w:rPr>
              <w:t>Σχετικές δαπάνες του Συμβουλίου Αθλητισμού, του Κέντρου Διδασκαλίας και Μάθησης, του Κέντρου Επιχειρηματικότητας, και του Ινστιτούτου Κομφούκιος, καλύπτονται στο πλαίσιο του Άρθρου 305 «Έξοδα Φιλοξενίας», ως το πλέον κατάλληλο άρθρο.</w:t>
            </w:r>
          </w:p>
        </w:tc>
      </w:tr>
      <w:tr w:rsidR="0007111E" w:rsidRPr="00903F89" w14:paraId="471CCF91" w14:textId="77777777" w:rsidTr="00AD5278">
        <w:tc>
          <w:tcPr>
            <w:tcW w:w="10538" w:type="dxa"/>
            <w:gridSpan w:val="3"/>
          </w:tcPr>
          <w:p w14:paraId="079DADAF" w14:textId="77777777" w:rsidR="0007111E" w:rsidRPr="00903F89" w:rsidRDefault="0007111E" w:rsidP="00903F89">
            <w:pPr>
              <w:jc w:val="both"/>
              <w:rPr>
                <w:rFonts w:cs="Arial"/>
                <w:sz w:val="20"/>
                <w:szCs w:val="20"/>
              </w:rPr>
            </w:pPr>
          </w:p>
        </w:tc>
      </w:tr>
      <w:tr w:rsidR="00492B85" w:rsidRPr="00903F89" w14:paraId="0F1EBEA5" w14:textId="77777777" w:rsidTr="00AD5278">
        <w:tc>
          <w:tcPr>
            <w:tcW w:w="10538" w:type="dxa"/>
            <w:gridSpan w:val="3"/>
          </w:tcPr>
          <w:p w14:paraId="0A2A2D76" w14:textId="15F13550" w:rsidR="008F763E" w:rsidRPr="00903F89" w:rsidRDefault="00D37576" w:rsidP="00903F89">
            <w:pPr>
              <w:jc w:val="both"/>
              <w:rPr>
                <w:rFonts w:eastAsia="Arial" w:cs="Arial"/>
                <w:sz w:val="20"/>
                <w:szCs w:val="20"/>
              </w:rPr>
            </w:pPr>
            <w:bookmarkStart w:id="38" w:name="_Hlk46911707"/>
            <w:r w:rsidRPr="00903F89">
              <w:rPr>
                <w:rFonts w:cs="Arial"/>
                <w:b/>
                <w:bCs/>
                <w:sz w:val="20"/>
                <w:szCs w:val="20"/>
                <w:u w:val="double"/>
              </w:rPr>
              <w:t>Υποομάδα</w:t>
            </w:r>
            <w:r w:rsidR="045AFEAA" w:rsidRPr="00903F89">
              <w:rPr>
                <w:rFonts w:cs="Arial"/>
                <w:b/>
                <w:bCs/>
                <w:sz w:val="20"/>
                <w:szCs w:val="20"/>
                <w:u w:val="double"/>
              </w:rPr>
              <w:t xml:space="preserve"> 310 – Ερευνητικά Προγράμματα, Συνέδρια, Συνδρομές και Συνεισφορές</w:t>
            </w:r>
          </w:p>
        </w:tc>
      </w:tr>
      <w:tr w:rsidR="00492B85" w:rsidRPr="00903F89" w14:paraId="3BCF5D08" w14:textId="77777777" w:rsidTr="00AD5278">
        <w:tc>
          <w:tcPr>
            <w:tcW w:w="2870" w:type="dxa"/>
          </w:tcPr>
          <w:p w14:paraId="7FAF93DF" w14:textId="77777777" w:rsidR="008F763E" w:rsidRPr="00903F89" w:rsidRDefault="008F763E" w:rsidP="00903F89">
            <w:pPr>
              <w:jc w:val="both"/>
              <w:rPr>
                <w:rFonts w:cs="Arial"/>
                <w:b/>
                <w:sz w:val="20"/>
                <w:szCs w:val="20"/>
                <w:u w:val="single"/>
              </w:rPr>
            </w:pPr>
          </w:p>
        </w:tc>
        <w:tc>
          <w:tcPr>
            <w:tcW w:w="3865" w:type="dxa"/>
          </w:tcPr>
          <w:p w14:paraId="0DC8DFDB" w14:textId="77777777" w:rsidR="008F763E" w:rsidRPr="00903F89" w:rsidRDefault="008F763E" w:rsidP="00903F89">
            <w:pPr>
              <w:jc w:val="both"/>
              <w:rPr>
                <w:rFonts w:cs="Arial"/>
                <w:sz w:val="20"/>
                <w:szCs w:val="20"/>
              </w:rPr>
            </w:pPr>
          </w:p>
        </w:tc>
        <w:tc>
          <w:tcPr>
            <w:tcW w:w="3803" w:type="dxa"/>
          </w:tcPr>
          <w:p w14:paraId="6E408230" w14:textId="77777777" w:rsidR="008F763E" w:rsidRPr="00903F89" w:rsidRDefault="008F763E" w:rsidP="00903F89">
            <w:pPr>
              <w:jc w:val="both"/>
              <w:rPr>
                <w:rFonts w:cs="Arial"/>
                <w:b/>
                <w:sz w:val="20"/>
                <w:szCs w:val="20"/>
                <w:u w:val="single"/>
              </w:rPr>
            </w:pPr>
          </w:p>
        </w:tc>
      </w:tr>
      <w:tr w:rsidR="00492B85" w:rsidRPr="00903F89" w14:paraId="45EA4B03" w14:textId="77777777" w:rsidTr="00AD5278">
        <w:tc>
          <w:tcPr>
            <w:tcW w:w="10538" w:type="dxa"/>
            <w:gridSpan w:val="3"/>
            <w:shd w:val="clear" w:color="auto" w:fill="auto"/>
          </w:tcPr>
          <w:p w14:paraId="2CEE1D64" w14:textId="12E6694C" w:rsidR="008F763E" w:rsidRPr="00903F89" w:rsidRDefault="045AFEAA" w:rsidP="00903F89">
            <w:pPr>
              <w:jc w:val="both"/>
              <w:rPr>
                <w:rFonts w:eastAsia="Arial" w:cs="Arial"/>
                <w:b/>
                <w:bCs/>
                <w:sz w:val="20"/>
                <w:szCs w:val="20"/>
                <w:u w:val="single"/>
              </w:rPr>
            </w:pPr>
            <w:r w:rsidRPr="00903F89">
              <w:rPr>
                <w:rFonts w:cs="Arial"/>
                <w:b/>
                <w:bCs/>
                <w:sz w:val="20"/>
                <w:szCs w:val="20"/>
                <w:u w:val="single"/>
              </w:rPr>
              <w:t>Άρθρο 311 – Ερευνητικά Προγράμματα/ Δραστηριότητες– €</w:t>
            </w:r>
            <w:r w:rsidR="007555CD" w:rsidRPr="00903F89">
              <w:rPr>
                <w:rFonts w:cs="Arial"/>
                <w:b/>
                <w:bCs/>
                <w:sz w:val="20"/>
                <w:szCs w:val="20"/>
                <w:u w:val="single"/>
              </w:rPr>
              <w:t>4.074.830</w:t>
            </w:r>
          </w:p>
        </w:tc>
      </w:tr>
      <w:tr w:rsidR="00492B85" w:rsidRPr="00903F89" w14:paraId="028F8C9F" w14:textId="77777777" w:rsidTr="00AD5278">
        <w:tc>
          <w:tcPr>
            <w:tcW w:w="2870" w:type="dxa"/>
          </w:tcPr>
          <w:p w14:paraId="0CD3FF8C" w14:textId="77777777" w:rsidR="008F763E" w:rsidRPr="00903F89" w:rsidRDefault="008F763E" w:rsidP="00903F89">
            <w:pPr>
              <w:jc w:val="both"/>
              <w:rPr>
                <w:rFonts w:cs="Arial"/>
                <w:b/>
                <w:sz w:val="20"/>
                <w:szCs w:val="20"/>
                <w:u w:val="single"/>
              </w:rPr>
            </w:pPr>
          </w:p>
        </w:tc>
        <w:tc>
          <w:tcPr>
            <w:tcW w:w="3865" w:type="dxa"/>
          </w:tcPr>
          <w:p w14:paraId="3BFF55FB" w14:textId="77777777" w:rsidR="008F763E" w:rsidRPr="00903F89" w:rsidRDefault="008F763E" w:rsidP="00903F89">
            <w:pPr>
              <w:jc w:val="both"/>
              <w:rPr>
                <w:rFonts w:cs="Arial"/>
                <w:sz w:val="20"/>
                <w:szCs w:val="20"/>
              </w:rPr>
            </w:pPr>
          </w:p>
        </w:tc>
        <w:tc>
          <w:tcPr>
            <w:tcW w:w="3803" w:type="dxa"/>
          </w:tcPr>
          <w:p w14:paraId="4D9259E5" w14:textId="77777777" w:rsidR="008F763E" w:rsidRPr="00903F89" w:rsidRDefault="008F763E" w:rsidP="00903F89">
            <w:pPr>
              <w:jc w:val="both"/>
              <w:rPr>
                <w:rFonts w:cs="Arial"/>
                <w:b/>
                <w:sz w:val="20"/>
                <w:szCs w:val="20"/>
                <w:u w:val="single"/>
              </w:rPr>
            </w:pPr>
          </w:p>
        </w:tc>
      </w:tr>
      <w:tr w:rsidR="00492B85" w:rsidRPr="00903F89" w14:paraId="5963E76D" w14:textId="77777777" w:rsidTr="00AD5278">
        <w:tc>
          <w:tcPr>
            <w:tcW w:w="10538" w:type="dxa"/>
            <w:gridSpan w:val="3"/>
            <w:shd w:val="clear" w:color="auto" w:fill="auto"/>
          </w:tcPr>
          <w:p w14:paraId="2227513A" w14:textId="1118268E" w:rsidR="008F763E" w:rsidRPr="00903F89" w:rsidRDefault="045AFEAA" w:rsidP="00903F89">
            <w:pPr>
              <w:jc w:val="both"/>
              <w:rPr>
                <w:rFonts w:eastAsia="Arial" w:cs="Arial"/>
                <w:sz w:val="20"/>
                <w:szCs w:val="20"/>
                <w:u w:val="single"/>
              </w:rPr>
            </w:pPr>
            <w:r w:rsidRPr="00903F89">
              <w:rPr>
                <w:rFonts w:cs="Arial"/>
                <w:sz w:val="20"/>
                <w:szCs w:val="20"/>
              </w:rPr>
              <w:t xml:space="preserve">Το ποσό αυτό προορίζεται να καλύψει έξοδα για τη διεξαγωγή έρευνας, (αγορά πρωτογενούς υλικού, ερευνητικές αποστολές στο εξωτερικό, επισκεπτών ερευνητών, αγορά υπηρεσιών, επιτόπιες ερευνητικές μελέτες, </w:t>
            </w:r>
            <w:r w:rsidR="00D55285" w:rsidRPr="00903F89">
              <w:rPr>
                <w:rFonts w:cs="Arial"/>
                <w:sz w:val="20"/>
                <w:szCs w:val="20"/>
              </w:rPr>
              <w:t>κ.λπ</w:t>
            </w:r>
            <w:r w:rsidRPr="00903F89">
              <w:rPr>
                <w:rFonts w:cs="Arial"/>
                <w:sz w:val="20"/>
                <w:szCs w:val="20"/>
              </w:rPr>
              <w:t xml:space="preserve">.) όπως δικαιώματα εγγραφής, έξοδα μετάβασης και διαμονής προσωπικού και φοιτητών του Πανεπιστημίου Κύπρου στο εξωτερικό για συμμετοχή σε συνέδρια, σεμινάρια και άλλα προγράμματα, καθώς επίσης απασχόληση ή παροχή υπηρεσιών ή οικονομική ενίσχυση φοιτητών. </w:t>
            </w:r>
          </w:p>
        </w:tc>
      </w:tr>
      <w:tr w:rsidR="00492B85" w:rsidRPr="00903F89" w14:paraId="0CABF417" w14:textId="77777777" w:rsidTr="00AD5278">
        <w:tc>
          <w:tcPr>
            <w:tcW w:w="10538" w:type="dxa"/>
            <w:gridSpan w:val="3"/>
          </w:tcPr>
          <w:p w14:paraId="4FF532D5" w14:textId="4B27BD76" w:rsidR="008F763E" w:rsidRPr="00903F89" w:rsidRDefault="008F763E" w:rsidP="00903F89">
            <w:pPr>
              <w:jc w:val="both"/>
              <w:rPr>
                <w:rFonts w:cs="Arial"/>
                <w:b/>
                <w:sz w:val="20"/>
                <w:szCs w:val="20"/>
                <w:u w:val="single"/>
              </w:rPr>
            </w:pPr>
          </w:p>
        </w:tc>
      </w:tr>
      <w:tr w:rsidR="00492B85" w:rsidRPr="00903F89" w14:paraId="47738479" w14:textId="77777777" w:rsidTr="00AD5278">
        <w:tc>
          <w:tcPr>
            <w:tcW w:w="10538" w:type="dxa"/>
            <w:gridSpan w:val="3"/>
            <w:shd w:val="clear" w:color="auto" w:fill="auto"/>
          </w:tcPr>
          <w:p w14:paraId="0B7FF8AC" w14:textId="522E0998" w:rsidR="008F763E" w:rsidRPr="00903F89" w:rsidRDefault="045AFEAA" w:rsidP="00903F89">
            <w:pPr>
              <w:jc w:val="both"/>
              <w:rPr>
                <w:rFonts w:eastAsia="Arial" w:cs="Arial"/>
                <w:sz w:val="20"/>
                <w:szCs w:val="20"/>
              </w:rPr>
            </w:pPr>
            <w:r w:rsidRPr="00903F89">
              <w:rPr>
                <w:rFonts w:cs="Arial"/>
                <w:sz w:val="20"/>
                <w:szCs w:val="20"/>
              </w:rPr>
              <w:t xml:space="preserve">Το ποσό αυτό </w:t>
            </w:r>
            <w:r w:rsidR="00D351B7" w:rsidRPr="00903F89">
              <w:rPr>
                <w:rFonts w:cs="Arial"/>
                <w:sz w:val="20"/>
                <w:szCs w:val="20"/>
              </w:rPr>
              <w:t xml:space="preserve">καλύπτει επίσης (κατόπιν σχετικών αποφάσεων της Επιτροπής Έρευνας) τη χρηματοδότηση για την κάλυψη των αναγκών των εναρκτήριων χρηματοδοτήσεων και εσωτερικών ερευνητικών προγραμμάτων, </w:t>
            </w:r>
            <w:r w:rsidRPr="00903F89">
              <w:rPr>
                <w:rFonts w:cs="Arial"/>
                <w:sz w:val="20"/>
                <w:szCs w:val="20"/>
              </w:rPr>
              <w:t xml:space="preserve">τις ανάγκες των μεταδιδακτορικών ερευνητών, τις συγχρηματοδοτήσεις των προγραμμάτων του Ιδρύματος </w:t>
            </w:r>
            <w:r w:rsidR="003D2F85" w:rsidRPr="00903F89">
              <w:rPr>
                <w:rFonts w:cs="Arial"/>
                <w:sz w:val="20"/>
                <w:szCs w:val="20"/>
              </w:rPr>
              <w:t>Έρευνας και Καινοτομίας</w:t>
            </w:r>
            <w:r w:rsidRPr="00903F89">
              <w:rPr>
                <w:rFonts w:cs="Arial"/>
                <w:sz w:val="20"/>
                <w:szCs w:val="20"/>
              </w:rPr>
              <w:t xml:space="preserve"> (Ι</w:t>
            </w:r>
            <w:r w:rsidR="003D2F85" w:rsidRPr="00903F89">
              <w:rPr>
                <w:rFonts w:cs="Arial"/>
                <w:sz w:val="20"/>
                <w:szCs w:val="20"/>
              </w:rPr>
              <w:t>δΕΚ</w:t>
            </w:r>
            <w:r w:rsidRPr="00903F89">
              <w:rPr>
                <w:rFonts w:eastAsia="Arial" w:cs="Arial"/>
                <w:sz w:val="20"/>
                <w:szCs w:val="20"/>
              </w:rPr>
              <w:t>)</w:t>
            </w:r>
            <w:r w:rsidRPr="00903F89">
              <w:rPr>
                <w:rFonts w:cs="Arial"/>
                <w:sz w:val="20"/>
                <w:szCs w:val="20"/>
              </w:rPr>
              <w:t>, την κατανομή των ερευνητικών δραστηριοτήτων, τις ανάγκες χρηματοδότησης Ερευνητικών Μονάδων, κ.ά..</w:t>
            </w:r>
          </w:p>
        </w:tc>
      </w:tr>
      <w:tr w:rsidR="00492B85" w:rsidRPr="00903F89" w14:paraId="15D7FD01" w14:textId="77777777" w:rsidTr="00AD5278">
        <w:tc>
          <w:tcPr>
            <w:tcW w:w="2870" w:type="dxa"/>
          </w:tcPr>
          <w:p w14:paraId="17C8D267" w14:textId="77777777" w:rsidR="00FB45EE" w:rsidRPr="00903F89" w:rsidRDefault="00FB45EE" w:rsidP="00903F89">
            <w:pPr>
              <w:jc w:val="both"/>
              <w:rPr>
                <w:rFonts w:cs="Arial"/>
                <w:b/>
                <w:sz w:val="20"/>
                <w:szCs w:val="20"/>
                <w:u w:val="single"/>
              </w:rPr>
            </w:pPr>
          </w:p>
        </w:tc>
        <w:tc>
          <w:tcPr>
            <w:tcW w:w="7668" w:type="dxa"/>
            <w:gridSpan w:val="2"/>
          </w:tcPr>
          <w:p w14:paraId="4357AEC1" w14:textId="6F423A0A" w:rsidR="00FB45EE" w:rsidRPr="00903F89" w:rsidRDefault="00FB45EE" w:rsidP="00903F89">
            <w:pPr>
              <w:jc w:val="both"/>
              <w:rPr>
                <w:rFonts w:cs="Arial"/>
                <w:b/>
                <w:i/>
                <w:sz w:val="20"/>
                <w:szCs w:val="20"/>
                <w:u w:val="single"/>
              </w:rPr>
            </w:pPr>
          </w:p>
        </w:tc>
      </w:tr>
      <w:tr w:rsidR="00492B85" w:rsidRPr="00903F89" w14:paraId="74439958" w14:textId="77777777" w:rsidTr="00AD5278">
        <w:tc>
          <w:tcPr>
            <w:tcW w:w="10538" w:type="dxa"/>
            <w:gridSpan w:val="3"/>
          </w:tcPr>
          <w:p w14:paraId="5B87653C" w14:textId="3FEC0B11" w:rsidR="008F763E" w:rsidRPr="00903F89" w:rsidRDefault="00D351B7" w:rsidP="00903F89">
            <w:pPr>
              <w:jc w:val="both"/>
              <w:rPr>
                <w:rFonts w:eastAsia="Arial" w:cs="Arial"/>
                <w:b/>
                <w:bCs/>
                <w:sz w:val="20"/>
                <w:szCs w:val="20"/>
                <w:u w:val="single"/>
              </w:rPr>
            </w:pPr>
            <w:r w:rsidRPr="00903F89">
              <w:rPr>
                <w:rFonts w:cs="Arial"/>
                <w:sz w:val="20"/>
                <w:szCs w:val="20"/>
              </w:rPr>
              <w:t>Η πρόνοια καλύπτει και την ερευνητική δραστηριοποίηση των μελών του Πανεπιστημίου Κύπρου οι οποίες χρηματοδοτούνται είτε από τα έσοδα της δραστηριότητας τους είτε από εξωτερικούς Χορηγούς/Δωρητές (έσοδα εκτός Κρατικής Χορηγίας).</w:t>
            </w:r>
          </w:p>
        </w:tc>
      </w:tr>
      <w:tr w:rsidR="00D351B7" w:rsidRPr="00903F89" w14:paraId="6DF3ED13" w14:textId="77777777" w:rsidTr="00AD5278">
        <w:tc>
          <w:tcPr>
            <w:tcW w:w="10538" w:type="dxa"/>
            <w:gridSpan w:val="3"/>
          </w:tcPr>
          <w:p w14:paraId="598211DB" w14:textId="77777777" w:rsidR="00D351B7" w:rsidRPr="00903F89" w:rsidRDefault="00D351B7" w:rsidP="00903F89">
            <w:pPr>
              <w:jc w:val="both"/>
              <w:rPr>
                <w:rFonts w:cs="Arial"/>
                <w:sz w:val="20"/>
                <w:szCs w:val="20"/>
              </w:rPr>
            </w:pPr>
          </w:p>
        </w:tc>
      </w:tr>
      <w:tr w:rsidR="007555CD" w:rsidRPr="00903F89" w14:paraId="6B9CEA36" w14:textId="77777777" w:rsidTr="00AD5278">
        <w:tc>
          <w:tcPr>
            <w:tcW w:w="10538" w:type="dxa"/>
            <w:gridSpan w:val="3"/>
          </w:tcPr>
          <w:p w14:paraId="38C5D2B2" w14:textId="23821B23" w:rsidR="007555CD" w:rsidRPr="00903F89" w:rsidRDefault="007555CD" w:rsidP="00903F89">
            <w:pPr>
              <w:jc w:val="both"/>
              <w:rPr>
                <w:rFonts w:cs="Arial"/>
                <w:sz w:val="20"/>
                <w:szCs w:val="20"/>
              </w:rPr>
            </w:pPr>
            <w:r w:rsidRPr="00903F89">
              <w:rPr>
                <w:rFonts w:cs="Arial"/>
                <w:sz w:val="20"/>
                <w:szCs w:val="20"/>
              </w:rPr>
              <w:t>Σημειώνεται αύξηση στην πρόνοια του άρθρου, η οποία προορίζεται για την κάλυψη των αναγκών που εγκρίνονται από την Επιτροπή Έρευνας η οποία προνοεί για την εσωτερική χρηματοδότηση των δαπανών έρευνας (Ερευνητικές Δραστηριότητες Ακαδημαϊκού Προσωπικού, Χρηματοδότηση Εσωτερικών Ερευνητικών Προγραμμάτων, Εναρκτήριες Χρηματοδοτήσεις, Συγχρηματοδοτήσεις, κ.ά.).</w:t>
            </w:r>
          </w:p>
          <w:p w14:paraId="1830D65A" w14:textId="77777777" w:rsidR="007555CD" w:rsidRPr="00903F89" w:rsidRDefault="007555CD" w:rsidP="00903F89">
            <w:pPr>
              <w:jc w:val="both"/>
              <w:rPr>
                <w:rFonts w:cs="Arial"/>
                <w:sz w:val="20"/>
                <w:szCs w:val="20"/>
              </w:rPr>
            </w:pPr>
          </w:p>
          <w:p w14:paraId="04F950C9" w14:textId="5157C0E4" w:rsidR="007555CD" w:rsidRPr="00903F89" w:rsidRDefault="007555CD" w:rsidP="00903F89">
            <w:pPr>
              <w:jc w:val="both"/>
              <w:rPr>
                <w:rFonts w:cs="Arial"/>
                <w:sz w:val="20"/>
                <w:szCs w:val="20"/>
              </w:rPr>
            </w:pPr>
            <w:r w:rsidRPr="00903F89">
              <w:rPr>
                <w:rFonts w:cs="Arial"/>
                <w:sz w:val="20"/>
                <w:szCs w:val="20"/>
              </w:rPr>
              <w:t>Η πρόνοια καλύπτει επίσης την ερευνητική δραστηριοποίηση των μελών του Πανεπιστημίου Κύπρου οι οποίες χρηματοδοτούνται είτε από έσοδα της δραστηριότητας τους είτε από εξωτερικούς Χορηγούς/ Δωρητές (έσοδα εκτός Κρατικής Χορηγίας).</w:t>
            </w:r>
          </w:p>
        </w:tc>
      </w:tr>
      <w:tr w:rsidR="007555CD" w:rsidRPr="00903F89" w14:paraId="7EDF09D0" w14:textId="77777777" w:rsidTr="00AD5278">
        <w:tc>
          <w:tcPr>
            <w:tcW w:w="10538" w:type="dxa"/>
            <w:gridSpan w:val="3"/>
          </w:tcPr>
          <w:p w14:paraId="48018F30" w14:textId="77777777" w:rsidR="007555CD" w:rsidRPr="00903F89" w:rsidRDefault="007555CD" w:rsidP="00903F89">
            <w:pPr>
              <w:jc w:val="both"/>
              <w:rPr>
                <w:rFonts w:cs="Arial"/>
                <w:sz w:val="20"/>
                <w:szCs w:val="20"/>
              </w:rPr>
            </w:pPr>
          </w:p>
        </w:tc>
      </w:tr>
      <w:tr w:rsidR="00492B85" w:rsidRPr="00903F89" w14:paraId="6C8479E0" w14:textId="77777777" w:rsidTr="00AD5278">
        <w:tc>
          <w:tcPr>
            <w:tcW w:w="10538" w:type="dxa"/>
            <w:gridSpan w:val="3"/>
          </w:tcPr>
          <w:p w14:paraId="4287BDAD" w14:textId="649B025D" w:rsidR="008F763E" w:rsidRPr="00903F89" w:rsidRDefault="045AFEAA" w:rsidP="00903F89">
            <w:pPr>
              <w:jc w:val="both"/>
              <w:rPr>
                <w:rFonts w:eastAsia="Arial" w:cs="Arial"/>
                <w:sz w:val="20"/>
                <w:szCs w:val="20"/>
              </w:rPr>
            </w:pPr>
            <w:r w:rsidRPr="00903F89">
              <w:rPr>
                <w:rFonts w:cs="Arial"/>
                <w:sz w:val="20"/>
                <w:szCs w:val="20"/>
              </w:rPr>
              <w:t>Πιο συγκεκριμένα η πρόνοια δύναται να καλύψει:</w:t>
            </w:r>
          </w:p>
        </w:tc>
      </w:tr>
      <w:tr w:rsidR="00492B85" w:rsidRPr="00903F89" w14:paraId="6716888B" w14:textId="77777777" w:rsidTr="00AD5278">
        <w:tc>
          <w:tcPr>
            <w:tcW w:w="2870" w:type="dxa"/>
          </w:tcPr>
          <w:p w14:paraId="51276C46" w14:textId="77777777" w:rsidR="008F763E" w:rsidRPr="00903F89" w:rsidRDefault="008F763E" w:rsidP="00903F89">
            <w:pPr>
              <w:jc w:val="both"/>
              <w:rPr>
                <w:rFonts w:cs="Arial"/>
                <w:b/>
                <w:sz w:val="20"/>
                <w:szCs w:val="20"/>
                <w:u w:val="single"/>
              </w:rPr>
            </w:pPr>
          </w:p>
        </w:tc>
        <w:tc>
          <w:tcPr>
            <w:tcW w:w="3865" w:type="dxa"/>
          </w:tcPr>
          <w:p w14:paraId="70719F38" w14:textId="77777777" w:rsidR="008F763E" w:rsidRPr="00903F89" w:rsidRDefault="008F763E" w:rsidP="00903F89">
            <w:pPr>
              <w:jc w:val="both"/>
              <w:rPr>
                <w:rFonts w:cs="Arial"/>
                <w:sz w:val="20"/>
                <w:szCs w:val="20"/>
              </w:rPr>
            </w:pPr>
          </w:p>
        </w:tc>
        <w:tc>
          <w:tcPr>
            <w:tcW w:w="3803" w:type="dxa"/>
          </w:tcPr>
          <w:p w14:paraId="51F60B26" w14:textId="77777777" w:rsidR="008F763E" w:rsidRPr="00903F89" w:rsidRDefault="008F763E" w:rsidP="00903F89">
            <w:pPr>
              <w:jc w:val="both"/>
              <w:rPr>
                <w:rFonts w:cs="Arial"/>
                <w:b/>
                <w:sz w:val="20"/>
                <w:szCs w:val="20"/>
                <w:u w:val="single"/>
              </w:rPr>
            </w:pPr>
          </w:p>
        </w:tc>
      </w:tr>
      <w:tr w:rsidR="00492B85" w:rsidRPr="00903F89" w14:paraId="724CFB1C" w14:textId="77777777" w:rsidTr="00AD5278">
        <w:tc>
          <w:tcPr>
            <w:tcW w:w="10538" w:type="dxa"/>
            <w:gridSpan w:val="3"/>
          </w:tcPr>
          <w:p w14:paraId="62C67395" w14:textId="5F6D830A" w:rsidR="008F763E" w:rsidRPr="00903F89" w:rsidRDefault="045AFEAA" w:rsidP="00903F89">
            <w:pPr>
              <w:jc w:val="both"/>
              <w:rPr>
                <w:rFonts w:eastAsia="Arial" w:cs="Arial"/>
                <w:b/>
                <w:bCs/>
                <w:sz w:val="20"/>
                <w:szCs w:val="20"/>
                <w:u w:val="single"/>
              </w:rPr>
            </w:pPr>
            <w:r w:rsidRPr="00903F89">
              <w:rPr>
                <w:rFonts w:cs="Arial"/>
                <w:sz w:val="20"/>
                <w:szCs w:val="20"/>
                <w:u w:val="single"/>
                <w:lang w:eastAsia="zh-CN"/>
              </w:rPr>
              <w:t xml:space="preserve">Ερευνητικές Δραστηριότητες Ακαδημαϊκού Προσωπικού </w:t>
            </w:r>
          </w:p>
        </w:tc>
      </w:tr>
      <w:tr w:rsidR="00492B85" w:rsidRPr="00903F89" w14:paraId="38DE3172" w14:textId="77777777" w:rsidTr="00AD5278">
        <w:tc>
          <w:tcPr>
            <w:tcW w:w="2870" w:type="dxa"/>
          </w:tcPr>
          <w:p w14:paraId="623D116C" w14:textId="77777777" w:rsidR="008F763E" w:rsidRPr="00903F89" w:rsidRDefault="008F763E" w:rsidP="00903F89">
            <w:pPr>
              <w:jc w:val="both"/>
              <w:rPr>
                <w:rFonts w:cs="Arial"/>
                <w:b/>
                <w:sz w:val="20"/>
                <w:szCs w:val="20"/>
                <w:u w:val="single"/>
              </w:rPr>
            </w:pPr>
          </w:p>
        </w:tc>
        <w:tc>
          <w:tcPr>
            <w:tcW w:w="3865" w:type="dxa"/>
          </w:tcPr>
          <w:p w14:paraId="5BD24CED" w14:textId="77777777" w:rsidR="008F763E" w:rsidRPr="00903F89" w:rsidRDefault="008F763E" w:rsidP="00903F89">
            <w:pPr>
              <w:jc w:val="both"/>
              <w:rPr>
                <w:rFonts w:cs="Arial"/>
                <w:sz w:val="20"/>
                <w:szCs w:val="20"/>
              </w:rPr>
            </w:pPr>
          </w:p>
        </w:tc>
        <w:tc>
          <w:tcPr>
            <w:tcW w:w="3803" w:type="dxa"/>
          </w:tcPr>
          <w:p w14:paraId="2DDE0122" w14:textId="77777777" w:rsidR="008F763E" w:rsidRPr="00903F89" w:rsidRDefault="008F763E" w:rsidP="00903F89">
            <w:pPr>
              <w:jc w:val="both"/>
              <w:rPr>
                <w:rFonts w:cs="Arial"/>
                <w:b/>
                <w:sz w:val="20"/>
                <w:szCs w:val="20"/>
                <w:u w:val="single"/>
              </w:rPr>
            </w:pPr>
          </w:p>
        </w:tc>
      </w:tr>
      <w:tr w:rsidR="00492B85" w:rsidRPr="00903F89" w14:paraId="28CDA0F5" w14:textId="77777777" w:rsidTr="00AD5278">
        <w:tc>
          <w:tcPr>
            <w:tcW w:w="10538" w:type="dxa"/>
            <w:gridSpan w:val="3"/>
            <w:shd w:val="clear" w:color="auto" w:fill="auto"/>
          </w:tcPr>
          <w:p w14:paraId="2B2796B6" w14:textId="29B782C3" w:rsidR="008F763E" w:rsidRPr="00903F89" w:rsidRDefault="045AFEAA" w:rsidP="00903F89">
            <w:pPr>
              <w:jc w:val="both"/>
              <w:rPr>
                <w:rFonts w:eastAsia="Arial" w:cs="Arial"/>
                <w:sz w:val="20"/>
                <w:szCs w:val="20"/>
                <w:u w:val="single"/>
              </w:rPr>
            </w:pPr>
            <w:r w:rsidRPr="00903F89">
              <w:rPr>
                <w:rFonts w:cs="Arial"/>
                <w:sz w:val="20"/>
                <w:szCs w:val="20"/>
                <w:lang w:eastAsia="zh-CN"/>
              </w:rPr>
              <w:t xml:space="preserve">Η συμμετοχή του ακαδημαϊκού προσωπικού σε διεθνή συνέδρια και η συνεργασία με επιστήμονες σε άλλα ακαδημαϊκά και ερευνητικά ιδρύματα απαιτεί την παρουσία τους είτε σε χώρες του εξωτερικού και ενίοτε τη συνεργασία με άλλους φορείς και πρόσωπα.  Αναμένεται από το κάθε μέλος του ακαδημαϊκού προσωπικού να έχει συμμετοχή με παρουσίαση επιστημονικής εργασίας σε δύο ή τρία διεθνή συνέδρια ετησίως. </w:t>
            </w:r>
          </w:p>
        </w:tc>
      </w:tr>
      <w:tr w:rsidR="00492B85" w:rsidRPr="00903F89" w14:paraId="65D13241" w14:textId="77777777" w:rsidTr="00AD5278">
        <w:tc>
          <w:tcPr>
            <w:tcW w:w="10538" w:type="dxa"/>
            <w:gridSpan w:val="3"/>
            <w:shd w:val="clear" w:color="auto" w:fill="auto"/>
          </w:tcPr>
          <w:p w14:paraId="2DDF2D14" w14:textId="00204B2F" w:rsidR="00FB45EE" w:rsidRPr="00903F89" w:rsidRDefault="00FB45EE" w:rsidP="00903F89">
            <w:pPr>
              <w:jc w:val="both"/>
              <w:rPr>
                <w:rFonts w:cs="Arial"/>
                <w:b/>
                <w:i/>
                <w:sz w:val="20"/>
                <w:szCs w:val="20"/>
                <w:u w:val="single"/>
              </w:rPr>
            </w:pPr>
          </w:p>
        </w:tc>
      </w:tr>
      <w:tr w:rsidR="00492B85" w:rsidRPr="00903F89" w14:paraId="3FC798DF" w14:textId="77777777" w:rsidTr="00AD5278">
        <w:tc>
          <w:tcPr>
            <w:tcW w:w="10538" w:type="dxa"/>
            <w:gridSpan w:val="3"/>
            <w:shd w:val="clear" w:color="auto" w:fill="auto"/>
          </w:tcPr>
          <w:p w14:paraId="74B430F8" w14:textId="07AC2902" w:rsidR="008F763E" w:rsidRPr="00903F89" w:rsidRDefault="045AFEAA" w:rsidP="00903F89">
            <w:pPr>
              <w:jc w:val="both"/>
              <w:rPr>
                <w:rFonts w:eastAsia="Arial" w:cs="Arial"/>
                <w:b/>
                <w:bCs/>
                <w:sz w:val="20"/>
                <w:szCs w:val="20"/>
                <w:u w:val="single"/>
              </w:rPr>
            </w:pPr>
            <w:r w:rsidRPr="00903F89">
              <w:rPr>
                <w:rFonts w:cs="Arial"/>
                <w:sz w:val="20"/>
                <w:szCs w:val="20"/>
                <w:lang w:eastAsia="zh-CN"/>
              </w:rPr>
              <w:t xml:space="preserve">Η διεθνής ερευνητική παρουσία και η δραστηριότητα συμμετοχής στις διεθνείς επιστημονικές κοινότητες αποτελεί απαραίτητη προϋπόθεση για το επίπεδο και το κύρος κάθε επιστήμονα αλλά και του Πανεπιστημίου γενικότερα.  Επιπρόσθετα, είναι σημαντικός μηχανισμός δημιουργίας συνεργασιών για ανάπτυξη ερευνητικών προτάσεων για διεκδίκηση εξωτερικής χρηματοδότησης από ανταγωνιστικά προγράμματα (π.χ. της Ε.Ε.). </w:t>
            </w:r>
          </w:p>
        </w:tc>
      </w:tr>
      <w:tr w:rsidR="00492B85" w:rsidRPr="00903F89" w14:paraId="6DC37419" w14:textId="77777777" w:rsidTr="00AD5278">
        <w:tc>
          <w:tcPr>
            <w:tcW w:w="2870" w:type="dxa"/>
            <w:shd w:val="clear" w:color="auto" w:fill="auto"/>
          </w:tcPr>
          <w:p w14:paraId="12EDDEBD" w14:textId="77777777" w:rsidR="008F763E" w:rsidRPr="00903F89" w:rsidRDefault="008F763E" w:rsidP="00903F89">
            <w:pPr>
              <w:jc w:val="both"/>
              <w:rPr>
                <w:rFonts w:cs="Arial"/>
                <w:b/>
                <w:sz w:val="20"/>
                <w:szCs w:val="20"/>
                <w:u w:val="single"/>
              </w:rPr>
            </w:pPr>
          </w:p>
        </w:tc>
        <w:tc>
          <w:tcPr>
            <w:tcW w:w="3865" w:type="dxa"/>
            <w:shd w:val="clear" w:color="auto" w:fill="auto"/>
          </w:tcPr>
          <w:p w14:paraId="4A86A624" w14:textId="77777777" w:rsidR="008F763E" w:rsidRPr="00903F89" w:rsidRDefault="008F763E" w:rsidP="00903F89">
            <w:pPr>
              <w:jc w:val="both"/>
              <w:rPr>
                <w:rFonts w:cs="Arial"/>
                <w:sz w:val="20"/>
                <w:szCs w:val="20"/>
              </w:rPr>
            </w:pPr>
          </w:p>
        </w:tc>
        <w:tc>
          <w:tcPr>
            <w:tcW w:w="3803" w:type="dxa"/>
          </w:tcPr>
          <w:p w14:paraId="2AA096BC" w14:textId="77777777" w:rsidR="008F763E" w:rsidRPr="00903F89" w:rsidRDefault="008F763E" w:rsidP="00903F89">
            <w:pPr>
              <w:jc w:val="both"/>
              <w:rPr>
                <w:rFonts w:cs="Arial"/>
                <w:b/>
                <w:sz w:val="20"/>
                <w:szCs w:val="20"/>
                <w:u w:val="single"/>
              </w:rPr>
            </w:pPr>
          </w:p>
        </w:tc>
      </w:tr>
      <w:tr w:rsidR="00492B85" w:rsidRPr="00903F89" w14:paraId="70430DFC" w14:textId="77777777" w:rsidTr="00AD5278">
        <w:tc>
          <w:tcPr>
            <w:tcW w:w="10538" w:type="dxa"/>
            <w:gridSpan w:val="3"/>
            <w:shd w:val="clear" w:color="auto" w:fill="auto"/>
          </w:tcPr>
          <w:p w14:paraId="1E4C4D6D" w14:textId="788F400C" w:rsidR="008F763E" w:rsidRPr="00903F89" w:rsidRDefault="4407E268" w:rsidP="00903F89">
            <w:pPr>
              <w:jc w:val="both"/>
              <w:rPr>
                <w:rFonts w:eastAsia="Arial" w:cs="Arial"/>
                <w:b/>
                <w:bCs/>
                <w:strike/>
                <w:sz w:val="20"/>
                <w:szCs w:val="20"/>
                <w:u w:val="single"/>
              </w:rPr>
            </w:pPr>
            <w:r w:rsidRPr="00903F89">
              <w:rPr>
                <w:rFonts w:cs="Arial"/>
                <w:sz w:val="20"/>
                <w:szCs w:val="20"/>
                <w:lang w:eastAsia="zh-CN"/>
              </w:rPr>
              <w:t xml:space="preserve">Από την κατανομή που γίνεται από το κονδύλι αυτό μπορεί επίσης να αγορασθεί εξειδικευμένος μικροεξοπλισμός έρευνας που είναι απαραίτητος για τις ανάγκες του κάθε ερευνητή (συμπεριλαμβανομένου δαπανών αγοράς υπολογιστών αφής – </w:t>
            </w:r>
            <w:r w:rsidRPr="00903F89">
              <w:rPr>
                <w:rFonts w:cs="Arial"/>
                <w:sz w:val="20"/>
                <w:szCs w:val="20"/>
                <w:lang w:val="en-US" w:eastAsia="zh-CN"/>
              </w:rPr>
              <w:t>tablets</w:t>
            </w:r>
            <w:r w:rsidRPr="00903F89">
              <w:rPr>
                <w:rFonts w:cs="Arial"/>
                <w:sz w:val="20"/>
                <w:szCs w:val="20"/>
                <w:lang w:eastAsia="zh-CN"/>
              </w:rPr>
              <w:t>, Ε.Δ.ΥΠ. Αρ. 122/2012), καθώς και πληρωμές για εκδόσεις που σχετίζονται με την ερευνητική δραστηριότητα του κάθε ακαδημαϊκού.</w:t>
            </w:r>
          </w:p>
        </w:tc>
      </w:tr>
      <w:tr w:rsidR="00492B85" w:rsidRPr="00903F89" w14:paraId="61F1823F" w14:textId="77777777" w:rsidTr="00AD5278">
        <w:tc>
          <w:tcPr>
            <w:tcW w:w="2870" w:type="dxa"/>
            <w:shd w:val="clear" w:color="auto" w:fill="auto"/>
          </w:tcPr>
          <w:p w14:paraId="55BF2203" w14:textId="77777777" w:rsidR="008F763E" w:rsidRPr="00903F89" w:rsidRDefault="008F763E" w:rsidP="00903F89">
            <w:pPr>
              <w:jc w:val="both"/>
              <w:rPr>
                <w:rFonts w:cs="Arial"/>
                <w:b/>
                <w:sz w:val="20"/>
                <w:szCs w:val="20"/>
                <w:u w:val="single"/>
              </w:rPr>
            </w:pPr>
          </w:p>
        </w:tc>
        <w:tc>
          <w:tcPr>
            <w:tcW w:w="3865" w:type="dxa"/>
            <w:shd w:val="clear" w:color="auto" w:fill="auto"/>
          </w:tcPr>
          <w:p w14:paraId="2088B2EB" w14:textId="77777777" w:rsidR="008F763E" w:rsidRPr="00903F89" w:rsidRDefault="008F763E" w:rsidP="00903F89">
            <w:pPr>
              <w:ind w:left="284"/>
              <w:jc w:val="both"/>
              <w:rPr>
                <w:rFonts w:cs="Arial"/>
                <w:sz w:val="20"/>
                <w:szCs w:val="20"/>
                <w:lang w:eastAsia="zh-CN"/>
              </w:rPr>
            </w:pPr>
          </w:p>
        </w:tc>
        <w:tc>
          <w:tcPr>
            <w:tcW w:w="3803" w:type="dxa"/>
          </w:tcPr>
          <w:p w14:paraId="3744B571" w14:textId="77777777" w:rsidR="008F763E" w:rsidRPr="00903F89" w:rsidRDefault="008F763E" w:rsidP="00903F89">
            <w:pPr>
              <w:jc w:val="both"/>
              <w:rPr>
                <w:rFonts w:cs="Arial"/>
                <w:b/>
                <w:sz w:val="20"/>
                <w:szCs w:val="20"/>
                <w:u w:val="single"/>
              </w:rPr>
            </w:pPr>
          </w:p>
        </w:tc>
      </w:tr>
      <w:tr w:rsidR="00492B85" w:rsidRPr="00903F89" w14:paraId="6EEDFD3F" w14:textId="77777777" w:rsidTr="00AD5278">
        <w:tc>
          <w:tcPr>
            <w:tcW w:w="10538" w:type="dxa"/>
            <w:gridSpan w:val="3"/>
            <w:shd w:val="clear" w:color="auto" w:fill="auto"/>
          </w:tcPr>
          <w:p w14:paraId="2231E369" w14:textId="49A3E32B" w:rsidR="008F763E" w:rsidRPr="00903F89" w:rsidRDefault="4407E268" w:rsidP="00903F89">
            <w:pPr>
              <w:jc w:val="both"/>
              <w:rPr>
                <w:rFonts w:eastAsia="Arial" w:cs="Arial"/>
                <w:sz w:val="20"/>
                <w:szCs w:val="20"/>
              </w:rPr>
            </w:pPr>
            <w:r w:rsidRPr="00903F89">
              <w:rPr>
                <w:rFonts w:cs="Arial"/>
                <w:sz w:val="20"/>
                <w:szCs w:val="20"/>
                <w:lang w:eastAsia="zh-CN"/>
              </w:rPr>
              <w:t xml:space="preserve">Μέλος Ακαδημαϊκού Προσωπικού που απουσιάζει με άδεια χωρίς απολαβές, κατά τη διάρκεια της απουσίας του, δε δικαιούται να κάνει χρήση του κονδυλίου που του έχει κατανεμηθεί για ερευνητικές δραστηριότητες και ούτε να εξουσιοδοτήσει άλλο άτομο για χρήση του.  (Ε.Δ.ΥΠ. Αρ. 56/2009).  </w:t>
            </w:r>
          </w:p>
        </w:tc>
      </w:tr>
      <w:tr w:rsidR="00492B85" w:rsidRPr="00903F89" w14:paraId="38B5DFA5" w14:textId="77777777" w:rsidTr="00AD5278">
        <w:tc>
          <w:tcPr>
            <w:tcW w:w="2870" w:type="dxa"/>
            <w:shd w:val="clear" w:color="auto" w:fill="auto"/>
          </w:tcPr>
          <w:p w14:paraId="5CEAD2C5" w14:textId="77777777" w:rsidR="008F763E" w:rsidRPr="00903F89" w:rsidRDefault="008F763E" w:rsidP="00903F89">
            <w:pPr>
              <w:jc w:val="both"/>
              <w:rPr>
                <w:rFonts w:cs="Arial"/>
                <w:b/>
                <w:sz w:val="20"/>
                <w:szCs w:val="20"/>
                <w:u w:val="single"/>
              </w:rPr>
            </w:pPr>
          </w:p>
        </w:tc>
        <w:tc>
          <w:tcPr>
            <w:tcW w:w="3865" w:type="dxa"/>
            <w:shd w:val="clear" w:color="auto" w:fill="auto"/>
          </w:tcPr>
          <w:p w14:paraId="37A4B2EC" w14:textId="77777777" w:rsidR="008F763E" w:rsidRPr="00903F89" w:rsidRDefault="008F763E" w:rsidP="00903F89">
            <w:pPr>
              <w:jc w:val="both"/>
              <w:rPr>
                <w:rFonts w:cs="Arial"/>
                <w:sz w:val="20"/>
                <w:szCs w:val="20"/>
              </w:rPr>
            </w:pPr>
          </w:p>
        </w:tc>
        <w:tc>
          <w:tcPr>
            <w:tcW w:w="3803" w:type="dxa"/>
          </w:tcPr>
          <w:p w14:paraId="4470DC07" w14:textId="77777777" w:rsidR="008F763E" w:rsidRPr="00903F89" w:rsidRDefault="008F763E" w:rsidP="00903F89">
            <w:pPr>
              <w:jc w:val="both"/>
              <w:rPr>
                <w:rFonts w:cs="Arial"/>
                <w:b/>
                <w:sz w:val="20"/>
                <w:szCs w:val="20"/>
                <w:u w:val="single"/>
              </w:rPr>
            </w:pPr>
          </w:p>
        </w:tc>
      </w:tr>
      <w:tr w:rsidR="00492B85" w:rsidRPr="00903F89" w14:paraId="659D3CD5" w14:textId="77777777" w:rsidTr="00AD5278">
        <w:tc>
          <w:tcPr>
            <w:tcW w:w="10538" w:type="dxa"/>
            <w:gridSpan w:val="3"/>
            <w:shd w:val="clear" w:color="auto" w:fill="auto"/>
          </w:tcPr>
          <w:p w14:paraId="6EC70F27" w14:textId="79A13064" w:rsidR="008F763E" w:rsidRPr="00903F89" w:rsidRDefault="045AFEAA" w:rsidP="00903F89">
            <w:pPr>
              <w:jc w:val="both"/>
              <w:rPr>
                <w:rFonts w:eastAsia="Arial" w:cs="Arial"/>
                <w:b/>
                <w:bCs/>
                <w:sz w:val="20"/>
                <w:szCs w:val="20"/>
                <w:u w:val="single"/>
              </w:rPr>
            </w:pPr>
            <w:r w:rsidRPr="00903F89">
              <w:rPr>
                <w:rFonts w:cs="Arial"/>
                <w:sz w:val="20"/>
                <w:szCs w:val="20"/>
                <w:lang w:eastAsia="zh-CN"/>
              </w:rPr>
              <w:t>Πρόνοια (από άλλες εισπράξεις εκτός της κρατικής χορηγίας) περιλαμβάνεται στο Άρθρο 311 «Ερευνητικά Προγράμματα/Δραστηριότητες» για κάλυψη του ετήσιου ποσού που παραχωρείται στον κάθε Υπεύθυνο Προγράμματος για την ενίσχυση της έρευνας του οι οποίες απορρέουν από την πολιτική του αυτοχρηματοδοτούμενου Προγράμματος στη Διοίκηση Επιχειρήσεων που ενέκρινε το Συμβούλιο του Πανεπιστημίου Κύπρου και είναι σύμφωνες με τις αποφάσεις εσωτερικών αρμοδίων σωμάτων.</w:t>
            </w:r>
          </w:p>
        </w:tc>
      </w:tr>
      <w:tr w:rsidR="00492B85" w:rsidRPr="00903F89" w14:paraId="39CD6246" w14:textId="77777777" w:rsidTr="00AD5278">
        <w:tc>
          <w:tcPr>
            <w:tcW w:w="2870" w:type="dxa"/>
            <w:shd w:val="clear" w:color="auto" w:fill="auto"/>
          </w:tcPr>
          <w:p w14:paraId="5FDB2ADF" w14:textId="77777777" w:rsidR="008F763E" w:rsidRPr="00903F89" w:rsidRDefault="008F763E" w:rsidP="00903F89">
            <w:pPr>
              <w:jc w:val="both"/>
              <w:rPr>
                <w:rFonts w:cs="Arial"/>
                <w:b/>
                <w:sz w:val="20"/>
                <w:szCs w:val="20"/>
                <w:u w:val="single"/>
              </w:rPr>
            </w:pPr>
          </w:p>
        </w:tc>
        <w:tc>
          <w:tcPr>
            <w:tcW w:w="3865" w:type="dxa"/>
            <w:shd w:val="clear" w:color="auto" w:fill="auto"/>
          </w:tcPr>
          <w:p w14:paraId="7608A378" w14:textId="77777777" w:rsidR="008F763E" w:rsidRPr="00903F89" w:rsidRDefault="008F763E" w:rsidP="00903F89">
            <w:pPr>
              <w:jc w:val="both"/>
              <w:rPr>
                <w:rFonts w:cs="Arial"/>
                <w:sz w:val="20"/>
                <w:szCs w:val="20"/>
              </w:rPr>
            </w:pPr>
          </w:p>
        </w:tc>
        <w:tc>
          <w:tcPr>
            <w:tcW w:w="3803" w:type="dxa"/>
          </w:tcPr>
          <w:p w14:paraId="44743977" w14:textId="77777777" w:rsidR="008F763E" w:rsidRPr="00903F89" w:rsidRDefault="008F763E" w:rsidP="00903F89">
            <w:pPr>
              <w:jc w:val="both"/>
              <w:rPr>
                <w:rFonts w:cs="Arial"/>
                <w:b/>
                <w:sz w:val="20"/>
                <w:szCs w:val="20"/>
                <w:u w:val="single"/>
              </w:rPr>
            </w:pPr>
          </w:p>
        </w:tc>
      </w:tr>
      <w:tr w:rsidR="00492B85" w:rsidRPr="00903F89" w14:paraId="4979249F" w14:textId="77777777" w:rsidTr="00AD5278">
        <w:tc>
          <w:tcPr>
            <w:tcW w:w="10538" w:type="dxa"/>
            <w:gridSpan w:val="3"/>
            <w:shd w:val="clear" w:color="auto" w:fill="auto"/>
          </w:tcPr>
          <w:p w14:paraId="7D9B4A2A" w14:textId="67925503" w:rsidR="008F763E" w:rsidRPr="00903F89" w:rsidRDefault="4407E268" w:rsidP="00903F89">
            <w:pPr>
              <w:jc w:val="both"/>
              <w:rPr>
                <w:rFonts w:eastAsia="Arial" w:cs="Arial"/>
                <w:b/>
                <w:bCs/>
                <w:sz w:val="20"/>
                <w:szCs w:val="20"/>
                <w:u w:val="single"/>
              </w:rPr>
            </w:pPr>
            <w:r w:rsidRPr="00903F89">
              <w:rPr>
                <w:rFonts w:cs="Arial"/>
                <w:sz w:val="20"/>
                <w:szCs w:val="20"/>
                <w:lang w:eastAsia="ko-KR"/>
              </w:rPr>
              <w:t xml:space="preserve">Επίσης πρόνοια αφορά στη δυνατότητα κάλυψης σχετικών δαπανών για την Έδρα της Τράπεζας Κύπρου και για την Έδρα Στρατηγικής Διοίκησης της </w:t>
            </w:r>
            <w:r w:rsidRPr="00903F89">
              <w:rPr>
                <w:rFonts w:cs="Arial"/>
                <w:sz w:val="20"/>
                <w:szCs w:val="20"/>
                <w:lang w:val="en-US" w:eastAsia="ko-KR"/>
              </w:rPr>
              <w:t>Columbia</w:t>
            </w:r>
            <w:r w:rsidRPr="00903F89">
              <w:rPr>
                <w:rFonts w:eastAsia="Arial" w:cs="Arial"/>
                <w:sz w:val="20"/>
                <w:szCs w:val="20"/>
                <w:lang w:eastAsia="ko-KR"/>
              </w:rPr>
              <w:t xml:space="preserve"> </w:t>
            </w:r>
            <w:r w:rsidRPr="00903F89">
              <w:rPr>
                <w:rFonts w:cs="Arial"/>
                <w:sz w:val="20"/>
                <w:szCs w:val="20"/>
                <w:lang w:val="en-US" w:eastAsia="ko-KR"/>
              </w:rPr>
              <w:t>Shipmanagement</w:t>
            </w:r>
            <w:r w:rsidRPr="00903F89">
              <w:rPr>
                <w:rFonts w:cs="Arial"/>
                <w:sz w:val="20"/>
                <w:szCs w:val="20"/>
                <w:lang w:eastAsia="ko-KR"/>
              </w:rPr>
              <w:t>, σύμφωνα με απόφαση του Συμβουλίου</w:t>
            </w:r>
            <w:r w:rsidR="00BB739D" w:rsidRPr="00903F89">
              <w:rPr>
                <w:rFonts w:cs="Arial"/>
                <w:sz w:val="20"/>
                <w:szCs w:val="20"/>
                <w:lang w:eastAsia="ko-KR"/>
              </w:rPr>
              <w:t xml:space="preserve">.  Οι σχετικές δαπάνες από το 2013 διενεργούνται στο πλαίσιο του παρόντος άρθρου, προς συμμόρφωση επί των παρατηρήσεων της Ελεγκτικής Υπηρεσίας που αναφέρονται σε επιστολή προς το Υπουργείο </w:t>
            </w:r>
            <w:r w:rsidR="00B513DA" w:rsidRPr="00903F89">
              <w:rPr>
                <w:rFonts w:cs="Arial"/>
                <w:sz w:val="20"/>
                <w:szCs w:val="20"/>
                <w:lang w:eastAsia="ko-KR"/>
              </w:rPr>
              <w:t>Παιδείας</w:t>
            </w:r>
            <w:r w:rsidR="003A5A60" w:rsidRPr="00903F89">
              <w:rPr>
                <w:rFonts w:cs="Arial"/>
                <w:sz w:val="20"/>
                <w:szCs w:val="20"/>
                <w:lang w:eastAsia="ko-KR"/>
              </w:rPr>
              <w:t xml:space="preserve">, </w:t>
            </w:r>
            <w:r w:rsidR="00BB739D" w:rsidRPr="00903F89">
              <w:rPr>
                <w:rFonts w:cs="Arial"/>
                <w:sz w:val="20"/>
                <w:szCs w:val="20"/>
                <w:lang w:eastAsia="ko-KR"/>
              </w:rPr>
              <w:t>Πολιτισμού</w:t>
            </w:r>
            <w:r w:rsidR="003A5A60" w:rsidRPr="00903F89">
              <w:rPr>
                <w:rFonts w:cs="Arial"/>
                <w:sz w:val="20"/>
                <w:szCs w:val="20"/>
                <w:lang w:eastAsia="ko-KR"/>
              </w:rPr>
              <w:t xml:space="preserve">, Αθλητισμού και Νεολαίας, </w:t>
            </w:r>
            <w:r w:rsidR="00BB739D" w:rsidRPr="00903F89">
              <w:rPr>
                <w:rFonts w:cs="Arial"/>
                <w:sz w:val="20"/>
                <w:szCs w:val="20"/>
                <w:lang w:eastAsia="ko-KR"/>
              </w:rPr>
              <w:t>ημερ. 21/12/2010.</w:t>
            </w:r>
            <w:r w:rsidRPr="00903F89">
              <w:rPr>
                <w:rFonts w:cs="Arial"/>
                <w:sz w:val="20"/>
                <w:szCs w:val="20"/>
                <w:lang w:eastAsia="ko-KR"/>
              </w:rPr>
              <w:t xml:space="preserve"> </w:t>
            </w:r>
            <w:r w:rsidR="00BB739D" w:rsidRPr="00903F89">
              <w:rPr>
                <w:rFonts w:cs="Arial"/>
                <w:sz w:val="20"/>
                <w:szCs w:val="20"/>
                <w:lang w:eastAsia="ko-KR"/>
              </w:rPr>
              <w:t xml:space="preserve">Από την πρόνοια του άρθρου αυτού ενδέχεται να χρηματοδοτούνται και δαπάνες που απορρέουν από </w:t>
            </w:r>
            <w:r w:rsidR="00FD18C1" w:rsidRPr="00903F89">
              <w:rPr>
                <w:rFonts w:cs="Arial"/>
                <w:sz w:val="20"/>
                <w:szCs w:val="20"/>
                <w:lang w:eastAsia="ko-KR"/>
              </w:rPr>
              <w:t xml:space="preserve">τη συμφωνία </w:t>
            </w:r>
            <w:r w:rsidR="00BB739D" w:rsidRPr="00903F89">
              <w:rPr>
                <w:rFonts w:cs="Arial"/>
                <w:sz w:val="20"/>
                <w:szCs w:val="20"/>
                <w:lang w:eastAsia="ko-KR"/>
              </w:rPr>
              <w:t xml:space="preserve">για </w:t>
            </w:r>
            <w:r w:rsidR="003D2F85" w:rsidRPr="00903F89">
              <w:rPr>
                <w:rFonts w:cs="Arial"/>
                <w:sz w:val="20"/>
                <w:szCs w:val="20"/>
                <w:lang w:eastAsia="ko-KR"/>
              </w:rPr>
              <w:t xml:space="preserve">την </w:t>
            </w:r>
            <w:r w:rsidR="00BB739D" w:rsidRPr="00903F89">
              <w:rPr>
                <w:rFonts w:cs="Arial"/>
                <w:sz w:val="20"/>
                <w:szCs w:val="20"/>
                <w:lang w:eastAsia="ko-KR"/>
              </w:rPr>
              <w:t xml:space="preserve">ίδρυση </w:t>
            </w:r>
            <w:r w:rsidR="00FD18C1" w:rsidRPr="00903F89">
              <w:rPr>
                <w:rFonts w:cs="Arial"/>
                <w:sz w:val="20"/>
                <w:szCs w:val="20"/>
                <w:lang w:eastAsia="ko-KR"/>
              </w:rPr>
              <w:t xml:space="preserve">της Έδρας </w:t>
            </w:r>
            <w:r w:rsidR="00BB739D" w:rsidRPr="00903F89">
              <w:rPr>
                <w:rFonts w:cs="Arial"/>
                <w:sz w:val="20"/>
                <w:szCs w:val="20"/>
                <w:lang w:eastAsia="ko-KR"/>
              </w:rPr>
              <w:t>Σύλβιας Ιωάννου στις Ψηφιακές Ανθρωπιστικές Επιστήμες.</w:t>
            </w:r>
            <w:r w:rsidRPr="00903F89">
              <w:rPr>
                <w:rFonts w:cs="Arial"/>
                <w:sz w:val="20"/>
                <w:szCs w:val="20"/>
                <w:lang w:eastAsia="ko-KR"/>
              </w:rPr>
              <w:t xml:space="preserve"> </w:t>
            </w:r>
          </w:p>
        </w:tc>
      </w:tr>
      <w:tr w:rsidR="00492B85" w:rsidRPr="00903F89" w14:paraId="1EC66019" w14:textId="77777777" w:rsidTr="00AD5278">
        <w:tc>
          <w:tcPr>
            <w:tcW w:w="2870" w:type="dxa"/>
            <w:shd w:val="clear" w:color="auto" w:fill="auto"/>
          </w:tcPr>
          <w:p w14:paraId="6E0826B2" w14:textId="77777777" w:rsidR="00C52864" w:rsidRPr="00903F89" w:rsidRDefault="00C52864" w:rsidP="00903F89">
            <w:pPr>
              <w:jc w:val="both"/>
              <w:rPr>
                <w:rFonts w:cs="Arial"/>
                <w:b/>
                <w:sz w:val="20"/>
                <w:szCs w:val="20"/>
                <w:u w:val="single"/>
              </w:rPr>
            </w:pPr>
          </w:p>
        </w:tc>
        <w:tc>
          <w:tcPr>
            <w:tcW w:w="3865" w:type="dxa"/>
            <w:shd w:val="clear" w:color="auto" w:fill="auto"/>
          </w:tcPr>
          <w:p w14:paraId="49C15BFF" w14:textId="77777777" w:rsidR="00C52864" w:rsidRPr="00903F89" w:rsidRDefault="00C52864" w:rsidP="00903F89">
            <w:pPr>
              <w:jc w:val="both"/>
              <w:rPr>
                <w:rFonts w:cs="Arial"/>
                <w:sz w:val="20"/>
                <w:szCs w:val="20"/>
              </w:rPr>
            </w:pPr>
          </w:p>
        </w:tc>
        <w:tc>
          <w:tcPr>
            <w:tcW w:w="3803" w:type="dxa"/>
          </w:tcPr>
          <w:p w14:paraId="19F31DAE" w14:textId="77777777" w:rsidR="00C52864" w:rsidRPr="00903F89" w:rsidRDefault="00C52864" w:rsidP="00903F89">
            <w:pPr>
              <w:jc w:val="both"/>
              <w:rPr>
                <w:rFonts w:cs="Arial"/>
                <w:b/>
                <w:sz w:val="20"/>
                <w:szCs w:val="20"/>
                <w:u w:val="single"/>
              </w:rPr>
            </w:pPr>
          </w:p>
        </w:tc>
      </w:tr>
      <w:tr w:rsidR="00492B85" w:rsidRPr="00903F89" w14:paraId="377268A7" w14:textId="77777777" w:rsidTr="00AD5278">
        <w:trPr>
          <w:trHeight w:val="157"/>
        </w:trPr>
        <w:tc>
          <w:tcPr>
            <w:tcW w:w="10538" w:type="dxa"/>
            <w:gridSpan w:val="3"/>
            <w:shd w:val="clear" w:color="auto" w:fill="auto"/>
          </w:tcPr>
          <w:p w14:paraId="1E798866" w14:textId="5FD68249" w:rsidR="008F763E" w:rsidRPr="00903F89" w:rsidRDefault="045AFEAA" w:rsidP="00903F89">
            <w:pPr>
              <w:jc w:val="both"/>
              <w:rPr>
                <w:rFonts w:eastAsia="Arial" w:cs="Arial"/>
                <w:b/>
                <w:bCs/>
                <w:sz w:val="20"/>
                <w:szCs w:val="20"/>
                <w:u w:val="single"/>
              </w:rPr>
            </w:pPr>
            <w:r w:rsidRPr="00903F89">
              <w:rPr>
                <w:rFonts w:cs="Arial"/>
                <w:sz w:val="20"/>
                <w:szCs w:val="20"/>
                <w:u w:val="single"/>
                <w:lang w:eastAsia="zh-CN"/>
              </w:rPr>
              <w:t xml:space="preserve">Επιχορήγηση Μελών Ειδικού Εκπαιδευτικού Προσωπικού για Συμμετοχή σε Συνέδρια </w:t>
            </w:r>
          </w:p>
        </w:tc>
      </w:tr>
      <w:tr w:rsidR="00492B85" w:rsidRPr="00903F89" w14:paraId="5FB96B34" w14:textId="77777777" w:rsidTr="00AD5278">
        <w:tc>
          <w:tcPr>
            <w:tcW w:w="2870" w:type="dxa"/>
            <w:shd w:val="clear" w:color="auto" w:fill="auto"/>
          </w:tcPr>
          <w:p w14:paraId="6CB95F05" w14:textId="77777777" w:rsidR="008F763E" w:rsidRPr="00903F89" w:rsidRDefault="008F763E" w:rsidP="00903F89">
            <w:pPr>
              <w:jc w:val="both"/>
              <w:rPr>
                <w:rFonts w:cs="Arial"/>
                <w:b/>
                <w:sz w:val="20"/>
                <w:szCs w:val="20"/>
                <w:u w:val="single"/>
              </w:rPr>
            </w:pPr>
          </w:p>
        </w:tc>
        <w:tc>
          <w:tcPr>
            <w:tcW w:w="3865" w:type="dxa"/>
            <w:shd w:val="clear" w:color="auto" w:fill="auto"/>
          </w:tcPr>
          <w:p w14:paraId="1E7F46C4" w14:textId="77777777" w:rsidR="008F763E" w:rsidRPr="00903F89" w:rsidRDefault="008F763E" w:rsidP="00903F89">
            <w:pPr>
              <w:jc w:val="both"/>
              <w:rPr>
                <w:rFonts w:cs="Arial"/>
                <w:sz w:val="20"/>
                <w:szCs w:val="20"/>
              </w:rPr>
            </w:pPr>
          </w:p>
        </w:tc>
        <w:tc>
          <w:tcPr>
            <w:tcW w:w="3803" w:type="dxa"/>
          </w:tcPr>
          <w:p w14:paraId="13CAA21A" w14:textId="77777777" w:rsidR="008F763E" w:rsidRPr="00903F89" w:rsidRDefault="008F763E" w:rsidP="00903F89">
            <w:pPr>
              <w:jc w:val="both"/>
              <w:rPr>
                <w:rFonts w:cs="Arial"/>
                <w:b/>
                <w:sz w:val="20"/>
                <w:szCs w:val="20"/>
                <w:u w:val="single"/>
              </w:rPr>
            </w:pPr>
          </w:p>
        </w:tc>
      </w:tr>
      <w:tr w:rsidR="00492B85" w:rsidRPr="00903F89" w14:paraId="7D4EDBAF" w14:textId="77777777" w:rsidTr="00AD5278">
        <w:tc>
          <w:tcPr>
            <w:tcW w:w="10538" w:type="dxa"/>
            <w:gridSpan w:val="3"/>
            <w:shd w:val="clear" w:color="auto" w:fill="auto"/>
          </w:tcPr>
          <w:p w14:paraId="7191B161" w14:textId="3162C72A" w:rsidR="008F763E" w:rsidRPr="00903F89" w:rsidRDefault="4407E268" w:rsidP="00903F89">
            <w:pPr>
              <w:jc w:val="both"/>
              <w:rPr>
                <w:rFonts w:eastAsia="Arial" w:cs="Arial"/>
                <w:b/>
                <w:bCs/>
                <w:sz w:val="20"/>
                <w:szCs w:val="20"/>
                <w:u w:val="single"/>
              </w:rPr>
            </w:pPr>
            <w:r w:rsidRPr="00903F89">
              <w:rPr>
                <w:rFonts w:cs="Arial"/>
                <w:sz w:val="20"/>
                <w:szCs w:val="20"/>
              </w:rPr>
              <w:t xml:space="preserve">Σύμφωνα με την ισχύουσα πολιτική, η συμμετοχή μελών Ειδικού Εκπαιδευτικού Προσωπικού σε συνέδρια εκτός Κύπρου δύναται να επιχορηγείται από το Πανεπιστήμιο Κύπρου νοουμένου ότι (α) υπάρχουν οι διαθέσιμες κατανεμημένες πιστώσεις στο πλαίσιο του Άρθρου 311 «Ερευνητικά Προγράμματα/ Δραστηριότητες», είτε κρατική χορηγίας είτε ιδίων εσόδων (τμηματικών και κεντρικών), έναντι των οποίων οι σχετικές δαπάνες θα χρεωθούν, και (β) το μέλος </w:t>
            </w:r>
            <w:r w:rsidRPr="00903F89">
              <w:rPr>
                <w:rFonts w:cs="Arial"/>
                <w:sz w:val="20"/>
                <w:szCs w:val="20"/>
                <w:lang w:eastAsia="zh-CN"/>
              </w:rPr>
              <w:t>Ειδικού Εκπαιδευτικού Προσωπικού</w:t>
            </w:r>
            <w:r w:rsidRPr="00903F89">
              <w:rPr>
                <w:rFonts w:cs="Arial"/>
                <w:sz w:val="20"/>
                <w:szCs w:val="20"/>
              </w:rPr>
              <w:t xml:space="preserve"> θα παρουσιάσει ερευνητικό έργο ή θα συμμετάσχει σε παιδαγωγικά εργαστήρια (</w:t>
            </w:r>
            <w:proofErr w:type="spellStart"/>
            <w:r w:rsidRPr="00903F89">
              <w:rPr>
                <w:rFonts w:cs="Arial"/>
                <w:sz w:val="20"/>
                <w:szCs w:val="20"/>
              </w:rPr>
              <w:t>pedagogical</w:t>
            </w:r>
            <w:proofErr w:type="spellEnd"/>
            <w:r w:rsidRPr="00903F89">
              <w:rPr>
                <w:rFonts w:cs="Arial"/>
                <w:sz w:val="20"/>
                <w:szCs w:val="20"/>
              </w:rPr>
              <w:t xml:space="preserve"> </w:t>
            </w:r>
            <w:proofErr w:type="spellStart"/>
            <w:r w:rsidRPr="00903F89">
              <w:rPr>
                <w:rFonts w:cs="Arial"/>
                <w:sz w:val="20"/>
                <w:szCs w:val="20"/>
              </w:rPr>
              <w:t>workshops</w:t>
            </w:r>
            <w:proofErr w:type="spellEnd"/>
            <w:r w:rsidRPr="00903F89">
              <w:rPr>
                <w:rFonts w:cs="Arial"/>
                <w:sz w:val="20"/>
                <w:szCs w:val="20"/>
              </w:rPr>
              <w:t xml:space="preserve">), τα οποία συνδέονται με το αντίστοιχο πεδίο διδασκαλίας. </w:t>
            </w:r>
          </w:p>
        </w:tc>
      </w:tr>
      <w:tr w:rsidR="00492B85" w:rsidRPr="00903F89" w14:paraId="10D8EF5B" w14:textId="77777777" w:rsidTr="00AD5278">
        <w:tc>
          <w:tcPr>
            <w:tcW w:w="2870" w:type="dxa"/>
            <w:shd w:val="clear" w:color="auto" w:fill="auto"/>
          </w:tcPr>
          <w:p w14:paraId="062675E1" w14:textId="77777777" w:rsidR="008F763E" w:rsidRPr="00903F89" w:rsidRDefault="008F763E" w:rsidP="00903F89">
            <w:pPr>
              <w:jc w:val="both"/>
              <w:rPr>
                <w:rFonts w:cs="Arial"/>
                <w:b/>
                <w:sz w:val="20"/>
                <w:szCs w:val="20"/>
                <w:u w:val="single"/>
              </w:rPr>
            </w:pPr>
          </w:p>
        </w:tc>
        <w:tc>
          <w:tcPr>
            <w:tcW w:w="3865" w:type="dxa"/>
            <w:shd w:val="clear" w:color="auto" w:fill="auto"/>
          </w:tcPr>
          <w:p w14:paraId="0C84EAA5" w14:textId="77777777" w:rsidR="008F763E" w:rsidRPr="00903F89" w:rsidRDefault="008F763E" w:rsidP="00903F89">
            <w:pPr>
              <w:jc w:val="both"/>
              <w:rPr>
                <w:rFonts w:cs="Arial"/>
                <w:sz w:val="20"/>
                <w:szCs w:val="20"/>
              </w:rPr>
            </w:pPr>
          </w:p>
        </w:tc>
        <w:tc>
          <w:tcPr>
            <w:tcW w:w="3803" w:type="dxa"/>
          </w:tcPr>
          <w:p w14:paraId="622A6E5E" w14:textId="77777777" w:rsidR="008F763E" w:rsidRPr="00903F89" w:rsidRDefault="008F763E" w:rsidP="00903F89">
            <w:pPr>
              <w:jc w:val="both"/>
              <w:rPr>
                <w:rFonts w:cs="Arial"/>
                <w:b/>
                <w:sz w:val="20"/>
                <w:szCs w:val="20"/>
                <w:u w:val="single"/>
              </w:rPr>
            </w:pPr>
          </w:p>
        </w:tc>
      </w:tr>
      <w:tr w:rsidR="00492B85" w:rsidRPr="00903F89" w14:paraId="621D3C49" w14:textId="77777777" w:rsidTr="00AD5278">
        <w:tc>
          <w:tcPr>
            <w:tcW w:w="10538" w:type="dxa"/>
            <w:gridSpan w:val="3"/>
            <w:shd w:val="clear" w:color="auto" w:fill="auto"/>
          </w:tcPr>
          <w:p w14:paraId="440A81AA" w14:textId="05407CA1" w:rsidR="008F763E" w:rsidRPr="00903F89" w:rsidRDefault="045AFEAA" w:rsidP="00903F89">
            <w:pPr>
              <w:jc w:val="both"/>
              <w:rPr>
                <w:rFonts w:eastAsia="Arial" w:cs="Arial"/>
                <w:b/>
                <w:bCs/>
                <w:sz w:val="20"/>
                <w:szCs w:val="20"/>
                <w:u w:val="single"/>
              </w:rPr>
            </w:pPr>
            <w:r w:rsidRPr="00903F89">
              <w:rPr>
                <w:rFonts w:cs="Arial"/>
                <w:sz w:val="20"/>
                <w:szCs w:val="20"/>
              </w:rPr>
              <w:t xml:space="preserve">Διευκρινίζεται ότι τα έξοδα συμμετοχής καλύπτονται από το Άρθρο 311 «Ερευνητικά Προγράμματα/ Δραστηριότητες» με ποσό κάλυψης (α) €900 ανά μέλος </w:t>
            </w:r>
            <w:r w:rsidRPr="00903F89">
              <w:rPr>
                <w:rFonts w:cs="Arial"/>
                <w:sz w:val="20"/>
                <w:szCs w:val="20"/>
                <w:lang w:eastAsia="zh-CN"/>
              </w:rPr>
              <w:t>Ειδικού Εκπαιδευτικού Προσωπικού</w:t>
            </w:r>
            <w:r w:rsidRPr="00903F89">
              <w:rPr>
                <w:rFonts w:cs="Arial"/>
                <w:sz w:val="20"/>
                <w:szCs w:val="20"/>
              </w:rPr>
              <w:t xml:space="preserve"> ανά έτος, εκ των οποίων το 25% τουλάχιστον θα χρηματοδοτηθεί από έσοδα της οργανωτικής οντότητας στην οποία ανήκει το μέλος </w:t>
            </w:r>
            <w:r w:rsidRPr="00903F89">
              <w:rPr>
                <w:rFonts w:cs="Arial"/>
                <w:sz w:val="20"/>
                <w:szCs w:val="20"/>
                <w:lang w:eastAsia="zh-CN"/>
              </w:rPr>
              <w:t>Ειδικού Εκπαιδευτικού Προσωπικού</w:t>
            </w:r>
            <w:r w:rsidRPr="00903F89">
              <w:rPr>
                <w:rFonts w:cs="Arial"/>
                <w:sz w:val="20"/>
                <w:szCs w:val="20"/>
              </w:rPr>
              <w:t xml:space="preserve"> (δηλ. €225).  Το υπόλοιπο 75% (€675) θα καλύπτεται από κρατική χορηγία. </w:t>
            </w:r>
          </w:p>
        </w:tc>
      </w:tr>
      <w:tr w:rsidR="009D45CE" w:rsidRPr="00903F89" w14:paraId="5440348C" w14:textId="77777777" w:rsidTr="00AD5278">
        <w:tc>
          <w:tcPr>
            <w:tcW w:w="10538" w:type="dxa"/>
            <w:gridSpan w:val="3"/>
            <w:shd w:val="clear" w:color="auto" w:fill="auto"/>
          </w:tcPr>
          <w:p w14:paraId="4337F1B3" w14:textId="77777777" w:rsidR="009D45CE" w:rsidRPr="00903F89" w:rsidRDefault="009D45CE" w:rsidP="00903F89">
            <w:pPr>
              <w:jc w:val="both"/>
              <w:rPr>
                <w:rFonts w:cs="Arial"/>
                <w:sz w:val="20"/>
                <w:szCs w:val="20"/>
              </w:rPr>
            </w:pPr>
          </w:p>
        </w:tc>
      </w:tr>
      <w:tr w:rsidR="00BD3BD1" w:rsidRPr="00903F89" w14:paraId="6ABB41CF" w14:textId="77777777" w:rsidTr="00AD5278">
        <w:tc>
          <w:tcPr>
            <w:tcW w:w="10538" w:type="dxa"/>
            <w:gridSpan w:val="3"/>
            <w:shd w:val="clear" w:color="auto" w:fill="auto"/>
          </w:tcPr>
          <w:p w14:paraId="551D93C8" w14:textId="20E3903C" w:rsidR="009D45CE" w:rsidRPr="00903F89" w:rsidRDefault="009D45CE" w:rsidP="00903F89">
            <w:pPr>
              <w:jc w:val="both"/>
              <w:rPr>
                <w:rFonts w:cs="Arial"/>
                <w:sz w:val="20"/>
                <w:szCs w:val="20"/>
              </w:rPr>
            </w:pPr>
            <w:r w:rsidRPr="00903F89">
              <w:rPr>
                <w:rFonts w:cs="Arial"/>
                <w:sz w:val="20"/>
                <w:szCs w:val="20"/>
                <w:u w:val="single"/>
                <w:lang w:eastAsia="zh-CN"/>
              </w:rPr>
              <w:t>Στήριξη Ερευνητικού Έργου Ειδικών Επιστημόνων Διδασκαλίας</w:t>
            </w:r>
          </w:p>
        </w:tc>
      </w:tr>
      <w:tr w:rsidR="00BD3BD1" w:rsidRPr="00903F89" w14:paraId="4C52DCF2" w14:textId="77777777" w:rsidTr="00AD5278">
        <w:tc>
          <w:tcPr>
            <w:tcW w:w="10538" w:type="dxa"/>
            <w:gridSpan w:val="3"/>
            <w:shd w:val="clear" w:color="auto" w:fill="auto"/>
          </w:tcPr>
          <w:p w14:paraId="090628AB" w14:textId="77777777" w:rsidR="009D45CE" w:rsidRPr="00903F89" w:rsidRDefault="009D45CE" w:rsidP="00903F89">
            <w:pPr>
              <w:jc w:val="both"/>
              <w:rPr>
                <w:rFonts w:cs="Arial"/>
                <w:sz w:val="20"/>
                <w:szCs w:val="20"/>
              </w:rPr>
            </w:pPr>
          </w:p>
        </w:tc>
      </w:tr>
      <w:tr w:rsidR="00BD3BD1" w:rsidRPr="00903F89" w14:paraId="179B4D2E" w14:textId="77777777" w:rsidTr="00AD5278">
        <w:tc>
          <w:tcPr>
            <w:tcW w:w="10538" w:type="dxa"/>
            <w:gridSpan w:val="3"/>
            <w:shd w:val="clear" w:color="auto" w:fill="auto"/>
          </w:tcPr>
          <w:p w14:paraId="1472EA83" w14:textId="45FA8657" w:rsidR="009D45CE" w:rsidRPr="00903F89" w:rsidRDefault="009D45CE" w:rsidP="00903F89">
            <w:pPr>
              <w:jc w:val="both"/>
              <w:rPr>
                <w:rFonts w:cs="Arial"/>
                <w:sz w:val="20"/>
                <w:szCs w:val="20"/>
              </w:rPr>
            </w:pPr>
            <w:r w:rsidRPr="00903F89">
              <w:rPr>
                <w:rFonts w:cs="Arial"/>
                <w:sz w:val="20"/>
                <w:szCs w:val="20"/>
                <w:lang w:eastAsia="zh-CN"/>
              </w:rPr>
              <w:t xml:space="preserve">Σύμφωνα με την </w:t>
            </w:r>
            <w:r w:rsidR="002E5674" w:rsidRPr="00903F89">
              <w:rPr>
                <w:rFonts w:cs="Arial"/>
                <w:sz w:val="20"/>
                <w:szCs w:val="20"/>
                <w:lang w:eastAsia="zh-CN"/>
              </w:rPr>
              <w:t xml:space="preserve">υφιστάμενη </w:t>
            </w:r>
            <w:r w:rsidRPr="00903F89">
              <w:rPr>
                <w:rFonts w:cs="Arial"/>
                <w:sz w:val="20"/>
                <w:szCs w:val="20"/>
                <w:lang w:eastAsia="zh-CN"/>
              </w:rPr>
              <w:t>πολιτική</w:t>
            </w:r>
            <w:r w:rsidR="00386F9E" w:rsidRPr="00903F89">
              <w:rPr>
                <w:rFonts w:cs="Arial"/>
                <w:sz w:val="20"/>
                <w:szCs w:val="20"/>
                <w:lang w:eastAsia="zh-CN"/>
              </w:rPr>
              <w:t>,</w:t>
            </w:r>
            <w:r w:rsidRPr="00903F89">
              <w:rPr>
                <w:rFonts w:cs="Arial"/>
                <w:sz w:val="20"/>
                <w:szCs w:val="20"/>
                <w:lang w:eastAsia="zh-CN"/>
              </w:rPr>
              <w:t xml:space="preserve"> η συμμετοχή των Ειδικών Επιστημόνων Διδασκαλίας σε συνέδρια για παρουσίαση επιστημονικών εργασιών θα χρηματοδοτείται σε ποσοστό 50% από κεντρικούς πόρους (κατόπιν σχετικών εγκρίσεων της Επιτροπής Έρευνας) και κατά 50% από </w:t>
            </w:r>
            <w:r w:rsidR="00822BC0" w:rsidRPr="00903F89">
              <w:rPr>
                <w:rFonts w:cs="Arial"/>
                <w:sz w:val="20"/>
                <w:szCs w:val="20"/>
                <w:lang w:eastAsia="zh-CN"/>
              </w:rPr>
              <w:t>Έσοδα εκτός κρατικής χορηγίας</w:t>
            </w:r>
            <w:r w:rsidRPr="00903F89">
              <w:rPr>
                <w:rFonts w:cs="Arial"/>
                <w:sz w:val="20"/>
                <w:szCs w:val="20"/>
                <w:lang w:eastAsia="zh-CN"/>
              </w:rPr>
              <w:t xml:space="preserve"> του Τμήματος</w:t>
            </w:r>
            <w:r w:rsidR="002E5674" w:rsidRPr="00903F89">
              <w:rPr>
                <w:rFonts w:cs="Arial"/>
                <w:sz w:val="20"/>
                <w:szCs w:val="20"/>
                <w:lang w:eastAsia="zh-CN"/>
              </w:rPr>
              <w:t>, με το ποσό των €900 ως το ανώτατο ποσό χρηματοδότησης ανά Ειδικό Επιστήμονα</w:t>
            </w:r>
            <w:r w:rsidR="00386F9E" w:rsidRPr="00903F89">
              <w:rPr>
                <w:rFonts w:cs="Arial"/>
                <w:sz w:val="20"/>
                <w:szCs w:val="20"/>
                <w:lang w:eastAsia="zh-CN"/>
              </w:rPr>
              <w:t xml:space="preserve"> (</w:t>
            </w:r>
            <w:bookmarkStart w:id="39" w:name="_Hlk87949454"/>
            <w:r w:rsidR="00333915" w:rsidRPr="00903F89">
              <w:rPr>
                <w:rFonts w:cs="Arial"/>
                <w:sz w:val="20"/>
                <w:szCs w:val="20"/>
              </w:rPr>
              <w:t>Απόφαση Επιτροπής Προσωπικού και Κανονισμών</w:t>
            </w:r>
            <w:r w:rsidR="00333915">
              <w:rPr>
                <w:rFonts w:cs="Arial"/>
                <w:sz w:val="20"/>
                <w:szCs w:val="20"/>
              </w:rPr>
              <w:t xml:space="preserve"> του Συμβουλίου</w:t>
            </w:r>
            <w:r w:rsidR="00386F9E" w:rsidRPr="00903F89">
              <w:rPr>
                <w:rFonts w:cs="Arial"/>
                <w:sz w:val="20"/>
                <w:szCs w:val="20"/>
                <w:lang w:eastAsia="zh-CN"/>
              </w:rPr>
              <w:t>, Συνεδρία Αρ. 15/2018</w:t>
            </w:r>
            <w:bookmarkEnd w:id="39"/>
            <w:r w:rsidR="00386F9E" w:rsidRPr="00903F89">
              <w:rPr>
                <w:rFonts w:cs="Arial"/>
                <w:sz w:val="20"/>
                <w:szCs w:val="20"/>
                <w:lang w:eastAsia="zh-CN"/>
              </w:rPr>
              <w:t>, ημερ.</w:t>
            </w:r>
            <w:r w:rsidR="00386F9E" w:rsidRPr="00903F89">
              <w:rPr>
                <w:rFonts w:cs="Arial"/>
                <w:sz w:val="20"/>
                <w:szCs w:val="20"/>
              </w:rPr>
              <w:t xml:space="preserve"> 21/11/2018</w:t>
            </w:r>
            <w:r w:rsidR="00386F9E" w:rsidRPr="00903F89">
              <w:rPr>
                <w:rFonts w:cs="Arial"/>
                <w:sz w:val="20"/>
                <w:szCs w:val="20"/>
                <w:lang w:eastAsia="zh-CN"/>
              </w:rPr>
              <w:t>)</w:t>
            </w:r>
            <w:r w:rsidR="002E5674" w:rsidRPr="00903F89">
              <w:rPr>
                <w:rFonts w:cs="Arial"/>
                <w:sz w:val="20"/>
                <w:szCs w:val="20"/>
                <w:lang w:eastAsia="zh-CN"/>
              </w:rPr>
              <w:t>.</w:t>
            </w:r>
          </w:p>
        </w:tc>
      </w:tr>
      <w:tr w:rsidR="00492B85" w:rsidRPr="00903F89" w14:paraId="0A44B361" w14:textId="77777777" w:rsidTr="00AD5278">
        <w:tc>
          <w:tcPr>
            <w:tcW w:w="2870" w:type="dxa"/>
            <w:shd w:val="clear" w:color="auto" w:fill="auto"/>
          </w:tcPr>
          <w:p w14:paraId="1B448BEB" w14:textId="77777777" w:rsidR="008F763E" w:rsidRPr="00903F89" w:rsidRDefault="008F763E" w:rsidP="00903F89">
            <w:pPr>
              <w:jc w:val="both"/>
              <w:rPr>
                <w:rFonts w:cs="Arial"/>
                <w:b/>
                <w:sz w:val="20"/>
                <w:szCs w:val="20"/>
                <w:u w:val="single"/>
              </w:rPr>
            </w:pPr>
          </w:p>
        </w:tc>
        <w:tc>
          <w:tcPr>
            <w:tcW w:w="3865" w:type="dxa"/>
            <w:shd w:val="clear" w:color="auto" w:fill="auto"/>
          </w:tcPr>
          <w:p w14:paraId="2FB865A7" w14:textId="77777777" w:rsidR="008F763E" w:rsidRPr="00903F89" w:rsidRDefault="008F763E" w:rsidP="00903F89">
            <w:pPr>
              <w:autoSpaceDE w:val="0"/>
              <w:autoSpaceDN w:val="0"/>
              <w:adjustRightInd w:val="0"/>
              <w:ind w:left="284"/>
              <w:contextualSpacing/>
              <w:jc w:val="both"/>
              <w:rPr>
                <w:rFonts w:cs="Arial"/>
                <w:sz w:val="20"/>
                <w:szCs w:val="20"/>
              </w:rPr>
            </w:pPr>
          </w:p>
        </w:tc>
        <w:tc>
          <w:tcPr>
            <w:tcW w:w="3803" w:type="dxa"/>
          </w:tcPr>
          <w:p w14:paraId="502082BF" w14:textId="77777777" w:rsidR="008F763E" w:rsidRPr="00903F89" w:rsidRDefault="008F763E" w:rsidP="00903F89">
            <w:pPr>
              <w:jc w:val="both"/>
              <w:rPr>
                <w:rFonts w:cs="Arial"/>
                <w:b/>
                <w:sz w:val="20"/>
                <w:szCs w:val="20"/>
                <w:u w:val="single"/>
              </w:rPr>
            </w:pPr>
          </w:p>
        </w:tc>
      </w:tr>
      <w:tr w:rsidR="00492B85" w:rsidRPr="00903F89" w14:paraId="5305C761" w14:textId="77777777" w:rsidTr="00AD5278">
        <w:tc>
          <w:tcPr>
            <w:tcW w:w="10538" w:type="dxa"/>
            <w:gridSpan w:val="3"/>
            <w:shd w:val="clear" w:color="auto" w:fill="auto"/>
          </w:tcPr>
          <w:p w14:paraId="6DBEFD3C" w14:textId="3844F8F4" w:rsidR="008F763E" w:rsidRPr="00903F89" w:rsidRDefault="045AFEAA" w:rsidP="00903F89">
            <w:pPr>
              <w:jc w:val="both"/>
              <w:rPr>
                <w:rFonts w:eastAsia="Arial" w:cs="Arial"/>
                <w:sz w:val="20"/>
                <w:szCs w:val="20"/>
              </w:rPr>
            </w:pPr>
            <w:r w:rsidRPr="00903F89">
              <w:rPr>
                <w:rFonts w:cs="Arial"/>
                <w:sz w:val="20"/>
                <w:szCs w:val="20"/>
                <w:u w:val="single"/>
                <w:lang w:eastAsia="zh-CN"/>
              </w:rPr>
              <w:t xml:space="preserve">Επιχορήγηση Μεταδιδακτορικών Ερευνητών για </w:t>
            </w:r>
            <w:r w:rsidR="008A4371" w:rsidRPr="00903F89">
              <w:rPr>
                <w:rFonts w:cs="Arial"/>
                <w:sz w:val="20"/>
                <w:szCs w:val="20"/>
                <w:u w:val="single"/>
                <w:lang w:eastAsia="zh-CN"/>
              </w:rPr>
              <w:t>‘Έξοδα Έρευνας</w:t>
            </w:r>
          </w:p>
        </w:tc>
      </w:tr>
      <w:tr w:rsidR="00492B85" w:rsidRPr="00903F89" w14:paraId="2AFBF022" w14:textId="77777777" w:rsidTr="00AD5278">
        <w:tc>
          <w:tcPr>
            <w:tcW w:w="10538" w:type="dxa"/>
            <w:gridSpan w:val="3"/>
            <w:shd w:val="clear" w:color="auto" w:fill="auto"/>
          </w:tcPr>
          <w:p w14:paraId="2B16F684" w14:textId="46E213D7" w:rsidR="00657DFB" w:rsidRPr="00903F89" w:rsidRDefault="00657DFB" w:rsidP="00903F89">
            <w:pPr>
              <w:jc w:val="both"/>
              <w:rPr>
                <w:rFonts w:cs="Arial"/>
                <w:b/>
                <w:i/>
                <w:sz w:val="20"/>
                <w:szCs w:val="20"/>
              </w:rPr>
            </w:pPr>
          </w:p>
        </w:tc>
      </w:tr>
      <w:tr w:rsidR="00492B85" w:rsidRPr="00903F89" w14:paraId="744556A3" w14:textId="77777777" w:rsidTr="00AD5278">
        <w:tc>
          <w:tcPr>
            <w:tcW w:w="10538" w:type="dxa"/>
            <w:gridSpan w:val="3"/>
            <w:shd w:val="clear" w:color="auto" w:fill="auto"/>
          </w:tcPr>
          <w:p w14:paraId="12C3955A" w14:textId="1EACB9F5" w:rsidR="008F763E" w:rsidRPr="00903F89" w:rsidRDefault="008A4371" w:rsidP="00903F89">
            <w:pPr>
              <w:jc w:val="both"/>
              <w:rPr>
                <w:rFonts w:eastAsia="Arial" w:cs="Arial"/>
                <w:sz w:val="20"/>
                <w:szCs w:val="20"/>
              </w:rPr>
            </w:pPr>
            <w:r w:rsidRPr="00903F89">
              <w:rPr>
                <w:rFonts w:cs="Arial"/>
                <w:sz w:val="20"/>
                <w:szCs w:val="20"/>
                <w:lang w:eastAsia="zh-CN"/>
              </w:rPr>
              <w:t xml:space="preserve">Η πρόνοια του άρθρου δύναται να καλύψει Έξοδα Έρευνας για τους μεταδιδακτορικούς ερευνητές όπως π.χ. συμμετοχή σε συνέδριο για παρουσίαση του ερευνητικού τους έργου, δημοσιεύσεις, αναλώσιμα </w:t>
            </w:r>
            <w:r w:rsidR="00D55285" w:rsidRPr="00903F89">
              <w:rPr>
                <w:rFonts w:cs="Arial"/>
                <w:sz w:val="20"/>
                <w:szCs w:val="20"/>
                <w:lang w:eastAsia="zh-CN"/>
              </w:rPr>
              <w:t>κ.λπ</w:t>
            </w:r>
            <w:r w:rsidRPr="00903F89">
              <w:rPr>
                <w:rFonts w:cs="Arial"/>
                <w:sz w:val="20"/>
                <w:szCs w:val="20"/>
                <w:lang w:eastAsia="zh-CN"/>
              </w:rPr>
              <w:t>.</w:t>
            </w:r>
          </w:p>
        </w:tc>
      </w:tr>
      <w:tr w:rsidR="00CA29FB" w:rsidRPr="00903F89" w14:paraId="337EC314" w14:textId="77777777" w:rsidTr="00AD5278">
        <w:tc>
          <w:tcPr>
            <w:tcW w:w="10538" w:type="dxa"/>
            <w:gridSpan w:val="3"/>
            <w:shd w:val="clear" w:color="auto" w:fill="auto"/>
          </w:tcPr>
          <w:p w14:paraId="3C30B439" w14:textId="77777777" w:rsidR="00CA29FB" w:rsidRPr="00903F89" w:rsidRDefault="00CA29FB" w:rsidP="00903F89">
            <w:pPr>
              <w:jc w:val="both"/>
              <w:rPr>
                <w:rFonts w:cs="Arial"/>
                <w:sz w:val="20"/>
                <w:szCs w:val="20"/>
                <w:lang w:eastAsia="zh-CN"/>
              </w:rPr>
            </w:pPr>
          </w:p>
        </w:tc>
      </w:tr>
      <w:tr w:rsidR="00903F89" w:rsidRPr="00903F89" w14:paraId="780D07AB" w14:textId="77777777" w:rsidTr="00380448">
        <w:tc>
          <w:tcPr>
            <w:tcW w:w="10538" w:type="dxa"/>
            <w:gridSpan w:val="3"/>
            <w:shd w:val="clear" w:color="auto" w:fill="auto"/>
          </w:tcPr>
          <w:p w14:paraId="7A10F828" w14:textId="00CE7BE0" w:rsidR="001C1975" w:rsidRPr="00903F89" w:rsidRDefault="00CA29FB" w:rsidP="00903F89">
            <w:pPr>
              <w:tabs>
                <w:tab w:val="left" w:pos="915"/>
              </w:tabs>
              <w:jc w:val="both"/>
              <w:rPr>
                <w:rFonts w:cs="Arial"/>
                <w:b/>
                <w:i/>
                <w:sz w:val="20"/>
                <w:szCs w:val="20"/>
                <w:shd w:val="clear" w:color="auto" w:fill="FFC000"/>
              </w:rPr>
            </w:pPr>
            <w:r w:rsidRPr="00903F89">
              <w:rPr>
                <w:rFonts w:cs="Arial"/>
                <w:sz w:val="20"/>
                <w:szCs w:val="20"/>
                <w:lang w:eastAsia="zh-CN"/>
              </w:rPr>
              <w:t xml:space="preserve">Από το 2022 μέχρι και το 2026, το εν λόγω άρθρο θα χρηματοδοτεί δραστηριότητες έρευνας των μεταδιδακτορικών ερευνητών που θα χρηματοδοτηθούν κάτω από το Πρόγραμμα </w:t>
            </w:r>
            <w:r w:rsidR="00380448" w:rsidRPr="00903F89">
              <w:rPr>
                <w:rFonts w:cs="Arial"/>
                <w:sz w:val="20"/>
                <w:szCs w:val="20"/>
                <w:lang w:eastAsia="zh-CN"/>
              </w:rPr>
              <w:t>«</w:t>
            </w:r>
            <w:r w:rsidRPr="00903F89">
              <w:rPr>
                <w:rFonts w:cs="Arial"/>
                <w:sz w:val="20"/>
                <w:szCs w:val="20"/>
                <w:lang w:eastAsia="zh-CN"/>
              </w:rPr>
              <w:t>ΟΝΗΣΙΛΟΣ</w:t>
            </w:r>
            <w:r w:rsidR="00380448" w:rsidRPr="00903F89">
              <w:rPr>
                <w:rFonts w:cs="Arial"/>
                <w:sz w:val="20"/>
                <w:szCs w:val="20"/>
                <w:lang w:eastAsia="zh-CN"/>
              </w:rPr>
              <w:t>»</w:t>
            </w:r>
            <w:r w:rsidRPr="00903F89">
              <w:rPr>
                <w:rFonts w:cs="Arial"/>
                <w:sz w:val="20"/>
                <w:szCs w:val="20"/>
                <w:lang w:eastAsia="zh-CN"/>
              </w:rPr>
              <w:t xml:space="preserve"> που θα συγχρηματοδοτείται από την Ευρωπαϊκή Ένωση. </w:t>
            </w:r>
            <w:r w:rsidR="00051F1F" w:rsidRPr="00903F89">
              <w:rPr>
                <w:rFonts w:cs="Arial"/>
                <w:sz w:val="20"/>
                <w:szCs w:val="20"/>
                <w:lang w:eastAsia="zh-CN"/>
              </w:rPr>
              <w:t xml:space="preserve"> </w:t>
            </w:r>
            <w:r w:rsidRPr="00903F89">
              <w:rPr>
                <w:rFonts w:cs="Arial"/>
                <w:sz w:val="20"/>
                <w:szCs w:val="20"/>
                <w:lang w:eastAsia="zh-CN"/>
              </w:rPr>
              <w:t xml:space="preserve">Οι δραστηριότητες αυτές θα είναι με τη μορφή μετακινήσεων εξωτερικού για τοποθετήσεις σε συνεργαζόμενους φορείς, συμμετοχή σε συνέδρια, έξοδα δημοσιεύσεων, αναλώσιμα και άλλες συναφείς δραστηριότητες. </w:t>
            </w:r>
            <w:r w:rsidR="00051F1F" w:rsidRPr="00903F89">
              <w:rPr>
                <w:rFonts w:cs="Arial"/>
                <w:sz w:val="20"/>
                <w:szCs w:val="20"/>
                <w:lang w:eastAsia="zh-CN"/>
              </w:rPr>
              <w:t xml:space="preserve"> </w:t>
            </w:r>
            <w:r w:rsidRPr="00903F89">
              <w:rPr>
                <w:rFonts w:cs="Arial"/>
                <w:sz w:val="20"/>
                <w:szCs w:val="20"/>
                <w:lang w:eastAsia="zh-CN"/>
              </w:rPr>
              <w:t>Το ποσό εκτιμάται σε περίπου €200.000 ετησίως.</w:t>
            </w:r>
          </w:p>
        </w:tc>
      </w:tr>
      <w:tr w:rsidR="00CA29FB" w:rsidRPr="00903F89" w14:paraId="1370127C" w14:textId="77777777" w:rsidTr="00CA29FB">
        <w:tc>
          <w:tcPr>
            <w:tcW w:w="10538" w:type="dxa"/>
            <w:gridSpan w:val="3"/>
            <w:shd w:val="clear" w:color="auto" w:fill="auto"/>
          </w:tcPr>
          <w:p w14:paraId="042B7D3C" w14:textId="77777777" w:rsidR="00CA29FB" w:rsidRPr="00903F89" w:rsidRDefault="00CA29FB" w:rsidP="00903F89">
            <w:pPr>
              <w:tabs>
                <w:tab w:val="left" w:pos="915"/>
              </w:tabs>
              <w:jc w:val="both"/>
              <w:rPr>
                <w:rFonts w:cs="Arial"/>
                <w:sz w:val="20"/>
                <w:szCs w:val="20"/>
                <w:lang w:eastAsia="zh-CN"/>
              </w:rPr>
            </w:pPr>
          </w:p>
        </w:tc>
      </w:tr>
      <w:tr w:rsidR="00492B85" w:rsidRPr="00903F89" w14:paraId="3ACA482B" w14:textId="77777777" w:rsidTr="00AD5278">
        <w:tc>
          <w:tcPr>
            <w:tcW w:w="10538" w:type="dxa"/>
            <w:gridSpan w:val="3"/>
            <w:shd w:val="clear" w:color="auto" w:fill="auto"/>
          </w:tcPr>
          <w:p w14:paraId="4EE4CE47" w14:textId="787B42A6" w:rsidR="008F763E" w:rsidRPr="00903F89" w:rsidRDefault="045AFEAA" w:rsidP="00903F89">
            <w:pPr>
              <w:jc w:val="both"/>
              <w:rPr>
                <w:rFonts w:eastAsia="Arial" w:cs="Arial"/>
                <w:sz w:val="20"/>
                <w:szCs w:val="20"/>
                <w:lang w:eastAsia="zh-CN"/>
              </w:rPr>
            </w:pPr>
            <w:r w:rsidRPr="00903F89">
              <w:rPr>
                <w:rFonts w:cs="Arial"/>
                <w:sz w:val="20"/>
                <w:szCs w:val="20"/>
                <w:u w:val="single"/>
                <w:lang w:eastAsia="zh-CN"/>
              </w:rPr>
              <w:t xml:space="preserve">Χρηματοδότηση Εσωτερικών Ερευνητικών Προγραμμάτων </w:t>
            </w:r>
          </w:p>
        </w:tc>
      </w:tr>
      <w:tr w:rsidR="00492B85" w:rsidRPr="00903F89" w14:paraId="14F3114F" w14:textId="77777777" w:rsidTr="00AD5278">
        <w:tc>
          <w:tcPr>
            <w:tcW w:w="2870" w:type="dxa"/>
            <w:shd w:val="clear" w:color="auto" w:fill="auto"/>
          </w:tcPr>
          <w:p w14:paraId="443262BD" w14:textId="77777777" w:rsidR="00FB45EE" w:rsidRPr="00903F89" w:rsidRDefault="00FB45EE" w:rsidP="00903F89">
            <w:pPr>
              <w:jc w:val="both"/>
              <w:rPr>
                <w:rFonts w:cs="Arial"/>
                <w:b/>
                <w:sz w:val="20"/>
                <w:szCs w:val="20"/>
                <w:u w:val="single"/>
              </w:rPr>
            </w:pPr>
          </w:p>
        </w:tc>
        <w:tc>
          <w:tcPr>
            <w:tcW w:w="7668" w:type="dxa"/>
            <w:gridSpan w:val="2"/>
            <w:shd w:val="clear" w:color="auto" w:fill="auto"/>
          </w:tcPr>
          <w:p w14:paraId="6FAE8361" w14:textId="6670B408" w:rsidR="00FB45EE" w:rsidRPr="00903F89" w:rsidRDefault="00FB45EE" w:rsidP="00903F89">
            <w:pPr>
              <w:jc w:val="both"/>
              <w:rPr>
                <w:rFonts w:cs="Arial"/>
                <w:b/>
                <w:sz w:val="20"/>
                <w:szCs w:val="20"/>
                <w:u w:val="single"/>
              </w:rPr>
            </w:pPr>
          </w:p>
        </w:tc>
      </w:tr>
      <w:tr w:rsidR="00492B85" w:rsidRPr="00903F89" w14:paraId="07AA49A0" w14:textId="77777777" w:rsidTr="00AD5278">
        <w:tc>
          <w:tcPr>
            <w:tcW w:w="10538" w:type="dxa"/>
            <w:gridSpan w:val="3"/>
            <w:shd w:val="clear" w:color="auto" w:fill="auto"/>
          </w:tcPr>
          <w:p w14:paraId="257B564B" w14:textId="22EAA41E" w:rsidR="008F763E" w:rsidRPr="00903F89" w:rsidRDefault="045AFEAA" w:rsidP="00903F89">
            <w:pPr>
              <w:jc w:val="both"/>
              <w:rPr>
                <w:rFonts w:eastAsia="Arial" w:cs="Arial"/>
                <w:sz w:val="20"/>
                <w:szCs w:val="20"/>
              </w:rPr>
            </w:pPr>
            <w:r w:rsidRPr="00903F89">
              <w:rPr>
                <w:rFonts w:cs="Arial"/>
                <w:sz w:val="20"/>
                <w:szCs w:val="20"/>
                <w:lang w:eastAsia="zh-CN"/>
              </w:rPr>
              <w:t>Ο θεσμός της χρηματοδότησης ερευνητικών προγραμμάτων από το Πανεπιστήμιο Κύπρου έχει καθιερωθεί κατά τα τελευταία 14 χρόνια και θεωρείται απαραίτητος ιδιαίτερα για τις Σχολές που δύσκολα μπορούν να εξασφαλίσουν εξωτερική χρηματοδότηση</w:t>
            </w:r>
            <w:r w:rsidRPr="00903F89">
              <w:rPr>
                <w:rFonts w:eastAsia="Arial" w:cs="Arial"/>
                <w:b/>
                <w:bCs/>
                <w:sz w:val="20"/>
                <w:szCs w:val="20"/>
                <w:lang w:eastAsia="zh-CN"/>
              </w:rPr>
              <w:t xml:space="preserve"> </w:t>
            </w:r>
            <w:r w:rsidRPr="00903F89">
              <w:rPr>
                <w:rFonts w:cs="Arial"/>
                <w:sz w:val="20"/>
                <w:szCs w:val="20"/>
                <w:lang w:eastAsia="zh-CN"/>
              </w:rPr>
              <w:t xml:space="preserve">αλλά και για την υποστήριξη της εφαρμοσμένης έρευνας με επιτόπιο ενδιαφέρον για την Κύπρο.  </w:t>
            </w:r>
          </w:p>
        </w:tc>
      </w:tr>
      <w:tr w:rsidR="00492B85" w:rsidRPr="00903F89" w14:paraId="3FCC98FA" w14:textId="77777777" w:rsidTr="00AD5278">
        <w:tc>
          <w:tcPr>
            <w:tcW w:w="2870" w:type="dxa"/>
            <w:shd w:val="clear" w:color="auto" w:fill="auto"/>
          </w:tcPr>
          <w:p w14:paraId="323EE834" w14:textId="77777777" w:rsidR="008F763E" w:rsidRPr="00903F89" w:rsidRDefault="008F763E" w:rsidP="00903F89">
            <w:pPr>
              <w:jc w:val="both"/>
              <w:rPr>
                <w:rFonts w:cs="Arial"/>
                <w:b/>
                <w:sz w:val="20"/>
                <w:szCs w:val="20"/>
                <w:u w:val="single"/>
              </w:rPr>
            </w:pPr>
          </w:p>
        </w:tc>
        <w:tc>
          <w:tcPr>
            <w:tcW w:w="3865" w:type="dxa"/>
            <w:shd w:val="clear" w:color="auto" w:fill="auto"/>
          </w:tcPr>
          <w:p w14:paraId="325EE5B0" w14:textId="77777777" w:rsidR="008F763E" w:rsidRPr="00903F89" w:rsidRDefault="008F763E" w:rsidP="00903F89">
            <w:pPr>
              <w:autoSpaceDE w:val="0"/>
              <w:autoSpaceDN w:val="0"/>
              <w:adjustRightInd w:val="0"/>
              <w:ind w:left="284"/>
              <w:contextualSpacing/>
              <w:jc w:val="both"/>
              <w:rPr>
                <w:rFonts w:cs="Arial"/>
                <w:sz w:val="20"/>
                <w:szCs w:val="20"/>
              </w:rPr>
            </w:pPr>
          </w:p>
        </w:tc>
        <w:tc>
          <w:tcPr>
            <w:tcW w:w="3803" w:type="dxa"/>
          </w:tcPr>
          <w:p w14:paraId="7D9E5FC2" w14:textId="77777777" w:rsidR="008F763E" w:rsidRPr="00903F89" w:rsidRDefault="008F763E" w:rsidP="00903F89">
            <w:pPr>
              <w:jc w:val="both"/>
              <w:rPr>
                <w:rFonts w:cs="Arial"/>
                <w:b/>
                <w:sz w:val="20"/>
                <w:szCs w:val="20"/>
                <w:u w:val="single"/>
              </w:rPr>
            </w:pPr>
          </w:p>
        </w:tc>
      </w:tr>
      <w:tr w:rsidR="00492B85" w:rsidRPr="00903F89" w14:paraId="71680566" w14:textId="77777777" w:rsidTr="00AD5278">
        <w:tc>
          <w:tcPr>
            <w:tcW w:w="10538" w:type="dxa"/>
            <w:gridSpan w:val="3"/>
            <w:shd w:val="clear" w:color="auto" w:fill="auto"/>
          </w:tcPr>
          <w:p w14:paraId="250CA6CE" w14:textId="30E998BD" w:rsidR="008F763E" w:rsidRPr="00903F89" w:rsidRDefault="045AFEAA" w:rsidP="00903F89">
            <w:pPr>
              <w:jc w:val="both"/>
              <w:rPr>
                <w:rFonts w:eastAsia="Arial" w:cs="Arial"/>
                <w:b/>
                <w:bCs/>
                <w:sz w:val="20"/>
                <w:szCs w:val="20"/>
                <w:u w:val="single"/>
              </w:rPr>
            </w:pPr>
            <w:r w:rsidRPr="00903F89">
              <w:rPr>
                <w:rFonts w:cs="Arial"/>
                <w:sz w:val="20"/>
                <w:szCs w:val="20"/>
                <w:lang w:eastAsia="zh-CN"/>
              </w:rPr>
              <w:t xml:space="preserve">Ταυτόχρονα, παρέχεται η ευκαιρία για αξιολόγηση των ερευνητικών προτάσεων των μελών του ακαδημαϊκού προσωπικού από εξωτερικούς ανεξάρτητους κριτές δεδομένου ότι για να χρηματοδοτηθεί κάποια πρόταση θα πρέπει να εξασφαλίσει ευνοϊκές κριτικές από δύο εξωτερικούς κριτές και βαθμολογία μεγαλύτερη από 80%. </w:t>
            </w:r>
          </w:p>
        </w:tc>
      </w:tr>
      <w:tr w:rsidR="00492B85" w:rsidRPr="00903F89" w14:paraId="700851D0" w14:textId="77777777" w:rsidTr="00AD5278">
        <w:tc>
          <w:tcPr>
            <w:tcW w:w="10538" w:type="dxa"/>
            <w:gridSpan w:val="3"/>
            <w:shd w:val="clear" w:color="auto" w:fill="auto"/>
          </w:tcPr>
          <w:p w14:paraId="3EC393C2" w14:textId="77777777" w:rsidR="00FB45EE" w:rsidRPr="00903F89" w:rsidRDefault="00FB45EE" w:rsidP="00903F89">
            <w:pPr>
              <w:jc w:val="both"/>
              <w:rPr>
                <w:rFonts w:cs="Arial"/>
                <w:b/>
                <w:sz w:val="20"/>
                <w:szCs w:val="20"/>
                <w:u w:val="single"/>
              </w:rPr>
            </w:pPr>
          </w:p>
        </w:tc>
      </w:tr>
      <w:tr w:rsidR="00492B85" w:rsidRPr="00903F89" w14:paraId="78384D64" w14:textId="77777777" w:rsidTr="00AD5278">
        <w:tc>
          <w:tcPr>
            <w:tcW w:w="10538" w:type="dxa"/>
            <w:gridSpan w:val="3"/>
            <w:shd w:val="clear" w:color="auto" w:fill="auto"/>
          </w:tcPr>
          <w:p w14:paraId="48C63DA9" w14:textId="168AA380" w:rsidR="008F763E" w:rsidRPr="00903F89" w:rsidRDefault="045AFEAA" w:rsidP="00903F89">
            <w:pPr>
              <w:jc w:val="both"/>
              <w:rPr>
                <w:rFonts w:eastAsia="Arial" w:cs="Arial"/>
                <w:sz w:val="20"/>
                <w:szCs w:val="20"/>
                <w:lang w:eastAsia="zh-CN"/>
              </w:rPr>
            </w:pPr>
            <w:r w:rsidRPr="00903F89">
              <w:rPr>
                <w:rFonts w:cs="Arial"/>
                <w:sz w:val="20"/>
                <w:szCs w:val="20"/>
                <w:lang w:eastAsia="zh-CN"/>
              </w:rPr>
              <w:t>Μέλος Ακαδημαϊκού Προσωπικού που απουσιάζει με άδεια χωρίς απολαβές, κατά τη διάρκεια της απουσίας του δε δικαιούται να κάνει χρήση του κονδυλίου που του έχει κατανεμηθεί ως εσωτερικό πρόγραμμα.</w:t>
            </w:r>
          </w:p>
        </w:tc>
      </w:tr>
      <w:tr w:rsidR="00492B85" w:rsidRPr="00903F89" w14:paraId="73247F02" w14:textId="77777777" w:rsidTr="00AD5278">
        <w:tc>
          <w:tcPr>
            <w:tcW w:w="10538" w:type="dxa"/>
            <w:gridSpan w:val="3"/>
            <w:shd w:val="clear" w:color="auto" w:fill="auto"/>
          </w:tcPr>
          <w:p w14:paraId="65B8871E" w14:textId="186BE2F5" w:rsidR="00657DFB" w:rsidRPr="00903F89" w:rsidRDefault="00657DFB" w:rsidP="00903F89">
            <w:pPr>
              <w:jc w:val="both"/>
              <w:rPr>
                <w:rFonts w:cs="Arial"/>
                <w:i/>
                <w:sz w:val="20"/>
                <w:szCs w:val="20"/>
                <w:lang w:eastAsia="zh-CN"/>
              </w:rPr>
            </w:pPr>
          </w:p>
        </w:tc>
      </w:tr>
      <w:tr w:rsidR="00492B85" w:rsidRPr="00903F89" w14:paraId="10ECD2D9" w14:textId="77777777" w:rsidTr="00AD5278">
        <w:tc>
          <w:tcPr>
            <w:tcW w:w="10538" w:type="dxa"/>
            <w:gridSpan w:val="3"/>
            <w:shd w:val="clear" w:color="auto" w:fill="auto"/>
          </w:tcPr>
          <w:p w14:paraId="0009BEE4" w14:textId="5B63C03B" w:rsidR="008F763E" w:rsidRPr="00903F89" w:rsidRDefault="4407E268" w:rsidP="00903F89">
            <w:pPr>
              <w:jc w:val="both"/>
              <w:rPr>
                <w:rFonts w:eastAsia="Arial" w:cs="Arial"/>
                <w:sz w:val="20"/>
                <w:szCs w:val="20"/>
                <w:lang w:eastAsia="zh-CN"/>
              </w:rPr>
            </w:pPr>
            <w:r w:rsidRPr="00903F89">
              <w:rPr>
                <w:rFonts w:cs="Arial"/>
                <w:sz w:val="20"/>
                <w:szCs w:val="20"/>
                <w:lang w:eastAsia="zh-CN"/>
              </w:rPr>
              <w:t>Η πρόνοια του άρθρου δύναται να καλύψει και την αμοιβή των αξιολογητών των εσωτερικών ερευνητικών προγραμμάτων η οποία σύμφωνα με απόφαση του Συμβουλίου ανέρχεται στο ποσό των €200.</w:t>
            </w:r>
          </w:p>
        </w:tc>
      </w:tr>
      <w:tr w:rsidR="00492B85" w:rsidRPr="00903F89" w14:paraId="5D034D17" w14:textId="77777777" w:rsidTr="00AD5278">
        <w:tc>
          <w:tcPr>
            <w:tcW w:w="2870" w:type="dxa"/>
            <w:shd w:val="clear" w:color="auto" w:fill="auto"/>
          </w:tcPr>
          <w:p w14:paraId="07938A25" w14:textId="77777777" w:rsidR="008F763E" w:rsidRPr="00903F89" w:rsidRDefault="008F763E" w:rsidP="00903F89">
            <w:pPr>
              <w:jc w:val="both"/>
              <w:rPr>
                <w:rFonts w:cs="Arial"/>
                <w:b/>
                <w:sz w:val="20"/>
                <w:szCs w:val="20"/>
                <w:u w:val="single"/>
              </w:rPr>
            </w:pPr>
          </w:p>
        </w:tc>
        <w:tc>
          <w:tcPr>
            <w:tcW w:w="3865" w:type="dxa"/>
            <w:shd w:val="clear" w:color="auto" w:fill="auto"/>
          </w:tcPr>
          <w:p w14:paraId="42276749" w14:textId="77777777" w:rsidR="008F763E" w:rsidRPr="00903F89" w:rsidRDefault="008F763E" w:rsidP="00903F89">
            <w:pPr>
              <w:autoSpaceDE w:val="0"/>
              <w:autoSpaceDN w:val="0"/>
              <w:adjustRightInd w:val="0"/>
              <w:ind w:left="284"/>
              <w:contextualSpacing/>
              <w:jc w:val="both"/>
              <w:rPr>
                <w:rFonts w:cs="Arial"/>
                <w:sz w:val="20"/>
                <w:szCs w:val="20"/>
              </w:rPr>
            </w:pPr>
          </w:p>
        </w:tc>
        <w:tc>
          <w:tcPr>
            <w:tcW w:w="3803" w:type="dxa"/>
          </w:tcPr>
          <w:p w14:paraId="7CB23E0C" w14:textId="77777777" w:rsidR="008F763E" w:rsidRPr="00903F89" w:rsidRDefault="008F763E" w:rsidP="00903F89">
            <w:pPr>
              <w:jc w:val="both"/>
              <w:rPr>
                <w:rFonts w:cs="Arial"/>
                <w:b/>
                <w:sz w:val="20"/>
                <w:szCs w:val="20"/>
                <w:u w:val="single"/>
              </w:rPr>
            </w:pPr>
          </w:p>
        </w:tc>
      </w:tr>
      <w:tr w:rsidR="00492B85" w:rsidRPr="00903F89" w14:paraId="27B24A39" w14:textId="77777777" w:rsidTr="00AD5278">
        <w:tc>
          <w:tcPr>
            <w:tcW w:w="10538" w:type="dxa"/>
            <w:gridSpan w:val="3"/>
            <w:shd w:val="clear" w:color="auto" w:fill="auto"/>
          </w:tcPr>
          <w:p w14:paraId="33C856AF" w14:textId="54C2A8E3" w:rsidR="008F763E" w:rsidRPr="00903F89" w:rsidRDefault="045AFEAA" w:rsidP="00903F89">
            <w:pPr>
              <w:jc w:val="both"/>
              <w:rPr>
                <w:rFonts w:eastAsia="Arial" w:cs="Arial"/>
                <w:b/>
                <w:bCs/>
                <w:sz w:val="20"/>
                <w:szCs w:val="20"/>
                <w:u w:val="single"/>
              </w:rPr>
            </w:pPr>
            <w:r w:rsidRPr="00903F89">
              <w:rPr>
                <w:rFonts w:cs="Arial"/>
                <w:sz w:val="20"/>
                <w:szCs w:val="20"/>
                <w:u w:val="single"/>
              </w:rPr>
              <w:t>Συγχρηματοδότηση</w:t>
            </w:r>
          </w:p>
        </w:tc>
      </w:tr>
      <w:tr w:rsidR="00492B85" w:rsidRPr="00903F89" w14:paraId="4F40CF61" w14:textId="77777777" w:rsidTr="00AD5278">
        <w:tc>
          <w:tcPr>
            <w:tcW w:w="10538" w:type="dxa"/>
            <w:gridSpan w:val="3"/>
            <w:shd w:val="clear" w:color="auto" w:fill="auto"/>
          </w:tcPr>
          <w:p w14:paraId="203C9585" w14:textId="77777777" w:rsidR="00FB45EE" w:rsidRPr="00903F89" w:rsidRDefault="00FB45EE" w:rsidP="00903F89">
            <w:pPr>
              <w:jc w:val="both"/>
              <w:rPr>
                <w:rFonts w:cs="Arial"/>
                <w:sz w:val="20"/>
                <w:szCs w:val="20"/>
                <w:u w:val="single"/>
              </w:rPr>
            </w:pPr>
          </w:p>
        </w:tc>
      </w:tr>
      <w:tr w:rsidR="00492B85" w:rsidRPr="00903F89" w14:paraId="5649DE41" w14:textId="77777777" w:rsidTr="00AD5278">
        <w:tc>
          <w:tcPr>
            <w:tcW w:w="10538" w:type="dxa"/>
            <w:gridSpan w:val="3"/>
            <w:shd w:val="clear" w:color="auto" w:fill="auto"/>
          </w:tcPr>
          <w:p w14:paraId="5F72E862" w14:textId="74C44F0C" w:rsidR="008F763E" w:rsidRPr="00903F89" w:rsidRDefault="045AFEAA" w:rsidP="00903F89">
            <w:pPr>
              <w:jc w:val="both"/>
              <w:rPr>
                <w:rFonts w:eastAsia="Arial" w:cs="Arial"/>
                <w:b/>
                <w:bCs/>
                <w:sz w:val="20"/>
                <w:szCs w:val="20"/>
                <w:u w:val="single"/>
              </w:rPr>
            </w:pPr>
            <w:r w:rsidRPr="00903F89">
              <w:rPr>
                <w:rFonts w:cs="Arial"/>
                <w:sz w:val="20"/>
                <w:szCs w:val="20"/>
              </w:rPr>
              <w:t xml:space="preserve">Το άρθρο συγχρηματοδοτεί δαπάνες που προκύπτουν για εξωτερικά ερευνητικά προγράμματα τα οποία χρηματοδοτούνται από το Ίδρυμα </w:t>
            </w:r>
            <w:r w:rsidR="008A4371" w:rsidRPr="00903F89">
              <w:rPr>
                <w:rFonts w:cs="Arial"/>
                <w:sz w:val="20"/>
                <w:szCs w:val="20"/>
              </w:rPr>
              <w:t>Έρευνας</w:t>
            </w:r>
            <w:r w:rsidR="003D2F85" w:rsidRPr="00903F89">
              <w:rPr>
                <w:rFonts w:cs="Arial"/>
                <w:sz w:val="20"/>
                <w:szCs w:val="20"/>
              </w:rPr>
              <w:t xml:space="preserve"> και Καινοτομίας</w:t>
            </w:r>
            <w:r w:rsidRPr="00903F89">
              <w:rPr>
                <w:rFonts w:cs="Arial"/>
                <w:sz w:val="20"/>
                <w:szCs w:val="20"/>
              </w:rPr>
              <w:t xml:space="preserve"> (Ι</w:t>
            </w:r>
            <w:r w:rsidR="003D2F85" w:rsidRPr="00903F89">
              <w:rPr>
                <w:rFonts w:cs="Arial"/>
                <w:sz w:val="20"/>
                <w:szCs w:val="20"/>
              </w:rPr>
              <w:t>δΕΚ</w:t>
            </w:r>
            <w:r w:rsidRPr="00903F89">
              <w:rPr>
                <w:rFonts w:eastAsia="Arial" w:cs="Arial"/>
                <w:sz w:val="20"/>
                <w:szCs w:val="20"/>
              </w:rPr>
              <w:t>)</w:t>
            </w:r>
            <w:r w:rsidRPr="00903F89">
              <w:rPr>
                <w:rFonts w:cs="Arial"/>
                <w:sz w:val="20"/>
                <w:szCs w:val="20"/>
              </w:rPr>
              <w:t xml:space="preserve">, (π.χ. δαπάνες που αφορούν απόσβεση εξοπλισμού, τραπεζικά έξοδα, </w:t>
            </w:r>
            <w:r w:rsidR="00D55285" w:rsidRPr="00903F89">
              <w:rPr>
                <w:rFonts w:cs="Arial"/>
                <w:sz w:val="20"/>
                <w:szCs w:val="20"/>
              </w:rPr>
              <w:t>κ.λπ</w:t>
            </w:r>
            <w:r w:rsidRPr="00903F89">
              <w:rPr>
                <w:rFonts w:cs="Arial"/>
                <w:sz w:val="20"/>
                <w:szCs w:val="20"/>
              </w:rPr>
              <w:t xml:space="preserve">.), νοουμένου ότι δεν προνοείται ως επιλέξιμη δαπάνη από το χρηματοδότη, αλλά είναι απαραίτητες για την ολοκλήρωση των προγραμμάτων. </w:t>
            </w:r>
          </w:p>
        </w:tc>
      </w:tr>
      <w:tr w:rsidR="00492B85" w:rsidRPr="00903F89" w14:paraId="2A98BC87" w14:textId="77777777" w:rsidTr="00AD5278">
        <w:tc>
          <w:tcPr>
            <w:tcW w:w="2870" w:type="dxa"/>
            <w:shd w:val="clear" w:color="auto" w:fill="auto"/>
          </w:tcPr>
          <w:p w14:paraId="31EC9F0D" w14:textId="77777777" w:rsidR="00657DFB" w:rsidRPr="00903F89" w:rsidRDefault="00657DFB" w:rsidP="00903F89">
            <w:pPr>
              <w:jc w:val="both"/>
              <w:rPr>
                <w:rFonts w:cs="Arial"/>
                <w:b/>
                <w:sz w:val="20"/>
                <w:szCs w:val="20"/>
                <w:u w:val="single"/>
              </w:rPr>
            </w:pPr>
          </w:p>
        </w:tc>
        <w:tc>
          <w:tcPr>
            <w:tcW w:w="7668" w:type="dxa"/>
            <w:gridSpan w:val="2"/>
            <w:shd w:val="clear" w:color="auto" w:fill="auto"/>
          </w:tcPr>
          <w:p w14:paraId="25C5A6B2" w14:textId="75558479" w:rsidR="00657DFB" w:rsidRPr="00903F89" w:rsidRDefault="00657DFB" w:rsidP="00903F89">
            <w:pPr>
              <w:jc w:val="both"/>
              <w:rPr>
                <w:rFonts w:cs="Arial"/>
                <w:b/>
                <w:i/>
                <w:sz w:val="20"/>
                <w:szCs w:val="20"/>
                <w:u w:val="single"/>
              </w:rPr>
            </w:pPr>
          </w:p>
        </w:tc>
      </w:tr>
      <w:tr w:rsidR="00E93401" w:rsidRPr="00903F89" w14:paraId="5B50C43B" w14:textId="77777777" w:rsidTr="000C6AC3">
        <w:tc>
          <w:tcPr>
            <w:tcW w:w="10538" w:type="dxa"/>
            <w:gridSpan w:val="3"/>
            <w:shd w:val="clear" w:color="auto" w:fill="auto"/>
          </w:tcPr>
          <w:p w14:paraId="117F4A44" w14:textId="5D3E4C7A" w:rsidR="00E93401" w:rsidRPr="00903F89" w:rsidRDefault="00B64187" w:rsidP="00903F89">
            <w:pPr>
              <w:jc w:val="both"/>
              <w:rPr>
                <w:rFonts w:cs="Arial"/>
                <w:sz w:val="20"/>
                <w:szCs w:val="20"/>
              </w:rPr>
            </w:pPr>
            <w:r w:rsidRPr="00903F89">
              <w:rPr>
                <w:rFonts w:cs="Arial"/>
                <w:sz w:val="20"/>
                <w:szCs w:val="20"/>
              </w:rPr>
              <w:t xml:space="preserve">Η </w:t>
            </w:r>
            <w:r w:rsidR="00E93401" w:rsidRPr="00903F89">
              <w:rPr>
                <w:rFonts w:cs="Arial"/>
                <w:sz w:val="20"/>
                <w:szCs w:val="20"/>
              </w:rPr>
              <w:t>πρόνοια του παρόντος άρθρου προορίζεται να καλύψει δαπάνες συγχρηματοδότησης των προτάσεων που θα επιτύχουν (νέες προσκλήσεις προτάσεων Ιδρύματος Έρευνας και Καινοτομίας για την καινοτόμο επιχειρηματικότητα (PRE-SEED, SEED, INNOVATE) από άλλες εισπράξεις του ΠΚ (εκτός κρατικής χορηγίας)</w:t>
            </w:r>
            <w:r w:rsidRPr="00903F89">
              <w:rPr>
                <w:rFonts w:cs="Arial"/>
                <w:sz w:val="20"/>
                <w:szCs w:val="20"/>
              </w:rPr>
              <w:t xml:space="preserve"> (Απόφαση Συμβουλίου, Συνεδρία Αρ. 09/2019, ημερ. 07/10/2019)</w:t>
            </w:r>
            <w:r w:rsidR="00E93401" w:rsidRPr="00903F89">
              <w:rPr>
                <w:rFonts w:cs="Arial"/>
                <w:sz w:val="20"/>
                <w:szCs w:val="20"/>
              </w:rPr>
              <w:t>.</w:t>
            </w:r>
          </w:p>
        </w:tc>
      </w:tr>
      <w:tr w:rsidR="0012048B" w:rsidRPr="00903F89" w14:paraId="31AA9080" w14:textId="77777777" w:rsidTr="000C6AC3">
        <w:tc>
          <w:tcPr>
            <w:tcW w:w="10538" w:type="dxa"/>
            <w:gridSpan w:val="3"/>
            <w:shd w:val="clear" w:color="auto" w:fill="auto"/>
          </w:tcPr>
          <w:p w14:paraId="50E30E5B" w14:textId="77777777" w:rsidR="0012048B" w:rsidRPr="00903F89" w:rsidRDefault="0012048B" w:rsidP="00903F89">
            <w:pPr>
              <w:jc w:val="both"/>
              <w:rPr>
                <w:rFonts w:cs="Arial"/>
                <w:sz w:val="20"/>
                <w:szCs w:val="20"/>
              </w:rPr>
            </w:pPr>
          </w:p>
        </w:tc>
      </w:tr>
      <w:tr w:rsidR="0012048B" w:rsidRPr="00903F89" w14:paraId="034DC3AF" w14:textId="77777777" w:rsidTr="008B1515">
        <w:tc>
          <w:tcPr>
            <w:tcW w:w="10538" w:type="dxa"/>
            <w:gridSpan w:val="3"/>
            <w:shd w:val="clear" w:color="auto" w:fill="auto"/>
          </w:tcPr>
          <w:p w14:paraId="120274F6" w14:textId="3327D56A" w:rsidR="0012048B" w:rsidRPr="00903F89" w:rsidRDefault="0012048B" w:rsidP="00903F89">
            <w:pPr>
              <w:jc w:val="both"/>
              <w:rPr>
                <w:rFonts w:cs="Arial"/>
                <w:sz w:val="20"/>
                <w:szCs w:val="20"/>
              </w:rPr>
            </w:pPr>
            <w:r w:rsidRPr="00903F89">
              <w:rPr>
                <w:rFonts w:cs="Arial"/>
                <w:sz w:val="20"/>
                <w:szCs w:val="20"/>
              </w:rPr>
              <w:t xml:space="preserve">Επίσης, το παρόν άρθρο </w:t>
            </w:r>
            <w:r w:rsidR="006351AF" w:rsidRPr="00903F89">
              <w:rPr>
                <w:rFonts w:cs="Arial"/>
                <w:sz w:val="20"/>
                <w:szCs w:val="20"/>
              </w:rPr>
              <w:t xml:space="preserve">περιλαμβάνει </w:t>
            </w:r>
            <w:r w:rsidRPr="00903F89">
              <w:rPr>
                <w:rFonts w:cs="Arial"/>
                <w:sz w:val="20"/>
                <w:szCs w:val="20"/>
              </w:rPr>
              <w:t xml:space="preserve">πρόνοια ύψους €100.000 </w:t>
            </w:r>
            <w:r w:rsidR="00E65BA6" w:rsidRPr="00903F89">
              <w:rPr>
                <w:rFonts w:cs="Arial"/>
                <w:sz w:val="20"/>
                <w:szCs w:val="20"/>
              </w:rPr>
              <w:t>ως</w:t>
            </w:r>
            <w:r w:rsidRPr="00903F89">
              <w:rPr>
                <w:rFonts w:cs="Arial"/>
                <w:sz w:val="20"/>
                <w:szCs w:val="20"/>
              </w:rPr>
              <w:t xml:space="preserve"> συγχρηματοδότηση </w:t>
            </w:r>
            <w:r w:rsidR="006351AF" w:rsidRPr="00903F89">
              <w:rPr>
                <w:rFonts w:cs="Arial"/>
                <w:sz w:val="20"/>
                <w:szCs w:val="20"/>
              </w:rPr>
              <w:t xml:space="preserve">για μερική </w:t>
            </w:r>
            <w:r w:rsidR="00E65BA6" w:rsidRPr="00903F89">
              <w:rPr>
                <w:rFonts w:cs="Arial"/>
                <w:sz w:val="20"/>
                <w:szCs w:val="20"/>
              </w:rPr>
              <w:t>κάλυψη</w:t>
            </w:r>
            <w:r w:rsidR="006351AF" w:rsidRPr="00903F89">
              <w:rPr>
                <w:rFonts w:cs="Arial"/>
                <w:sz w:val="20"/>
                <w:szCs w:val="20"/>
              </w:rPr>
              <w:t xml:space="preserve"> δαπανών του έργου </w:t>
            </w:r>
            <w:r w:rsidR="006351AF" w:rsidRPr="00903F89">
              <w:rPr>
                <w:rFonts w:cs="Arial"/>
                <w:sz w:val="20"/>
                <w:szCs w:val="20"/>
                <w:lang w:val="en-US"/>
              </w:rPr>
              <w:t>ERASMUS</w:t>
            </w:r>
            <w:r w:rsidR="006351AF" w:rsidRPr="00903F89">
              <w:rPr>
                <w:rFonts w:cs="Arial"/>
                <w:sz w:val="20"/>
                <w:szCs w:val="20"/>
              </w:rPr>
              <w:t xml:space="preserve"> + Συμμαχία </w:t>
            </w:r>
            <w:r w:rsidR="00E65BA6" w:rsidRPr="00903F89">
              <w:rPr>
                <w:rFonts w:cs="Arial"/>
                <w:sz w:val="20"/>
                <w:szCs w:val="20"/>
              </w:rPr>
              <w:t>Ευρωπαϊκού</w:t>
            </w:r>
            <w:r w:rsidR="006351AF" w:rsidRPr="00903F89">
              <w:rPr>
                <w:rFonts w:cs="Arial"/>
                <w:sz w:val="20"/>
                <w:szCs w:val="20"/>
              </w:rPr>
              <w:t xml:space="preserve"> </w:t>
            </w:r>
            <w:r w:rsidR="00E65BA6" w:rsidRPr="00903F89">
              <w:rPr>
                <w:rFonts w:cs="Arial"/>
                <w:sz w:val="20"/>
                <w:szCs w:val="20"/>
              </w:rPr>
              <w:t>Πανεπιστημίου</w:t>
            </w:r>
            <w:r w:rsidR="006351AF" w:rsidRPr="00903F89">
              <w:rPr>
                <w:rFonts w:cs="Arial"/>
                <w:sz w:val="20"/>
                <w:szCs w:val="20"/>
              </w:rPr>
              <w:t xml:space="preserve"> «</w:t>
            </w:r>
            <w:r w:rsidRPr="00903F89">
              <w:rPr>
                <w:rFonts w:cs="Arial"/>
                <w:sz w:val="20"/>
                <w:szCs w:val="20"/>
              </w:rPr>
              <w:t xml:space="preserve">Young </w:t>
            </w:r>
            <w:proofErr w:type="spellStart"/>
            <w:r w:rsidRPr="00903F89">
              <w:rPr>
                <w:rFonts w:cs="Arial"/>
                <w:sz w:val="20"/>
                <w:szCs w:val="20"/>
              </w:rPr>
              <w:t>Universities</w:t>
            </w:r>
            <w:proofErr w:type="spellEnd"/>
            <w:r w:rsidRPr="00903F89">
              <w:rPr>
                <w:rFonts w:cs="Arial"/>
                <w:sz w:val="20"/>
                <w:szCs w:val="20"/>
              </w:rPr>
              <w:t xml:space="preserve"> for the </w:t>
            </w:r>
            <w:proofErr w:type="spellStart"/>
            <w:r w:rsidRPr="00903F89">
              <w:rPr>
                <w:rFonts w:cs="Arial"/>
                <w:sz w:val="20"/>
                <w:szCs w:val="20"/>
              </w:rPr>
              <w:t>Future</w:t>
            </w:r>
            <w:proofErr w:type="spellEnd"/>
            <w:r w:rsidRPr="00903F89">
              <w:rPr>
                <w:rFonts w:cs="Arial"/>
                <w:sz w:val="20"/>
                <w:szCs w:val="20"/>
              </w:rPr>
              <w:t xml:space="preserve"> of Europe</w:t>
            </w:r>
            <w:r w:rsidR="006351AF" w:rsidRPr="00903F89">
              <w:rPr>
                <w:rFonts w:cs="Arial"/>
                <w:sz w:val="20"/>
                <w:szCs w:val="20"/>
              </w:rPr>
              <w:t>» (</w:t>
            </w:r>
            <w:r w:rsidR="006351AF" w:rsidRPr="00903F89">
              <w:rPr>
                <w:rFonts w:cs="Arial"/>
                <w:sz w:val="20"/>
                <w:szCs w:val="20"/>
                <w:lang w:val="en-US"/>
              </w:rPr>
              <w:t>YUFE</w:t>
            </w:r>
            <w:r w:rsidR="006351AF" w:rsidRPr="00903F89">
              <w:rPr>
                <w:rFonts w:cs="Arial"/>
                <w:sz w:val="20"/>
                <w:szCs w:val="20"/>
              </w:rPr>
              <w:t>)</w:t>
            </w:r>
            <w:r w:rsidRPr="00903F89">
              <w:rPr>
                <w:rFonts w:cs="Arial"/>
                <w:sz w:val="20"/>
                <w:szCs w:val="20"/>
              </w:rPr>
              <w:t xml:space="preserve">.  </w:t>
            </w:r>
          </w:p>
        </w:tc>
      </w:tr>
      <w:tr w:rsidR="00E93401" w:rsidRPr="00903F89" w14:paraId="29533E47" w14:textId="77777777" w:rsidTr="00AD5278">
        <w:tc>
          <w:tcPr>
            <w:tcW w:w="2870" w:type="dxa"/>
            <w:shd w:val="clear" w:color="auto" w:fill="auto"/>
          </w:tcPr>
          <w:p w14:paraId="50FF8B7F" w14:textId="77777777" w:rsidR="00E93401" w:rsidRPr="00903F89" w:rsidRDefault="00E93401" w:rsidP="00903F89">
            <w:pPr>
              <w:jc w:val="both"/>
              <w:rPr>
                <w:rFonts w:cs="Arial"/>
                <w:b/>
                <w:sz w:val="20"/>
                <w:szCs w:val="20"/>
                <w:u w:val="single"/>
              </w:rPr>
            </w:pPr>
          </w:p>
        </w:tc>
        <w:tc>
          <w:tcPr>
            <w:tcW w:w="7668" w:type="dxa"/>
            <w:gridSpan w:val="2"/>
            <w:shd w:val="clear" w:color="auto" w:fill="auto"/>
          </w:tcPr>
          <w:p w14:paraId="769766E4" w14:textId="77777777" w:rsidR="00E93401" w:rsidRPr="00903F89" w:rsidRDefault="00E93401" w:rsidP="00903F89">
            <w:pPr>
              <w:jc w:val="both"/>
              <w:rPr>
                <w:rFonts w:cs="Arial"/>
                <w:b/>
                <w:i/>
                <w:sz w:val="20"/>
                <w:szCs w:val="20"/>
                <w:u w:val="single"/>
              </w:rPr>
            </w:pPr>
          </w:p>
        </w:tc>
      </w:tr>
      <w:tr w:rsidR="00492B85" w:rsidRPr="00903F89" w14:paraId="17F54399" w14:textId="77777777" w:rsidTr="00AD5278">
        <w:tc>
          <w:tcPr>
            <w:tcW w:w="10538" w:type="dxa"/>
            <w:gridSpan w:val="3"/>
            <w:shd w:val="clear" w:color="auto" w:fill="auto"/>
          </w:tcPr>
          <w:p w14:paraId="5A7D676A" w14:textId="5921B9C2" w:rsidR="008F763E" w:rsidRPr="00903F89" w:rsidRDefault="045AFEAA" w:rsidP="00903F89">
            <w:pPr>
              <w:jc w:val="both"/>
              <w:rPr>
                <w:rFonts w:eastAsia="Arial" w:cs="Arial"/>
                <w:b/>
                <w:bCs/>
                <w:sz w:val="20"/>
                <w:szCs w:val="20"/>
                <w:u w:val="single"/>
              </w:rPr>
            </w:pPr>
            <w:r w:rsidRPr="00903F89">
              <w:rPr>
                <w:rFonts w:cs="Arial"/>
                <w:sz w:val="20"/>
                <w:szCs w:val="20"/>
                <w:u w:val="single"/>
              </w:rPr>
              <w:t>Εναρκτήρια Χρηματοδότηση</w:t>
            </w:r>
            <w:r w:rsidRPr="00903F89">
              <w:rPr>
                <w:rFonts w:eastAsia="Arial" w:cs="Arial"/>
                <w:sz w:val="20"/>
                <w:szCs w:val="20"/>
              </w:rPr>
              <w:t xml:space="preserve">  </w:t>
            </w:r>
          </w:p>
        </w:tc>
      </w:tr>
      <w:tr w:rsidR="00492B85" w:rsidRPr="00903F89" w14:paraId="7B0495A9" w14:textId="77777777" w:rsidTr="00AD5278">
        <w:tc>
          <w:tcPr>
            <w:tcW w:w="2870" w:type="dxa"/>
            <w:shd w:val="clear" w:color="auto" w:fill="auto"/>
          </w:tcPr>
          <w:p w14:paraId="44DAE53D" w14:textId="77777777" w:rsidR="008F763E" w:rsidRPr="00903F89" w:rsidRDefault="008F763E" w:rsidP="00903F89">
            <w:pPr>
              <w:jc w:val="both"/>
              <w:rPr>
                <w:rFonts w:cs="Arial"/>
                <w:b/>
                <w:sz w:val="20"/>
                <w:szCs w:val="20"/>
                <w:u w:val="single"/>
              </w:rPr>
            </w:pPr>
          </w:p>
        </w:tc>
        <w:tc>
          <w:tcPr>
            <w:tcW w:w="3865" w:type="dxa"/>
            <w:shd w:val="clear" w:color="auto" w:fill="auto"/>
          </w:tcPr>
          <w:p w14:paraId="1C992171" w14:textId="77777777" w:rsidR="008F763E" w:rsidRPr="00903F89" w:rsidRDefault="008F763E" w:rsidP="00903F89">
            <w:pPr>
              <w:autoSpaceDE w:val="0"/>
              <w:autoSpaceDN w:val="0"/>
              <w:adjustRightInd w:val="0"/>
              <w:ind w:left="284"/>
              <w:contextualSpacing/>
              <w:jc w:val="both"/>
              <w:rPr>
                <w:rFonts w:cs="Arial"/>
                <w:sz w:val="20"/>
                <w:szCs w:val="20"/>
              </w:rPr>
            </w:pPr>
          </w:p>
        </w:tc>
        <w:tc>
          <w:tcPr>
            <w:tcW w:w="3803" w:type="dxa"/>
          </w:tcPr>
          <w:p w14:paraId="39A49C15" w14:textId="77777777" w:rsidR="008F763E" w:rsidRPr="00903F89" w:rsidRDefault="008F763E" w:rsidP="00903F89">
            <w:pPr>
              <w:jc w:val="both"/>
              <w:rPr>
                <w:rFonts w:cs="Arial"/>
                <w:b/>
                <w:sz w:val="20"/>
                <w:szCs w:val="20"/>
                <w:u w:val="single"/>
              </w:rPr>
            </w:pPr>
          </w:p>
        </w:tc>
      </w:tr>
      <w:tr w:rsidR="00492B85" w:rsidRPr="00903F89" w14:paraId="55827DCF" w14:textId="77777777" w:rsidTr="00AD5278">
        <w:tc>
          <w:tcPr>
            <w:tcW w:w="10538" w:type="dxa"/>
            <w:gridSpan w:val="3"/>
            <w:shd w:val="clear" w:color="auto" w:fill="auto"/>
          </w:tcPr>
          <w:p w14:paraId="6CCB7CE0" w14:textId="1D6D4F71" w:rsidR="008F763E" w:rsidRPr="00903F89" w:rsidRDefault="045AFEAA" w:rsidP="00903F89">
            <w:pPr>
              <w:jc w:val="both"/>
              <w:rPr>
                <w:rFonts w:eastAsia="Arial" w:cs="Arial"/>
                <w:b/>
                <w:bCs/>
                <w:sz w:val="20"/>
                <w:szCs w:val="20"/>
                <w:u w:val="single"/>
              </w:rPr>
            </w:pPr>
            <w:r w:rsidRPr="00903F89">
              <w:rPr>
                <w:rFonts w:cs="Arial"/>
                <w:sz w:val="20"/>
                <w:szCs w:val="20"/>
              </w:rPr>
              <w:t>Η πρόνοια προορίζεται επίσης να καλύψει δαπάνες άμεσων αναγκών σε ερευνητικό εξοπλισμό νεοεισερχόμενων μελών καθώς επίσης για τη δημιουργία ερευνητικών εργαστηρίων για τα άτομα αυτά, ούτως ώστε η ερευνητική τους δραστηριότητα να συνεχιστεί απρόσκοπτα με το διορισμό τους στο Πανεπιστήμιο Κύπρου και να δημιουργηθούν οι απαραίτητες υποδομές για διεκδίκηση εξωτερικής χρηματοδότησης σε νέα επιστημονικά πεδία, σύμφωνα με την ισχύουσα πολιτική για την εναρκτήρια χρηματοδότηση.</w:t>
            </w:r>
          </w:p>
        </w:tc>
      </w:tr>
      <w:tr w:rsidR="00492B85" w:rsidRPr="00903F89" w14:paraId="2261D755" w14:textId="77777777" w:rsidTr="00AD5278">
        <w:tc>
          <w:tcPr>
            <w:tcW w:w="10538" w:type="dxa"/>
            <w:gridSpan w:val="3"/>
            <w:shd w:val="clear" w:color="auto" w:fill="auto"/>
          </w:tcPr>
          <w:p w14:paraId="1DFA3221" w14:textId="77777777" w:rsidR="008F763E" w:rsidRPr="00903F89" w:rsidRDefault="008F763E" w:rsidP="00903F89">
            <w:pPr>
              <w:jc w:val="both"/>
              <w:rPr>
                <w:rFonts w:cs="Arial"/>
                <w:bCs/>
                <w:sz w:val="20"/>
                <w:szCs w:val="20"/>
                <w:u w:val="single"/>
              </w:rPr>
            </w:pPr>
          </w:p>
        </w:tc>
      </w:tr>
      <w:tr w:rsidR="00492B85" w:rsidRPr="00903F89" w14:paraId="53661F4E" w14:textId="77777777" w:rsidTr="00AD5278">
        <w:tc>
          <w:tcPr>
            <w:tcW w:w="10538" w:type="dxa"/>
            <w:gridSpan w:val="3"/>
            <w:shd w:val="clear" w:color="auto" w:fill="auto"/>
          </w:tcPr>
          <w:p w14:paraId="6188AD1D" w14:textId="15A84766" w:rsidR="008F763E" w:rsidRPr="00903F89" w:rsidRDefault="4407E268" w:rsidP="00903F89">
            <w:pPr>
              <w:jc w:val="both"/>
              <w:rPr>
                <w:rFonts w:eastAsia="Arial" w:cs="Arial"/>
                <w:b/>
                <w:bCs/>
                <w:sz w:val="20"/>
                <w:szCs w:val="20"/>
                <w:u w:val="single"/>
              </w:rPr>
            </w:pPr>
            <w:r w:rsidRPr="00903F89">
              <w:rPr>
                <w:rFonts w:cs="Arial"/>
                <w:sz w:val="20"/>
                <w:szCs w:val="20"/>
              </w:rPr>
              <w:t>Μέλος Ακαδημαϊκού Προσωπικού που απουσιάζει με άδεια χωρίς απολαβές, κατά τη διάρκεια της απουσίας του δε</w:t>
            </w:r>
            <w:r w:rsidR="008A4371" w:rsidRPr="00903F89">
              <w:rPr>
                <w:rFonts w:cs="Arial"/>
                <w:sz w:val="20"/>
                <w:szCs w:val="20"/>
              </w:rPr>
              <w:t>ν</w:t>
            </w:r>
            <w:r w:rsidRPr="00903F89">
              <w:rPr>
                <w:rFonts w:cs="Arial"/>
                <w:sz w:val="20"/>
                <w:szCs w:val="20"/>
              </w:rPr>
              <w:t xml:space="preserve"> δικαιούται να κάνει χρήση του κονδυλίου που του έχει κατανεμηθεί ως εναρκτήρια χρηματοδότηση και ούτε να εξουσιοδοτήσει άλλο άτομο για χρήση του (Ε.Δ.ΥΠ. Αρ. 56/2009).</w:t>
            </w:r>
          </w:p>
        </w:tc>
      </w:tr>
      <w:tr w:rsidR="00492B85" w:rsidRPr="00903F89" w14:paraId="4FF366B3" w14:textId="77777777" w:rsidTr="00AD5278">
        <w:tc>
          <w:tcPr>
            <w:tcW w:w="2870" w:type="dxa"/>
            <w:shd w:val="clear" w:color="auto" w:fill="auto"/>
          </w:tcPr>
          <w:p w14:paraId="187D9297" w14:textId="77777777" w:rsidR="00200CFE" w:rsidRPr="00903F89" w:rsidRDefault="00200CFE" w:rsidP="00903F89">
            <w:pPr>
              <w:jc w:val="both"/>
              <w:rPr>
                <w:rFonts w:cs="Arial"/>
                <w:b/>
                <w:sz w:val="20"/>
                <w:szCs w:val="20"/>
                <w:u w:val="single"/>
              </w:rPr>
            </w:pPr>
          </w:p>
        </w:tc>
        <w:tc>
          <w:tcPr>
            <w:tcW w:w="3865" w:type="dxa"/>
            <w:shd w:val="clear" w:color="auto" w:fill="auto"/>
          </w:tcPr>
          <w:p w14:paraId="246D7017" w14:textId="77777777" w:rsidR="00200CFE" w:rsidRPr="00903F89" w:rsidRDefault="00200CFE" w:rsidP="00903F89">
            <w:pPr>
              <w:autoSpaceDE w:val="0"/>
              <w:autoSpaceDN w:val="0"/>
              <w:adjustRightInd w:val="0"/>
              <w:ind w:left="284"/>
              <w:contextualSpacing/>
              <w:jc w:val="both"/>
              <w:rPr>
                <w:rFonts w:cs="Arial"/>
                <w:sz w:val="20"/>
                <w:szCs w:val="20"/>
              </w:rPr>
            </w:pPr>
          </w:p>
        </w:tc>
        <w:tc>
          <w:tcPr>
            <w:tcW w:w="3803" w:type="dxa"/>
          </w:tcPr>
          <w:p w14:paraId="1571F5E7" w14:textId="77777777" w:rsidR="00200CFE" w:rsidRPr="00903F89" w:rsidRDefault="00200CFE" w:rsidP="00903F89">
            <w:pPr>
              <w:jc w:val="both"/>
              <w:rPr>
                <w:rFonts w:cs="Arial"/>
                <w:b/>
                <w:sz w:val="20"/>
                <w:szCs w:val="20"/>
                <w:u w:val="single"/>
              </w:rPr>
            </w:pPr>
          </w:p>
        </w:tc>
      </w:tr>
      <w:tr w:rsidR="00492B85" w:rsidRPr="00903F89" w14:paraId="4F3F4059" w14:textId="77777777" w:rsidTr="00AD5278">
        <w:tc>
          <w:tcPr>
            <w:tcW w:w="10538" w:type="dxa"/>
            <w:gridSpan w:val="3"/>
            <w:shd w:val="clear" w:color="auto" w:fill="auto"/>
          </w:tcPr>
          <w:p w14:paraId="7175CCD0" w14:textId="0606F454" w:rsidR="008F763E" w:rsidRPr="00903F89" w:rsidRDefault="045AFEAA" w:rsidP="00903F89">
            <w:pPr>
              <w:jc w:val="both"/>
              <w:rPr>
                <w:rFonts w:eastAsia="Arial" w:cs="Arial"/>
                <w:b/>
                <w:bCs/>
                <w:sz w:val="20"/>
                <w:szCs w:val="20"/>
                <w:u w:val="single"/>
              </w:rPr>
            </w:pPr>
            <w:r w:rsidRPr="00903F89">
              <w:rPr>
                <w:rFonts w:cs="Arial"/>
                <w:sz w:val="20"/>
                <w:szCs w:val="20"/>
                <w:u w:val="single"/>
              </w:rPr>
              <w:t xml:space="preserve">Χρηματοδότηση νέων Ερευνητικών Μονάδων </w:t>
            </w:r>
          </w:p>
        </w:tc>
      </w:tr>
      <w:tr w:rsidR="00492B85" w:rsidRPr="00903F89" w14:paraId="084BF65F" w14:textId="77777777" w:rsidTr="00AD5278">
        <w:tc>
          <w:tcPr>
            <w:tcW w:w="2870" w:type="dxa"/>
            <w:shd w:val="clear" w:color="auto" w:fill="auto"/>
          </w:tcPr>
          <w:p w14:paraId="732A782E" w14:textId="77777777" w:rsidR="008F763E" w:rsidRPr="00903F89" w:rsidRDefault="008F763E" w:rsidP="00903F89">
            <w:pPr>
              <w:jc w:val="both"/>
              <w:rPr>
                <w:rFonts w:cs="Arial"/>
                <w:b/>
                <w:sz w:val="20"/>
                <w:szCs w:val="20"/>
                <w:u w:val="single"/>
              </w:rPr>
            </w:pPr>
          </w:p>
        </w:tc>
        <w:tc>
          <w:tcPr>
            <w:tcW w:w="3865" w:type="dxa"/>
            <w:shd w:val="clear" w:color="auto" w:fill="auto"/>
          </w:tcPr>
          <w:p w14:paraId="3F51812F" w14:textId="77777777" w:rsidR="008F763E" w:rsidRPr="00903F89" w:rsidRDefault="008F763E" w:rsidP="00903F89">
            <w:pPr>
              <w:autoSpaceDE w:val="0"/>
              <w:autoSpaceDN w:val="0"/>
              <w:adjustRightInd w:val="0"/>
              <w:ind w:left="284"/>
              <w:contextualSpacing/>
              <w:jc w:val="both"/>
              <w:rPr>
                <w:rFonts w:cs="Arial"/>
                <w:sz w:val="20"/>
                <w:szCs w:val="20"/>
              </w:rPr>
            </w:pPr>
          </w:p>
        </w:tc>
        <w:tc>
          <w:tcPr>
            <w:tcW w:w="3803" w:type="dxa"/>
          </w:tcPr>
          <w:p w14:paraId="34D5C74F" w14:textId="77777777" w:rsidR="008F763E" w:rsidRPr="00903F89" w:rsidRDefault="008F763E" w:rsidP="00903F89">
            <w:pPr>
              <w:jc w:val="both"/>
              <w:rPr>
                <w:rFonts w:cs="Arial"/>
                <w:b/>
                <w:sz w:val="20"/>
                <w:szCs w:val="20"/>
                <w:u w:val="single"/>
              </w:rPr>
            </w:pPr>
          </w:p>
        </w:tc>
      </w:tr>
      <w:tr w:rsidR="00492B85" w:rsidRPr="00903F89" w14:paraId="1E91CA09" w14:textId="77777777" w:rsidTr="00AD5278">
        <w:tc>
          <w:tcPr>
            <w:tcW w:w="10538" w:type="dxa"/>
            <w:gridSpan w:val="3"/>
            <w:shd w:val="clear" w:color="auto" w:fill="auto"/>
          </w:tcPr>
          <w:p w14:paraId="31B8EE11" w14:textId="0C200FB2" w:rsidR="008F763E" w:rsidRPr="00903F89" w:rsidRDefault="4407E268" w:rsidP="00903F89">
            <w:pPr>
              <w:jc w:val="both"/>
              <w:rPr>
                <w:rFonts w:eastAsia="Arial" w:cs="Arial"/>
                <w:b/>
                <w:bCs/>
                <w:sz w:val="20"/>
                <w:szCs w:val="20"/>
                <w:u w:val="single"/>
              </w:rPr>
            </w:pPr>
            <w:r w:rsidRPr="00903F89">
              <w:rPr>
                <w:rFonts w:cs="Arial"/>
                <w:sz w:val="20"/>
                <w:szCs w:val="20"/>
              </w:rPr>
              <w:t xml:space="preserve">Σύμφωνα με απόφαση του Συμβουλίου του Πανεπιστημίου Κύπρου και της Συγκλήτου, νέες ερευνητικές μονάδες χρηματοδοτούνται κατά τα τρία πρώτα χρόνια λειτουργίας τους με ποσό μέχρι €25.000 ετησίως (μέχρι €5.000 από το Άρθρο 311 «Ερευνητικά Προγράμματα/Δραστηριότητες» για κάλυψη διαφόρων διαχειριστικών και άλλων δαπανών και μέχρι €20.000 από εξοικονομήσεις </w:t>
            </w:r>
            <w:r w:rsidR="00D054C1" w:rsidRPr="00903F89">
              <w:rPr>
                <w:rFonts w:cs="Arial"/>
                <w:sz w:val="20"/>
                <w:szCs w:val="20"/>
              </w:rPr>
              <w:t>της Ομάδας 100</w:t>
            </w:r>
            <w:r w:rsidRPr="00903F89">
              <w:rPr>
                <w:rFonts w:cs="Arial"/>
                <w:sz w:val="20"/>
                <w:szCs w:val="20"/>
              </w:rPr>
              <w:t xml:space="preserve"> «Τρέχουσες Δαπάνες» για δαπάνες που αφορούν διοικητική υποστήριξη). Νέες ερευνητικές μονάδες οι οποίες έχουν εγκριθεί στα πλαίσια των Στρατηγικών Προγραμμάτων του Ιδρύματος Προώθησης Έρευνας, χρηματοδοτούνται κατά τα τρία πρώτα χρόνια λειτουργίας, μετά τη λήξη της αρχικής εξωτερικής χρηματοδότησης από άλλες εισπράξεις του Πανεπιστημίου Κύπρου πέραν της</w:t>
            </w:r>
            <w:r w:rsidR="00461367" w:rsidRPr="00903F89">
              <w:rPr>
                <w:rFonts w:cs="Arial"/>
                <w:sz w:val="20"/>
                <w:szCs w:val="20"/>
              </w:rPr>
              <w:t xml:space="preserve"> κρατικής χορηγίας.  </w:t>
            </w:r>
          </w:p>
        </w:tc>
      </w:tr>
      <w:tr w:rsidR="00492B85" w:rsidRPr="00903F89" w14:paraId="26201802" w14:textId="77777777" w:rsidTr="00AD5278">
        <w:tc>
          <w:tcPr>
            <w:tcW w:w="2870" w:type="dxa"/>
            <w:shd w:val="clear" w:color="auto" w:fill="auto"/>
          </w:tcPr>
          <w:p w14:paraId="70A4A167" w14:textId="77777777" w:rsidR="008F763E" w:rsidRPr="00903F89" w:rsidRDefault="008F763E" w:rsidP="00903F89">
            <w:pPr>
              <w:jc w:val="both"/>
              <w:rPr>
                <w:rFonts w:cs="Arial"/>
                <w:b/>
                <w:sz w:val="20"/>
                <w:szCs w:val="20"/>
                <w:u w:val="single"/>
              </w:rPr>
            </w:pPr>
          </w:p>
        </w:tc>
        <w:tc>
          <w:tcPr>
            <w:tcW w:w="3865" w:type="dxa"/>
            <w:shd w:val="clear" w:color="auto" w:fill="auto"/>
          </w:tcPr>
          <w:p w14:paraId="76D0DB29" w14:textId="77777777" w:rsidR="008F763E" w:rsidRPr="00903F89" w:rsidRDefault="008F763E" w:rsidP="00903F89">
            <w:pPr>
              <w:autoSpaceDE w:val="0"/>
              <w:autoSpaceDN w:val="0"/>
              <w:adjustRightInd w:val="0"/>
              <w:ind w:left="284"/>
              <w:contextualSpacing/>
              <w:jc w:val="both"/>
              <w:rPr>
                <w:rFonts w:cs="Arial"/>
                <w:sz w:val="20"/>
                <w:szCs w:val="20"/>
              </w:rPr>
            </w:pPr>
          </w:p>
        </w:tc>
        <w:tc>
          <w:tcPr>
            <w:tcW w:w="3803" w:type="dxa"/>
          </w:tcPr>
          <w:p w14:paraId="45749FB7" w14:textId="77777777" w:rsidR="008F763E" w:rsidRPr="00903F89" w:rsidRDefault="008F763E" w:rsidP="00903F89">
            <w:pPr>
              <w:jc w:val="both"/>
              <w:rPr>
                <w:rFonts w:cs="Arial"/>
                <w:b/>
                <w:sz w:val="20"/>
                <w:szCs w:val="20"/>
                <w:u w:val="single"/>
              </w:rPr>
            </w:pPr>
          </w:p>
        </w:tc>
      </w:tr>
      <w:tr w:rsidR="00492B85" w:rsidRPr="00903F89" w14:paraId="2071A410" w14:textId="77777777" w:rsidTr="00AD5278">
        <w:tc>
          <w:tcPr>
            <w:tcW w:w="10538" w:type="dxa"/>
            <w:gridSpan w:val="3"/>
            <w:shd w:val="clear" w:color="auto" w:fill="auto"/>
          </w:tcPr>
          <w:p w14:paraId="5803AF87" w14:textId="4CCB1A7B" w:rsidR="008F763E" w:rsidRPr="00903F89" w:rsidRDefault="045AFEAA" w:rsidP="00903F89">
            <w:pPr>
              <w:jc w:val="both"/>
              <w:rPr>
                <w:rFonts w:eastAsia="Arial" w:cs="Arial"/>
                <w:sz w:val="20"/>
                <w:szCs w:val="20"/>
              </w:rPr>
            </w:pPr>
            <w:r w:rsidRPr="00903F89">
              <w:rPr>
                <w:rFonts w:cs="Arial"/>
                <w:sz w:val="20"/>
                <w:szCs w:val="20"/>
              </w:rPr>
              <w:t>Οποιαδήποτε χρηματοδότηση προς ερευνητικές μονάδες συνάδει με τις πρόνοιες της σχετικής νομοθεσίας.</w:t>
            </w:r>
          </w:p>
        </w:tc>
      </w:tr>
      <w:tr w:rsidR="00492B85" w:rsidRPr="00903F89" w14:paraId="17E202E6" w14:textId="77777777" w:rsidTr="00AD5278">
        <w:tc>
          <w:tcPr>
            <w:tcW w:w="10538" w:type="dxa"/>
            <w:gridSpan w:val="3"/>
            <w:shd w:val="clear" w:color="auto" w:fill="auto"/>
          </w:tcPr>
          <w:p w14:paraId="149AF627" w14:textId="41415109" w:rsidR="008F763E" w:rsidRPr="00903F89" w:rsidRDefault="045AFEAA" w:rsidP="00903F89">
            <w:pPr>
              <w:jc w:val="both"/>
              <w:rPr>
                <w:rFonts w:eastAsia="Arial" w:cs="Arial"/>
                <w:sz w:val="20"/>
                <w:szCs w:val="20"/>
              </w:rPr>
            </w:pPr>
            <w:r w:rsidRPr="00903F89">
              <w:rPr>
                <w:rFonts w:cs="Arial"/>
                <w:sz w:val="20"/>
                <w:szCs w:val="20"/>
                <w:u w:val="single"/>
              </w:rPr>
              <w:t>Βραβεία Ερευνητικής Αριστείας</w:t>
            </w:r>
          </w:p>
        </w:tc>
      </w:tr>
      <w:tr w:rsidR="00492B85" w:rsidRPr="00903F89" w14:paraId="40EB730E" w14:textId="77777777" w:rsidTr="00AD5278">
        <w:tc>
          <w:tcPr>
            <w:tcW w:w="2870" w:type="dxa"/>
            <w:shd w:val="clear" w:color="auto" w:fill="auto"/>
          </w:tcPr>
          <w:p w14:paraId="71E9B8F3" w14:textId="77777777" w:rsidR="008F763E" w:rsidRPr="00903F89" w:rsidRDefault="008F763E" w:rsidP="00903F89">
            <w:pPr>
              <w:jc w:val="both"/>
              <w:rPr>
                <w:rFonts w:cs="Arial"/>
                <w:b/>
                <w:sz w:val="20"/>
                <w:szCs w:val="20"/>
                <w:u w:val="single"/>
              </w:rPr>
            </w:pPr>
          </w:p>
        </w:tc>
        <w:tc>
          <w:tcPr>
            <w:tcW w:w="3865" w:type="dxa"/>
            <w:shd w:val="clear" w:color="auto" w:fill="auto"/>
          </w:tcPr>
          <w:p w14:paraId="2E69294E" w14:textId="77777777" w:rsidR="008F763E" w:rsidRPr="00903F89" w:rsidRDefault="008F763E" w:rsidP="00903F89">
            <w:pPr>
              <w:autoSpaceDE w:val="0"/>
              <w:autoSpaceDN w:val="0"/>
              <w:adjustRightInd w:val="0"/>
              <w:ind w:left="284"/>
              <w:contextualSpacing/>
              <w:jc w:val="both"/>
              <w:rPr>
                <w:rFonts w:cs="Arial"/>
                <w:sz w:val="20"/>
                <w:szCs w:val="20"/>
              </w:rPr>
            </w:pPr>
          </w:p>
        </w:tc>
        <w:tc>
          <w:tcPr>
            <w:tcW w:w="3803" w:type="dxa"/>
          </w:tcPr>
          <w:p w14:paraId="136265E3" w14:textId="77777777" w:rsidR="008F763E" w:rsidRPr="00903F89" w:rsidRDefault="008F763E" w:rsidP="00903F89">
            <w:pPr>
              <w:jc w:val="both"/>
              <w:rPr>
                <w:rFonts w:cs="Arial"/>
                <w:b/>
                <w:sz w:val="20"/>
                <w:szCs w:val="20"/>
                <w:u w:val="single"/>
              </w:rPr>
            </w:pPr>
          </w:p>
        </w:tc>
      </w:tr>
      <w:tr w:rsidR="00492B85" w:rsidRPr="00903F89" w14:paraId="7931B7AF" w14:textId="77777777" w:rsidTr="00AD5278">
        <w:tc>
          <w:tcPr>
            <w:tcW w:w="10538" w:type="dxa"/>
            <w:gridSpan w:val="3"/>
            <w:shd w:val="clear" w:color="auto" w:fill="auto"/>
          </w:tcPr>
          <w:p w14:paraId="029DC240" w14:textId="2B265C1B" w:rsidR="008F763E" w:rsidRPr="00903F89" w:rsidRDefault="045AFEAA" w:rsidP="00903F89">
            <w:pPr>
              <w:jc w:val="both"/>
              <w:rPr>
                <w:rFonts w:eastAsia="Arial" w:cs="Arial"/>
                <w:b/>
                <w:bCs/>
                <w:sz w:val="20"/>
                <w:szCs w:val="20"/>
                <w:u w:val="single"/>
              </w:rPr>
            </w:pPr>
            <w:r w:rsidRPr="00903F89">
              <w:rPr>
                <w:rFonts w:cs="Arial"/>
                <w:sz w:val="20"/>
                <w:szCs w:val="20"/>
              </w:rPr>
              <w:t xml:space="preserve">Η πρόνοια ενδέχεται να καλύψει δαπάνες που σχετίζονται με την απονομή του βραβείου ερευνητικής αριστείας όπως αυτή έχει υιοθετηθεί με σχετική </w:t>
            </w:r>
            <w:r w:rsidR="00B64187" w:rsidRPr="00903F89">
              <w:rPr>
                <w:rFonts w:cs="Arial"/>
                <w:sz w:val="20"/>
                <w:szCs w:val="20"/>
              </w:rPr>
              <w:t xml:space="preserve">εσωτερική απόφαση </w:t>
            </w:r>
            <w:bookmarkStart w:id="40" w:name="_Hlk87949498"/>
            <w:r w:rsidRPr="00903F89">
              <w:rPr>
                <w:rFonts w:cs="Arial"/>
                <w:sz w:val="20"/>
                <w:szCs w:val="20"/>
              </w:rPr>
              <w:t>(</w:t>
            </w:r>
            <w:r w:rsidR="00333915" w:rsidRPr="00903F89">
              <w:rPr>
                <w:rFonts w:cs="Arial"/>
                <w:sz w:val="20"/>
                <w:szCs w:val="20"/>
              </w:rPr>
              <w:t>Απόφαση Επιτροπής Προσωπικού και Κανονισμών</w:t>
            </w:r>
            <w:r w:rsidR="00333915">
              <w:rPr>
                <w:rFonts w:cs="Arial"/>
                <w:sz w:val="20"/>
                <w:szCs w:val="20"/>
              </w:rPr>
              <w:t xml:space="preserve"> του Συμβουλίου</w:t>
            </w:r>
            <w:r w:rsidR="00B64187" w:rsidRPr="00903F89">
              <w:rPr>
                <w:rFonts w:cs="Arial"/>
                <w:sz w:val="20"/>
                <w:szCs w:val="20"/>
              </w:rPr>
              <w:t xml:space="preserve">, </w:t>
            </w:r>
            <w:r w:rsidRPr="00903F89">
              <w:rPr>
                <w:rFonts w:cs="Arial"/>
                <w:sz w:val="20"/>
                <w:szCs w:val="20"/>
              </w:rPr>
              <w:t>276</w:t>
            </w:r>
            <w:r w:rsidRPr="00903F89">
              <w:rPr>
                <w:rFonts w:cs="Arial"/>
                <w:sz w:val="20"/>
                <w:szCs w:val="20"/>
                <w:vertAlign w:val="superscript"/>
              </w:rPr>
              <w:t>η</w:t>
            </w:r>
            <w:r w:rsidRPr="00903F89">
              <w:rPr>
                <w:rFonts w:cs="Arial"/>
                <w:sz w:val="20"/>
                <w:szCs w:val="20"/>
              </w:rPr>
              <w:t xml:space="preserve"> Συνεδρία</w:t>
            </w:r>
            <w:r w:rsidR="004C56E7" w:rsidRPr="00903F89">
              <w:rPr>
                <w:rFonts w:cs="Arial"/>
                <w:sz w:val="20"/>
                <w:szCs w:val="20"/>
              </w:rPr>
              <w:t>, ημερ. 13/05/2015</w:t>
            </w:r>
            <w:r w:rsidRPr="00903F89">
              <w:rPr>
                <w:rFonts w:cs="Arial"/>
                <w:sz w:val="20"/>
                <w:szCs w:val="20"/>
              </w:rPr>
              <w:t>)</w:t>
            </w:r>
            <w:bookmarkEnd w:id="40"/>
            <w:r w:rsidRPr="00903F89">
              <w:rPr>
                <w:rFonts w:cs="Arial"/>
                <w:sz w:val="20"/>
                <w:szCs w:val="20"/>
              </w:rPr>
              <w:t>.</w:t>
            </w:r>
            <w:r w:rsidR="00B64187" w:rsidRPr="00903F89">
              <w:rPr>
                <w:rFonts w:cs="Arial"/>
                <w:sz w:val="20"/>
                <w:szCs w:val="20"/>
              </w:rPr>
              <w:t xml:space="preserve">  </w:t>
            </w:r>
            <w:r w:rsidR="00B64187" w:rsidRPr="00903F89">
              <w:rPr>
                <w:rFonts w:cs="Arial"/>
                <w:sz w:val="20"/>
                <w:szCs w:val="20"/>
                <w:lang w:val="en-US"/>
              </w:rPr>
              <w:t>T</w:t>
            </w:r>
            <w:r w:rsidR="00B64187" w:rsidRPr="00903F89">
              <w:rPr>
                <w:rFonts w:cs="Arial"/>
                <w:sz w:val="20"/>
                <w:szCs w:val="20"/>
              </w:rPr>
              <w:t>ο ποσό του Βραβείου Ερευνητικής Αριστείας πιστώνεται στον ερευνητικό λογαριασμό του/της εκάστοτε βραβευθέντα/</w:t>
            </w:r>
            <w:proofErr w:type="spellStart"/>
            <w:r w:rsidR="00B64187" w:rsidRPr="00903F89">
              <w:rPr>
                <w:rFonts w:cs="Arial"/>
                <w:sz w:val="20"/>
                <w:szCs w:val="20"/>
              </w:rPr>
              <w:t>είσας</w:t>
            </w:r>
            <w:proofErr w:type="spellEnd"/>
            <w:r w:rsidR="00B64187" w:rsidRPr="00903F89">
              <w:rPr>
                <w:rFonts w:cs="Arial"/>
                <w:sz w:val="20"/>
                <w:szCs w:val="20"/>
              </w:rPr>
              <w:t xml:space="preserve"> με σκοπό να </w:t>
            </w:r>
            <w:proofErr w:type="spellStart"/>
            <w:r w:rsidR="00B64187" w:rsidRPr="00903F89">
              <w:rPr>
                <w:rFonts w:cs="Arial"/>
                <w:sz w:val="20"/>
                <w:szCs w:val="20"/>
              </w:rPr>
              <w:t>τo</w:t>
            </w:r>
            <w:proofErr w:type="spellEnd"/>
            <w:r w:rsidR="00B64187" w:rsidRPr="00903F89">
              <w:rPr>
                <w:rFonts w:cs="Arial"/>
                <w:sz w:val="20"/>
                <w:szCs w:val="20"/>
              </w:rPr>
              <w:t xml:space="preserve"> χρησιμοποιεί όποτε θέλει, σύμφωνα με τις πρόνοιες του Βραβείου.</w:t>
            </w:r>
          </w:p>
        </w:tc>
      </w:tr>
      <w:tr w:rsidR="00492B85" w:rsidRPr="00903F89" w14:paraId="69FC340C" w14:textId="77777777" w:rsidTr="00AD5278">
        <w:tc>
          <w:tcPr>
            <w:tcW w:w="10538" w:type="dxa"/>
            <w:gridSpan w:val="3"/>
            <w:shd w:val="clear" w:color="auto" w:fill="auto"/>
          </w:tcPr>
          <w:p w14:paraId="09D9220E" w14:textId="77777777" w:rsidR="00091392" w:rsidRPr="00903F89" w:rsidRDefault="00091392" w:rsidP="00903F89">
            <w:pPr>
              <w:jc w:val="both"/>
              <w:rPr>
                <w:rFonts w:cs="Arial"/>
                <w:sz w:val="20"/>
                <w:szCs w:val="20"/>
              </w:rPr>
            </w:pPr>
          </w:p>
        </w:tc>
      </w:tr>
      <w:tr w:rsidR="00492B85" w:rsidRPr="00903F89" w14:paraId="7B255880" w14:textId="77777777" w:rsidTr="00AD5278">
        <w:tc>
          <w:tcPr>
            <w:tcW w:w="10538" w:type="dxa"/>
            <w:gridSpan w:val="3"/>
            <w:shd w:val="clear" w:color="auto" w:fill="auto"/>
          </w:tcPr>
          <w:p w14:paraId="1529AED8" w14:textId="440D959F" w:rsidR="008F763E" w:rsidRPr="00903F89" w:rsidRDefault="045AFEAA" w:rsidP="00903F89">
            <w:pPr>
              <w:jc w:val="both"/>
              <w:rPr>
                <w:rFonts w:eastAsia="Arial" w:cs="Arial"/>
                <w:sz w:val="20"/>
                <w:szCs w:val="20"/>
              </w:rPr>
            </w:pPr>
            <w:r w:rsidRPr="00903F89">
              <w:rPr>
                <w:rFonts w:cs="Arial"/>
                <w:sz w:val="20"/>
                <w:szCs w:val="20"/>
              </w:rPr>
              <w:t>Ανάγκες για έξοδα έκδοσης και συντήρησης πιστοποιητικών ευρεσιτεχνίας μπορούν να καλυφθούν από αυτό το άρθρο.</w:t>
            </w:r>
          </w:p>
        </w:tc>
      </w:tr>
      <w:tr w:rsidR="00262C9E" w:rsidRPr="00903F89" w14:paraId="5546EDA7" w14:textId="77777777" w:rsidTr="00AD5278">
        <w:tc>
          <w:tcPr>
            <w:tcW w:w="10538" w:type="dxa"/>
            <w:gridSpan w:val="3"/>
            <w:shd w:val="clear" w:color="auto" w:fill="auto"/>
          </w:tcPr>
          <w:p w14:paraId="6041BEF0" w14:textId="77777777" w:rsidR="00262C9E" w:rsidRPr="00903F89" w:rsidRDefault="00262C9E" w:rsidP="00903F89">
            <w:pPr>
              <w:jc w:val="both"/>
              <w:rPr>
                <w:rFonts w:cs="Arial"/>
                <w:sz w:val="20"/>
                <w:szCs w:val="20"/>
              </w:rPr>
            </w:pPr>
          </w:p>
        </w:tc>
      </w:tr>
      <w:tr w:rsidR="005F4BE0" w:rsidRPr="00903F89" w14:paraId="47F74BAD" w14:textId="77777777" w:rsidTr="00AD5278">
        <w:tc>
          <w:tcPr>
            <w:tcW w:w="10538" w:type="dxa"/>
            <w:gridSpan w:val="3"/>
            <w:shd w:val="clear" w:color="auto" w:fill="auto"/>
          </w:tcPr>
          <w:p w14:paraId="5F2FCDCE" w14:textId="7ECBF5B3" w:rsidR="005F4BE0" w:rsidRPr="00903F89" w:rsidRDefault="005F4BE0" w:rsidP="00903F89">
            <w:pPr>
              <w:jc w:val="both"/>
              <w:rPr>
                <w:rFonts w:cs="Arial"/>
                <w:sz w:val="20"/>
                <w:szCs w:val="20"/>
              </w:rPr>
            </w:pPr>
            <w:r w:rsidRPr="00903F89">
              <w:rPr>
                <w:rFonts w:cs="Arial"/>
                <w:sz w:val="20"/>
                <w:szCs w:val="20"/>
                <w:u w:val="single"/>
              </w:rPr>
              <w:t>Εξωτερικοί κριτές για προτάσεις που υποβάλλονται στο πλαίσιο των εσωτερικά χρηματοδοτούμενων προγραμμάτων έρευνας ή βραβείων</w:t>
            </w:r>
          </w:p>
        </w:tc>
      </w:tr>
      <w:tr w:rsidR="005F4BE0" w:rsidRPr="00903F89" w14:paraId="4C3CBECB" w14:textId="77777777" w:rsidTr="00AD5278">
        <w:tc>
          <w:tcPr>
            <w:tcW w:w="10538" w:type="dxa"/>
            <w:gridSpan w:val="3"/>
            <w:shd w:val="clear" w:color="auto" w:fill="auto"/>
          </w:tcPr>
          <w:p w14:paraId="1FC463FE" w14:textId="77777777" w:rsidR="005F4BE0" w:rsidRPr="00903F89" w:rsidRDefault="005F4BE0" w:rsidP="00903F89">
            <w:pPr>
              <w:jc w:val="both"/>
              <w:rPr>
                <w:rFonts w:cs="Arial"/>
                <w:sz w:val="20"/>
                <w:szCs w:val="20"/>
              </w:rPr>
            </w:pPr>
          </w:p>
        </w:tc>
      </w:tr>
      <w:tr w:rsidR="005F4BE0" w:rsidRPr="00903F89" w14:paraId="418058C6" w14:textId="77777777" w:rsidTr="00AD5278">
        <w:tc>
          <w:tcPr>
            <w:tcW w:w="10538" w:type="dxa"/>
            <w:gridSpan w:val="3"/>
            <w:shd w:val="clear" w:color="auto" w:fill="auto"/>
          </w:tcPr>
          <w:p w14:paraId="0B47186A" w14:textId="2D35E821" w:rsidR="00AF6896" w:rsidRPr="00903F89" w:rsidRDefault="005F4BE0" w:rsidP="00903F89">
            <w:pPr>
              <w:jc w:val="both"/>
              <w:rPr>
                <w:rFonts w:cs="Arial"/>
                <w:sz w:val="20"/>
                <w:szCs w:val="20"/>
              </w:rPr>
            </w:pPr>
            <w:r w:rsidRPr="00903F89">
              <w:rPr>
                <w:rFonts w:eastAsia="Arial" w:cs="Arial"/>
                <w:bCs/>
                <w:sz w:val="20"/>
                <w:szCs w:val="20"/>
              </w:rPr>
              <w:t>Στους εξωτερικούς κριτές που συμμετέχουν στην επιστημονική αξιολόγηση προτάσεων που υποβάλλονται στο πλαίσιο εσωτερικά χρηματοδοτούμενων προγραμμάτων έρευνας ή βραβείων, όπως τα εσωτερικά ερευνητικά προγράμματα, τα προγράμματα Ιδρύματος ΛΕΒΕΝΤΗ, το πρόγραμμα «ΟΝΗΣΙΛΟΣ» και το Βραβείο Ερευνητικής Αριστείας, δύναται να καταβληθεί κατ’ αποκοπή αμοιβή (honorarium) μέχρι €200.   Σημειώνεται ότι στους κριτές των εσωτερικά χρηματοδοτούμενων προγραμμάτων έρευνας δεν καταβάλλονται οποιεσδήποτε άλλες αποζημιώσεις καθότι η όλη διαδικασία αξιολόγησης διεξάγεται μέσω ηλεκτρονικής επικοινωνίας/αλληλογραφίας.</w:t>
            </w:r>
            <w:r w:rsidRPr="00903F89">
              <w:rPr>
                <w:rFonts w:cs="Arial"/>
                <w:sz w:val="20"/>
                <w:szCs w:val="20"/>
              </w:rPr>
              <w:t xml:space="preserve"> </w:t>
            </w:r>
          </w:p>
        </w:tc>
      </w:tr>
      <w:bookmarkEnd w:id="38"/>
      <w:tr w:rsidR="005F4BE0" w:rsidRPr="00903F89" w14:paraId="12C98E0E" w14:textId="77777777" w:rsidTr="0047093A">
        <w:trPr>
          <w:trHeight w:val="57"/>
        </w:trPr>
        <w:tc>
          <w:tcPr>
            <w:tcW w:w="10538" w:type="dxa"/>
            <w:gridSpan w:val="3"/>
            <w:shd w:val="clear" w:color="auto" w:fill="auto"/>
          </w:tcPr>
          <w:p w14:paraId="5D369A47" w14:textId="77777777" w:rsidR="005F4BE0" w:rsidRPr="00903F89" w:rsidRDefault="005F4BE0" w:rsidP="00903F89">
            <w:pPr>
              <w:jc w:val="both"/>
              <w:rPr>
                <w:rFonts w:cs="Arial"/>
                <w:sz w:val="20"/>
                <w:szCs w:val="20"/>
              </w:rPr>
            </w:pPr>
          </w:p>
        </w:tc>
      </w:tr>
      <w:tr w:rsidR="00307EE9" w:rsidRPr="00903F89" w14:paraId="46EA9744" w14:textId="77777777" w:rsidTr="0047093A">
        <w:trPr>
          <w:trHeight w:val="57"/>
        </w:trPr>
        <w:tc>
          <w:tcPr>
            <w:tcW w:w="10538" w:type="dxa"/>
            <w:gridSpan w:val="3"/>
            <w:shd w:val="clear" w:color="auto" w:fill="auto"/>
          </w:tcPr>
          <w:p w14:paraId="3465F812" w14:textId="4B385253" w:rsidR="00307EE9" w:rsidRPr="00903F89" w:rsidRDefault="000D5318" w:rsidP="00903F89">
            <w:pPr>
              <w:jc w:val="both"/>
              <w:rPr>
                <w:rFonts w:cs="Arial"/>
                <w:sz w:val="20"/>
                <w:szCs w:val="20"/>
              </w:rPr>
            </w:pPr>
            <w:r w:rsidRPr="00903F89">
              <w:rPr>
                <w:rFonts w:cs="Arial"/>
                <w:sz w:val="20"/>
                <w:szCs w:val="20"/>
                <w:u w:val="single"/>
              </w:rPr>
              <w:t>Άλλες Δαπάνες</w:t>
            </w:r>
          </w:p>
        </w:tc>
      </w:tr>
      <w:tr w:rsidR="00B27BDA" w:rsidRPr="00903F89" w14:paraId="620C5240" w14:textId="77777777" w:rsidTr="0047093A">
        <w:trPr>
          <w:trHeight w:val="57"/>
        </w:trPr>
        <w:tc>
          <w:tcPr>
            <w:tcW w:w="10538" w:type="dxa"/>
            <w:gridSpan w:val="3"/>
            <w:shd w:val="clear" w:color="auto" w:fill="auto"/>
          </w:tcPr>
          <w:p w14:paraId="2833B0A4" w14:textId="77777777" w:rsidR="00B27BDA" w:rsidRPr="00903F89" w:rsidRDefault="00B27BDA" w:rsidP="00903F89">
            <w:pPr>
              <w:jc w:val="both"/>
              <w:rPr>
                <w:rFonts w:cs="Arial"/>
                <w:sz w:val="20"/>
                <w:szCs w:val="20"/>
                <w:u w:val="single"/>
              </w:rPr>
            </w:pPr>
          </w:p>
        </w:tc>
      </w:tr>
      <w:tr w:rsidR="000D5318" w:rsidRPr="00903F89" w14:paraId="231B44B8" w14:textId="77777777" w:rsidTr="0047093A">
        <w:trPr>
          <w:trHeight w:val="57"/>
        </w:trPr>
        <w:tc>
          <w:tcPr>
            <w:tcW w:w="10538" w:type="dxa"/>
            <w:gridSpan w:val="3"/>
            <w:shd w:val="clear" w:color="auto" w:fill="auto"/>
          </w:tcPr>
          <w:p w14:paraId="6C2D5B7A" w14:textId="3479F989" w:rsidR="000D5318" w:rsidRPr="00903F89" w:rsidRDefault="000D5318" w:rsidP="00903F89">
            <w:pPr>
              <w:jc w:val="both"/>
              <w:rPr>
                <w:rFonts w:cs="Arial"/>
                <w:sz w:val="20"/>
                <w:szCs w:val="20"/>
                <w:u w:val="single"/>
              </w:rPr>
            </w:pPr>
            <w:r w:rsidRPr="00903F89">
              <w:rPr>
                <w:rFonts w:cs="Arial"/>
                <w:sz w:val="20"/>
                <w:szCs w:val="20"/>
              </w:rPr>
              <w:t xml:space="preserve">Η πρόνοια του </w:t>
            </w:r>
            <w:r w:rsidR="00160872">
              <w:rPr>
                <w:rFonts w:cs="Arial"/>
                <w:sz w:val="20"/>
                <w:szCs w:val="20"/>
              </w:rPr>
              <w:t>ά</w:t>
            </w:r>
            <w:r w:rsidRPr="00903F89">
              <w:rPr>
                <w:rFonts w:cs="Arial"/>
                <w:sz w:val="20"/>
                <w:szCs w:val="20"/>
              </w:rPr>
              <w:t>ρθρου μπορεί να καλύψει δαπάνες που προκύπτουν από την ερευνητική δραστηριοποίηση των μελών του Πανεπιστημίου Κύπρου οι οποίες χρηματοδοτούνται είτε από τα έσοδα της δραστηριότητας τους είτε από εξωτερικούς Χορηγούς/Δωρητές (έσοδα εκτός Κρατικής Χορηγίας).</w:t>
            </w:r>
          </w:p>
        </w:tc>
      </w:tr>
      <w:tr w:rsidR="00FF6102" w:rsidRPr="00903F89" w14:paraId="6D5465A4" w14:textId="77777777" w:rsidTr="0047093A">
        <w:trPr>
          <w:trHeight w:val="57"/>
        </w:trPr>
        <w:tc>
          <w:tcPr>
            <w:tcW w:w="10538" w:type="dxa"/>
            <w:gridSpan w:val="3"/>
            <w:shd w:val="clear" w:color="auto" w:fill="auto"/>
          </w:tcPr>
          <w:p w14:paraId="5F62D363" w14:textId="77777777" w:rsidR="00FF6102" w:rsidRPr="00903F89" w:rsidRDefault="00FF6102" w:rsidP="00903F89">
            <w:pPr>
              <w:jc w:val="both"/>
              <w:rPr>
                <w:rFonts w:cs="Arial"/>
                <w:sz w:val="20"/>
                <w:szCs w:val="20"/>
              </w:rPr>
            </w:pPr>
          </w:p>
        </w:tc>
      </w:tr>
      <w:tr w:rsidR="00FF6102" w:rsidRPr="00903F89" w14:paraId="6C0D1464" w14:textId="77777777" w:rsidTr="00686014">
        <w:trPr>
          <w:trHeight w:val="57"/>
        </w:trPr>
        <w:tc>
          <w:tcPr>
            <w:tcW w:w="10538" w:type="dxa"/>
            <w:gridSpan w:val="3"/>
            <w:shd w:val="clear" w:color="auto" w:fill="auto"/>
          </w:tcPr>
          <w:p w14:paraId="23B18376" w14:textId="3C6FF211" w:rsidR="00FF6102" w:rsidRPr="00903F89" w:rsidRDefault="00FF6102" w:rsidP="00903F89">
            <w:pPr>
              <w:jc w:val="both"/>
              <w:rPr>
                <w:rFonts w:cs="Arial"/>
                <w:sz w:val="20"/>
                <w:szCs w:val="20"/>
              </w:rPr>
            </w:pPr>
            <w:r w:rsidRPr="00903F89">
              <w:rPr>
                <w:rFonts w:cs="Arial"/>
                <w:sz w:val="20"/>
                <w:szCs w:val="20"/>
              </w:rPr>
              <w:t>Η πρόνοια δύναται να καλύψει δαπάνες απαιτούμενης εξέτασης για τη νόσο Covid-19 μέλους προσωπικού που ταξιδεύει για επαγγελματικά θέματα που αφορούν στο ΠΚ ή/και για διεκπεραίωση υπηρεσιακής εργασίας, το κόστος της οποίας θα καλύπτεται από τον ερευνητικό λογαριασμό του Ερευνητή</w:t>
            </w:r>
            <w:r w:rsidR="0024704C" w:rsidRPr="00903F89">
              <w:rPr>
                <w:rFonts w:cs="Arial"/>
                <w:sz w:val="20"/>
                <w:szCs w:val="20"/>
              </w:rPr>
              <w:t>, και θα πραγματοποιείται, αντίστοιχα, είτε σε εγκεκριμένο εργαστήριο στην Κύπρο πριν την αναχώρηση, είτε στα αεροδρόμια Κύπρου κατά την άφιξη.</w:t>
            </w:r>
          </w:p>
        </w:tc>
      </w:tr>
      <w:tr w:rsidR="000D5318" w:rsidRPr="00903F89" w14:paraId="190D68DE" w14:textId="77777777" w:rsidTr="0047093A">
        <w:trPr>
          <w:trHeight w:val="57"/>
        </w:trPr>
        <w:tc>
          <w:tcPr>
            <w:tcW w:w="10538" w:type="dxa"/>
            <w:gridSpan w:val="3"/>
            <w:shd w:val="clear" w:color="auto" w:fill="auto"/>
          </w:tcPr>
          <w:p w14:paraId="7F988403" w14:textId="77777777" w:rsidR="000D5318" w:rsidRPr="00903F89" w:rsidRDefault="000D5318" w:rsidP="00903F89">
            <w:pPr>
              <w:shd w:val="clear" w:color="auto" w:fill="FFFFFF"/>
              <w:jc w:val="both"/>
              <w:rPr>
                <w:rFonts w:eastAsia="Arial" w:cs="Arial"/>
                <w:bCs/>
                <w:sz w:val="20"/>
                <w:szCs w:val="20"/>
              </w:rPr>
            </w:pPr>
          </w:p>
        </w:tc>
      </w:tr>
      <w:tr w:rsidR="00413B4B" w:rsidRPr="00903F89" w14:paraId="30DA8768" w14:textId="77777777" w:rsidTr="00AD5278">
        <w:tc>
          <w:tcPr>
            <w:tcW w:w="10538" w:type="dxa"/>
            <w:gridSpan w:val="3"/>
            <w:shd w:val="clear" w:color="auto" w:fill="auto"/>
          </w:tcPr>
          <w:p w14:paraId="1852858F" w14:textId="63FE6190" w:rsidR="00413B4B" w:rsidRPr="00903F89" w:rsidRDefault="00413B4B" w:rsidP="00903F89">
            <w:pPr>
              <w:jc w:val="both"/>
              <w:rPr>
                <w:rFonts w:eastAsia="Arial" w:cs="Arial"/>
                <w:sz w:val="20"/>
                <w:szCs w:val="20"/>
              </w:rPr>
            </w:pPr>
            <w:r w:rsidRPr="00903F89">
              <w:rPr>
                <w:rFonts w:cs="Arial"/>
                <w:b/>
                <w:bCs/>
                <w:sz w:val="20"/>
                <w:szCs w:val="20"/>
                <w:u w:val="single"/>
              </w:rPr>
              <w:t>Άρθρο 312 – Επιχορήγηση Φοιτητικών Δραστηριοτήτων – €</w:t>
            </w:r>
            <w:r w:rsidR="00176DD5" w:rsidRPr="00903F89">
              <w:rPr>
                <w:rFonts w:cs="Arial"/>
                <w:b/>
                <w:bCs/>
                <w:sz w:val="20"/>
                <w:szCs w:val="20"/>
                <w:u w:val="single"/>
              </w:rPr>
              <w:t>65.700</w:t>
            </w:r>
          </w:p>
        </w:tc>
      </w:tr>
      <w:tr w:rsidR="00413B4B" w:rsidRPr="00903F89" w14:paraId="572F3DAD" w14:textId="77777777" w:rsidTr="00AD5278">
        <w:tc>
          <w:tcPr>
            <w:tcW w:w="2870" w:type="dxa"/>
            <w:shd w:val="clear" w:color="auto" w:fill="auto"/>
          </w:tcPr>
          <w:p w14:paraId="2BAAD209" w14:textId="77777777" w:rsidR="00413B4B" w:rsidRPr="00903F89" w:rsidRDefault="00413B4B" w:rsidP="00903F89">
            <w:pPr>
              <w:jc w:val="both"/>
              <w:rPr>
                <w:rFonts w:cs="Arial"/>
                <w:b/>
                <w:sz w:val="20"/>
                <w:szCs w:val="20"/>
                <w:u w:val="single"/>
              </w:rPr>
            </w:pPr>
          </w:p>
        </w:tc>
        <w:tc>
          <w:tcPr>
            <w:tcW w:w="3865" w:type="dxa"/>
            <w:shd w:val="clear" w:color="auto" w:fill="auto"/>
          </w:tcPr>
          <w:p w14:paraId="534868E1" w14:textId="77777777" w:rsidR="00413B4B" w:rsidRPr="00903F89" w:rsidRDefault="00413B4B" w:rsidP="00903F89">
            <w:pPr>
              <w:autoSpaceDE w:val="0"/>
              <w:autoSpaceDN w:val="0"/>
              <w:adjustRightInd w:val="0"/>
              <w:ind w:left="284"/>
              <w:contextualSpacing/>
              <w:jc w:val="both"/>
              <w:rPr>
                <w:rFonts w:cs="Arial"/>
                <w:sz w:val="20"/>
                <w:szCs w:val="20"/>
              </w:rPr>
            </w:pPr>
          </w:p>
        </w:tc>
        <w:tc>
          <w:tcPr>
            <w:tcW w:w="3803" w:type="dxa"/>
          </w:tcPr>
          <w:p w14:paraId="1BEC66C4" w14:textId="77777777" w:rsidR="00413B4B" w:rsidRPr="00903F89" w:rsidRDefault="00413B4B" w:rsidP="00903F89">
            <w:pPr>
              <w:jc w:val="both"/>
              <w:rPr>
                <w:rFonts w:cs="Arial"/>
                <w:b/>
                <w:sz w:val="20"/>
                <w:szCs w:val="20"/>
                <w:u w:val="single"/>
              </w:rPr>
            </w:pPr>
          </w:p>
        </w:tc>
      </w:tr>
      <w:tr w:rsidR="00413B4B" w:rsidRPr="00903F89" w14:paraId="1622CAB4" w14:textId="77777777" w:rsidTr="00AD5278">
        <w:tc>
          <w:tcPr>
            <w:tcW w:w="10538" w:type="dxa"/>
            <w:gridSpan w:val="3"/>
            <w:shd w:val="clear" w:color="auto" w:fill="auto"/>
          </w:tcPr>
          <w:p w14:paraId="2CC4D4C1" w14:textId="60FF0496" w:rsidR="00413B4B" w:rsidRPr="00903F89" w:rsidRDefault="00413B4B" w:rsidP="00903F89">
            <w:pPr>
              <w:jc w:val="both"/>
              <w:rPr>
                <w:rFonts w:eastAsia="Arial" w:cs="Arial"/>
                <w:b/>
                <w:bCs/>
                <w:sz w:val="20"/>
                <w:szCs w:val="20"/>
                <w:u w:val="single"/>
              </w:rPr>
            </w:pPr>
            <w:r w:rsidRPr="00903F89">
              <w:rPr>
                <w:rFonts w:cs="Arial"/>
                <w:sz w:val="20"/>
                <w:szCs w:val="20"/>
              </w:rPr>
              <w:t>Το ποσό αυτό προορίζεται να καλύψει έξοδα για δραστηριότητες που οργανώνονται από τη Φοιτητική Ένωση του Πανεπιστημίου Κύπρου (Φ.Ε.ΠΑΝ.), τη Συντονιστική Επιτροπή Ομίλων, τους φοιτητικούς ομίλους καθώς και δραστηριότητες ψυχαγωγικού, πολιτιστικού, κοινωνικού και επιμορφωτικού χαρακτήρα της Υπηρεσίας Σπουδών και Φοιτητικής Μέριμνας, όπως:</w:t>
            </w:r>
          </w:p>
        </w:tc>
      </w:tr>
      <w:tr w:rsidR="00413B4B" w:rsidRPr="00903F89" w14:paraId="5200358B" w14:textId="77777777" w:rsidTr="00AD5278">
        <w:tc>
          <w:tcPr>
            <w:tcW w:w="2870" w:type="dxa"/>
            <w:shd w:val="clear" w:color="auto" w:fill="auto"/>
          </w:tcPr>
          <w:p w14:paraId="0CC4C498" w14:textId="77777777" w:rsidR="00413B4B" w:rsidRPr="00903F89" w:rsidRDefault="00413B4B" w:rsidP="00903F89">
            <w:pPr>
              <w:jc w:val="both"/>
              <w:rPr>
                <w:rFonts w:cs="Arial"/>
                <w:b/>
                <w:sz w:val="20"/>
                <w:szCs w:val="20"/>
                <w:u w:val="single"/>
              </w:rPr>
            </w:pPr>
          </w:p>
        </w:tc>
        <w:tc>
          <w:tcPr>
            <w:tcW w:w="3865" w:type="dxa"/>
            <w:shd w:val="clear" w:color="auto" w:fill="auto"/>
          </w:tcPr>
          <w:p w14:paraId="73B6B908" w14:textId="77777777" w:rsidR="00413B4B" w:rsidRPr="00903F89" w:rsidRDefault="00413B4B" w:rsidP="00903F89">
            <w:pPr>
              <w:autoSpaceDE w:val="0"/>
              <w:autoSpaceDN w:val="0"/>
              <w:adjustRightInd w:val="0"/>
              <w:ind w:left="284"/>
              <w:contextualSpacing/>
              <w:jc w:val="both"/>
              <w:rPr>
                <w:rFonts w:cs="Arial"/>
                <w:sz w:val="20"/>
                <w:szCs w:val="20"/>
              </w:rPr>
            </w:pPr>
          </w:p>
        </w:tc>
        <w:tc>
          <w:tcPr>
            <w:tcW w:w="3803" w:type="dxa"/>
          </w:tcPr>
          <w:p w14:paraId="43E5627D" w14:textId="77777777" w:rsidR="00413B4B" w:rsidRPr="00903F89" w:rsidRDefault="00413B4B" w:rsidP="00903F89">
            <w:pPr>
              <w:jc w:val="both"/>
              <w:rPr>
                <w:rFonts w:cs="Arial"/>
                <w:b/>
                <w:sz w:val="20"/>
                <w:szCs w:val="20"/>
                <w:u w:val="single"/>
              </w:rPr>
            </w:pPr>
          </w:p>
        </w:tc>
      </w:tr>
      <w:tr w:rsidR="00413B4B" w:rsidRPr="00903F89" w14:paraId="74537336" w14:textId="77777777" w:rsidTr="00AD5278">
        <w:tc>
          <w:tcPr>
            <w:tcW w:w="10538" w:type="dxa"/>
            <w:gridSpan w:val="3"/>
            <w:shd w:val="clear" w:color="auto" w:fill="auto"/>
          </w:tcPr>
          <w:p w14:paraId="24A87C19"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 xml:space="preserve">εβδομάδα προσανατολισμού των νεοεισερχόμενων φοιτητών </w:t>
            </w:r>
          </w:p>
          <w:p w14:paraId="6EAD8F30" w14:textId="121BA62F"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βραδιά ομίλων</w:t>
            </w:r>
          </w:p>
          <w:p w14:paraId="135B28EA"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συνέδρια, σεμινάρια, εργαστήρια, επιμορφωτικές διαλέξεις</w:t>
            </w:r>
          </w:p>
          <w:p w14:paraId="2B3D51E1"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θεατρικές παραστάσεις και μουσικές εκδηλώσεις</w:t>
            </w:r>
          </w:p>
          <w:p w14:paraId="6A7AF968"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παραστάσεις χορευτικού ομίλου</w:t>
            </w:r>
          </w:p>
          <w:p w14:paraId="0ABEEE5D"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εκδρομές</w:t>
            </w:r>
          </w:p>
          <w:p w14:paraId="59CB289F"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αποστολές ομίλων στο εξωτερικό</w:t>
            </w:r>
          </w:p>
          <w:p w14:paraId="61E23680"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εκδηλώσεις στη φοιτητική εστία</w:t>
            </w:r>
          </w:p>
          <w:p w14:paraId="3E51A511"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εκδηλώσεις του Προγράμματος Εθελοντών Φοιτητών,</w:t>
            </w:r>
          </w:p>
          <w:p w14:paraId="5D364B79" w14:textId="77777777"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αιμοδοσίες,</w:t>
            </w:r>
          </w:p>
          <w:p w14:paraId="3CD28C0C" w14:textId="06FA5A0C" w:rsidR="00413B4B" w:rsidRPr="00903F89" w:rsidRDefault="00413B4B" w:rsidP="00903F89">
            <w:pPr>
              <w:numPr>
                <w:ilvl w:val="0"/>
                <w:numId w:val="1"/>
              </w:numPr>
              <w:ind w:left="323" w:hanging="323"/>
              <w:jc w:val="both"/>
              <w:rPr>
                <w:rFonts w:eastAsia="Arial" w:cs="Arial"/>
                <w:sz w:val="20"/>
                <w:szCs w:val="20"/>
              </w:rPr>
            </w:pPr>
            <w:r w:rsidRPr="00903F89">
              <w:rPr>
                <w:rFonts w:cs="Arial"/>
                <w:sz w:val="20"/>
                <w:szCs w:val="20"/>
              </w:rPr>
              <w:t>εκθέσεις, προβολές και άλλες δραστηριότητες.</w:t>
            </w:r>
          </w:p>
        </w:tc>
      </w:tr>
      <w:tr w:rsidR="00413B4B" w:rsidRPr="00903F89" w14:paraId="5475A57F" w14:textId="77777777" w:rsidTr="00AD5278">
        <w:tc>
          <w:tcPr>
            <w:tcW w:w="10538" w:type="dxa"/>
            <w:gridSpan w:val="3"/>
            <w:shd w:val="clear" w:color="auto" w:fill="auto"/>
          </w:tcPr>
          <w:p w14:paraId="0F94A474" w14:textId="77777777" w:rsidR="00413B4B" w:rsidRPr="00903F89" w:rsidRDefault="00413B4B" w:rsidP="00903F89">
            <w:pPr>
              <w:tabs>
                <w:tab w:val="left" w:pos="432"/>
              </w:tabs>
              <w:ind w:left="714"/>
              <w:jc w:val="both"/>
              <w:rPr>
                <w:rFonts w:cs="Arial"/>
                <w:sz w:val="20"/>
                <w:szCs w:val="20"/>
              </w:rPr>
            </w:pPr>
          </w:p>
        </w:tc>
      </w:tr>
      <w:tr w:rsidR="00413B4B" w:rsidRPr="00903F89" w14:paraId="6BECC2FC" w14:textId="77777777" w:rsidTr="00AD5278">
        <w:tc>
          <w:tcPr>
            <w:tcW w:w="10538" w:type="dxa"/>
            <w:gridSpan w:val="3"/>
            <w:shd w:val="clear" w:color="auto" w:fill="auto"/>
          </w:tcPr>
          <w:p w14:paraId="0E263C87" w14:textId="2AF11781" w:rsidR="00413B4B" w:rsidRPr="00903F89" w:rsidRDefault="00413B4B" w:rsidP="00903F89">
            <w:pPr>
              <w:tabs>
                <w:tab w:val="left" w:pos="432"/>
              </w:tabs>
              <w:jc w:val="both"/>
              <w:rPr>
                <w:rFonts w:eastAsia="Arial" w:cs="Arial"/>
                <w:sz w:val="20"/>
                <w:szCs w:val="20"/>
              </w:rPr>
            </w:pPr>
          </w:p>
        </w:tc>
      </w:tr>
    </w:tbl>
    <w:p w14:paraId="1BC4F131" w14:textId="77777777" w:rsidR="00B1212B" w:rsidRDefault="00B121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942"/>
        <w:gridCol w:w="923"/>
        <w:gridCol w:w="3803"/>
      </w:tblGrid>
      <w:tr w:rsidR="00413B4B" w:rsidRPr="00903F89" w14:paraId="518C2669" w14:textId="77777777" w:rsidTr="00AD5278">
        <w:tc>
          <w:tcPr>
            <w:tcW w:w="10538" w:type="dxa"/>
            <w:gridSpan w:val="4"/>
            <w:shd w:val="clear" w:color="auto" w:fill="auto"/>
          </w:tcPr>
          <w:p w14:paraId="00838B85" w14:textId="523AD62A" w:rsidR="00413B4B" w:rsidRPr="00903F89" w:rsidRDefault="00413B4B" w:rsidP="00903F89">
            <w:pPr>
              <w:tabs>
                <w:tab w:val="left" w:pos="432"/>
              </w:tabs>
              <w:jc w:val="both"/>
              <w:rPr>
                <w:rFonts w:eastAsia="Arial" w:cs="Arial"/>
                <w:sz w:val="20"/>
                <w:szCs w:val="20"/>
              </w:rPr>
            </w:pPr>
            <w:r w:rsidRPr="00903F89">
              <w:rPr>
                <w:rFonts w:cs="Arial"/>
                <w:b/>
                <w:bCs/>
                <w:sz w:val="20"/>
                <w:szCs w:val="20"/>
                <w:u w:val="single"/>
              </w:rPr>
              <w:t>Άρθρο 313 – Αθλητικές Δραστηριότητες Πανεπιστημίου – €</w:t>
            </w:r>
            <w:r w:rsidR="00A51CCB" w:rsidRPr="00903F89">
              <w:rPr>
                <w:rFonts w:cs="Arial"/>
                <w:b/>
                <w:bCs/>
                <w:sz w:val="20"/>
                <w:szCs w:val="20"/>
                <w:u w:val="single"/>
              </w:rPr>
              <w:t>1</w:t>
            </w:r>
            <w:r w:rsidR="00176DD5" w:rsidRPr="00903F89">
              <w:rPr>
                <w:rFonts w:cs="Arial"/>
                <w:b/>
                <w:bCs/>
                <w:sz w:val="20"/>
                <w:szCs w:val="20"/>
                <w:u w:val="single"/>
              </w:rPr>
              <w:t>5</w:t>
            </w:r>
            <w:r w:rsidR="009A7D53" w:rsidRPr="00903F89">
              <w:rPr>
                <w:rFonts w:cs="Arial"/>
                <w:b/>
                <w:bCs/>
                <w:sz w:val="20"/>
                <w:szCs w:val="20"/>
                <w:u w:val="single"/>
              </w:rPr>
              <w:t>2</w:t>
            </w:r>
            <w:r w:rsidR="00A51CCB" w:rsidRPr="00903F89">
              <w:rPr>
                <w:rFonts w:cs="Arial"/>
                <w:b/>
                <w:bCs/>
                <w:sz w:val="20"/>
                <w:szCs w:val="20"/>
                <w:u w:val="single"/>
              </w:rPr>
              <w:t>.0</w:t>
            </w:r>
            <w:r w:rsidR="00F9340C" w:rsidRPr="00903F89">
              <w:rPr>
                <w:rFonts w:cs="Arial"/>
                <w:b/>
                <w:bCs/>
                <w:sz w:val="20"/>
                <w:szCs w:val="20"/>
                <w:u w:val="single"/>
              </w:rPr>
              <w:t>00</w:t>
            </w:r>
          </w:p>
        </w:tc>
      </w:tr>
      <w:tr w:rsidR="00413B4B" w:rsidRPr="00903F89" w14:paraId="05703917" w14:textId="77777777" w:rsidTr="00AD5278">
        <w:tc>
          <w:tcPr>
            <w:tcW w:w="2870" w:type="dxa"/>
            <w:shd w:val="clear" w:color="auto" w:fill="auto"/>
          </w:tcPr>
          <w:p w14:paraId="5C8AE604" w14:textId="77777777" w:rsidR="00413B4B" w:rsidRPr="00903F89" w:rsidRDefault="00413B4B" w:rsidP="00903F89">
            <w:pPr>
              <w:jc w:val="both"/>
              <w:rPr>
                <w:rFonts w:cs="Arial"/>
                <w:b/>
                <w:sz w:val="20"/>
                <w:szCs w:val="20"/>
                <w:u w:val="single"/>
              </w:rPr>
            </w:pPr>
          </w:p>
        </w:tc>
        <w:tc>
          <w:tcPr>
            <w:tcW w:w="3865" w:type="dxa"/>
            <w:gridSpan w:val="2"/>
            <w:shd w:val="clear" w:color="auto" w:fill="auto"/>
          </w:tcPr>
          <w:p w14:paraId="57A6FC45" w14:textId="77777777" w:rsidR="00413B4B" w:rsidRPr="00903F89" w:rsidRDefault="00413B4B" w:rsidP="00903F89">
            <w:pPr>
              <w:autoSpaceDE w:val="0"/>
              <w:autoSpaceDN w:val="0"/>
              <w:adjustRightInd w:val="0"/>
              <w:ind w:left="284"/>
              <w:contextualSpacing/>
              <w:jc w:val="both"/>
              <w:rPr>
                <w:rFonts w:cs="Arial"/>
                <w:sz w:val="20"/>
                <w:szCs w:val="20"/>
              </w:rPr>
            </w:pPr>
          </w:p>
        </w:tc>
        <w:tc>
          <w:tcPr>
            <w:tcW w:w="3803" w:type="dxa"/>
          </w:tcPr>
          <w:p w14:paraId="3C28D495" w14:textId="77777777" w:rsidR="00413B4B" w:rsidRPr="00903F89" w:rsidRDefault="00413B4B" w:rsidP="00903F89">
            <w:pPr>
              <w:jc w:val="both"/>
              <w:rPr>
                <w:rFonts w:cs="Arial"/>
                <w:b/>
                <w:sz w:val="20"/>
                <w:szCs w:val="20"/>
                <w:u w:val="single"/>
              </w:rPr>
            </w:pPr>
          </w:p>
        </w:tc>
      </w:tr>
      <w:tr w:rsidR="00413B4B" w:rsidRPr="00903F89" w14:paraId="7DAD4AA5" w14:textId="77777777" w:rsidTr="00AD5278">
        <w:tc>
          <w:tcPr>
            <w:tcW w:w="10538" w:type="dxa"/>
            <w:gridSpan w:val="4"/>
            <w:shd w:val="clear" w:color="auto" w:fill="auto"/>
          </w:tcPr>
          <w:p w14:paraId="0D332208" w14:textId="3A906C75" w:rsidR="00413B4B" w:rsidRPr="00903F89" w:rsidRDefault="00413B4B" w:rsidP="00903F89">
            <w:pPr>
              <w:jc w:val="both"/>
              <w:rPr>
                <w:rFonts w:eastAsia="Arial" w:cs="Arial"/>
                <w:b/>
                <w:bCs/>
                <w:sz w:val="20"/>
                <w:szCs w:val="20"/>
                <w:u w:val="single"/>
              </w:rPr>
            </w:pPr>
            <w:r w:rsidRPr="00903F89">
              <w:rPr>
                <w:rFonts w:cs="Arial"/>
                <w:sz w:val="20"/>
                <w:szCs w:val="20"/>
              </w:rPr>
              <w:t>Το ποσό αυτό προορίζεται να καλύψει έξοδα για υλοποίηση δραστηριοτήτων (εντός και εκτός Κύπρου) του αθλητικού προγράμματος του Πανεπιστημίου. Περιλαμβάνει έξοδα για αγορά αθλητικού υλικού, πληρωμή δικαιωμάτων διαιτητών, έξοδα μετακινήσεων αθλητών, οργάνωση και αθλοθετήσεις πρωταθλημάτων, φαρμακευτικό υλικό και συμμετοχή σε τοπικές και διεθνείς αθλητικές εκδηλώσεις όπως:</w:t>
            </w:r>
          </w:p>
        </w:tc>
      </w:tr>
      <w:tr w:rsidR="00413B4B" w:rsidRPr="00903F89" w14:paraId="7D6F582F" w14:textId="77777777" w:rsidTr="00AD5278">
        <w:tc>
          <w:tcPr>
            <w:tcW w:w="2870" w:type="dxa"/>
            <w:shd w:val="clear" w:color="auto" w:fill="auto"/>
          </w:tcPr>
          <w:p w14:paraId="5749D805" w14:textId="77777777" w:rsidR="00413B4B" w:rsidRPr="00903F89" w:rsidRDefault="00413B4B" w:rsidP="00903F89">
            <w:pPr>
              <w:jc w:val="both"/>
              <w:rPr>
                <w:rFonts w:cs="Arial"/>
                <w:b/>
                <w:sz w:val="20"/>
                <w:szCs w:val="20"/>
                <w:u w:val="single"/>
              </w:rPr>
            </w:pPr>
          </w:p>
        </w:tc>
        <w:tc>
          <w:tcPr>
            <w:tcW w:w="3865" w:type="dxa"/>
            <w:gridSpan w:val="2"/>
            <w:shd w:val="clear" w:color="auto" w:fill="auto"/>
          </w:tcPr>
          <w:p w14:paraId="46F11002" w14:textId="77777777" w:rsidR="00413B4B" w:rsidRPr="00903F89" w:rsidRDefault="00413B4B" w:rsidP="00903F89">
            <w:pPr>
              <w:autoSpaceDE w:val="0"/>
              <w:autoSpaceDN w:val="0"/>
              <w:adjustRightInd w:val="0"/>
              <w:ind w:left="284"/>
              <w:contextualSpacing/>
              <w:jc w:val="both"/>
              <w:rPr>
                <w:rFonts w:cs="Arial"/>
                <w:sz w:val="20"/>
                <w:szCs w:val="20"/>
              </w:rPr>
            </w:pPr>
          </w:p>
        </w:tc>
        <w:tc>
          <w:tcPr>
            <w:tcW w:w="3803" w:type="dxa"/>
          </w:tcPr>
          <w:p w14:paraId="28FFEE8D" w14:textId="77777777" w:rsidR="00413B4B" w:rsidRPr="00903F89" w:rsidRDefault="00413B4B" w:rsidP="00903F89">
            <w:pPr>
              <w:jc w:val="both"/>
              <w:rPr>
                <w:rFonts w:cs="Arial"/>
                <w:b/>
                <w:sz w:val="20"/>
                <w:szCs w:val="20"/>
                <w:u w:val="single"/>
              </w:rPr>
            </w:pPr>
          </w:p>
        </w:tc>
      </w:tr>
      <w:tr w:rsidR="00413B4B" w:rsidRPr="00903F89" w14:paraId="437516C3" w14:textId="77777777" w:rsidTr="00AD5278">
        <w:tc>
          <w:tcPr>
            <w:tcW w:w="10538" w:type="dxa"/>
            <w:gridSpan w:val="4"/>
            <w:shd w:val="clear" w:color="auto" w:fill="auto"/>
          </w:tcPr>
          <w:p w14:paraId="279F5E55"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 xml:space="preserve">Διεθνείς αγώνες στην Κύπρο/ διοργάνωση ευρωπαϊκού πρωταθλήματος </w:t>
            </w:r>
          </w:p>
          <w:p w14:paraId="27F2A019"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Ιατροφαρμακευτική περίθαλψη (δελτία υγείας, ασφάλιση αθλητών, φαρμακευτικό υλικό, νερό)</w:t>
            </w:r>
          </w:p>
          <w:p w14:paraId="21F4A1EC" w14:textId="18CB659E"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 xml:space="preserve">Αθλητικές εγκαταστάσεις </w:t>
            </w:r>
          </w:p>
          <w:p w14:paraId="40F48F1C"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Αθλητικό υλικό αγωνιστικών ομάδων</w:t>
            </w:r>
          </w:p>
          <w:p w14:paraId="0122FDBE"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Υλικό αθλητικών εγκαταστάσεων</w:t>
            </w:r>
          </w:p>
          <w:p w14:paraId="1023F518" w14:textId="77777777" w:rsidR="00413B4B" w:rsidRPr="00903F89" w:rsidRDefault="00413B4B" w:rsidP="00903F89">
            <w:pPr>
              <w:numPr>
                <w:ilvl w:val="0"/>
                <w:numId w:val="10"/>
              </w:numPr>
              <w:ind w:left="284" w:hanging="284"/>
              <w:jc w:val="both"/>
              <w:rPr>
                <w:rFonts w:eastAsia="Arial" w:cs="Arial"/>
                <w:sz w:val="20"/>
                <w:szCs w:val="20"/>
              </w:rPr>
            </w:pPr>
            <w:proofErr w:type="spellStart"/>
            <w:r w:rsidRPr="00903F89">
              <w:rPr>
                <w:rFonts w:cs="Arial"/>
                <w:sz w:val="20"/>
                <w:szCs w:val="20"/>
              </w:rPr>
              <w:t>Αθλοθέτηση</w:t>
            </w:r>
            <w:proofErr w:type="spellEnd"/>
            <w:r w:rsidRPr="00903F89">
              <w:rPr>
                <w:rFonts w:cs="Arial"/>
                <w:sz w:val="20"/>
                <w:szCs w:val="20"/>
              </w:rPr>
              <w:t xml:space="preserve"> αγώνων</w:t>
            </w:r>
          </w:p>
          <w:p w14:paraId="4E7E46AD"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Αγώνες εσωτερικού (Πρωταθλήματα Κυπριακής Ομοσπονδίας Πανεπιστημιακού Αθλητισμού)</w:t>
            </w:r>
          </w:p>
          <w:p w14:paraId="5D6A3416"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Εσωτερικά πρωταθλήματα</w:t>
            </w:r>
          </w:p>
          <w:p w14:paraId="4E5D16A5"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 xml:space="preserve">Ψυχαγωγικός αθλητισμός </w:t>
            </w:r>
          </w:p>
          <w:p w14:paraId="643A8BEF"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Διεθνές συμμετοχές (παγκόσμιοι και ευρωπαϊκοί αγώνες και πρωταθλήματα, διεθνή τουρνουά, διεθνή συνέδρια/ συμπόσια και σεμινάρια).</w:t>
            </w:r>
          </w:p>
          <w:p w14:paraId="3517416B" w14:textId="4F97FD79"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Έξοδα λειτουργίας σωματείου «Αθλητικού Πανεπιστημιακού Ομίλου Κύπρου», όπως αγορά αθλητικού υλικού, πληρωμές διαιτησίας, ιατροφαρμακευτική περίθαλψη, δελτία υγείας, ασφάλιση αθλητών, μετακινήσεις, φιλοξενία αθλητών και προπονητών, κτλ.</w:t>
            </w:r>
          </w:p>
          <w:p w14:paraId="5835676F" w14:textId="26860C9B"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Έξοδα που αφορούν την διεξαγωγή των επιλεγόμενων μαθημάτων αθλητισμού όπως αγορά αθλητικού υλικού και μετακινήσεις</w:t>
            </w:r>
          </w:p>
          <w:p w14:paraId="13CDE4B2"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Συνδρομή μέλους στην Κυπριακή Ομοσπονδία Πανεπιστημιακού Αθλητισμού, έξοδα πρωταθλημάτων, έκδοση ταυτοτήτων</w:t>
            </w:r>
          </w:p>
          <w:p w14:paraId="5CCB2C32"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Συνέδρια και σεμινάρια κατάρτισης του προσωπικού του Αθλητικού Κέντρου (π.χ. σεμινάριο πρώτων βοηθειών στο χώρο εργασίας)</w:t>
            </w:r>
          </w:p>
          <w:p w14:paraId="796B6875"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Διοργάνωση Συνεδριών και Σεμιναρίων</w:t>
            </w:r>
          </w:p>
          <w:p w14:paraId="289338BB"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Διοργάνωση Αθλητικής Καλοκαιρινής Σχολής.</w:t>
            </w:r>
          </w:p>
          <w:p w14:paraId="45E45496" w14:textId="77777777"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Λειτουργεία Ομίλου Καταδύσεων</w:t>
            </w:r>
          </w:p>
          <w:p w14:paraId="45B17227" w14:textId="638DCCCA" w:rsidR="00413B4B" w:rsidRPr="00903F89" w:rsidRDefault="00413B4B" w:rsidP="00903F89">
            <w:pPr>
              <w:numPr>
                <w:ilvl w:val="0"/>
                <w:numId w:val="10"/>
              </w:numPr>
              <w:ind w:left="284" w:hanging="284"/>
              <w:jc w:val="both"/>
              <w:rPr>
                <w:rFonts w:eastAsia="Arial" w:cs="Arial"/>
                <w:sz w:val="20"/>
                <w:szCs w:val="20"/>
              </w:rPr>
            </w:pPr>
            <w:r w:rsidRPr="00903F89">
              <w:rPr>
                <w:rFonts w:cs="Arial"/>
                <w:sz w:val="20"/>
                <w:szCs w:val="20"/>
              </w:rPr>
              <w:t xml:space="preserve">Λειτουργία Ακαδημιών Εκμάθησης Αθλημάτων     </w:t>
            </w:r>
          </w:p>
        </w:tc>
      </w:tr>
      <w:tr w:rsidR="00413B4B" w:rsidRPr="00903F89" w14:paraId="36147A41" w14:textId="77777777" w:rsidTr="00AD5278">
        <w:tc>
          <w:tcPr>
            <w:tcW w:w="2870" w:type="dxa"/>
            <w:shd w:val="clear" w:color="auto" w:fill="auto"/>
          </w:tcPr>
          <w:p w14:paraId="327CF65F" w14:textId="77777777" w:rsidR="00413B4B" w:rsidRPr="00903F89" w:rsidRDefault="00413B4B" w:rsidP="00903F89">
            <w:pPr>
              <w:jc w:val="both"/>
              <w:rPr>
                <w:rFonts w:cs="Arial"/>
                <w:b/>
                <w:sz w:val="20"/>
                <w:szCs w:val="20"/>
                <w:u w:val="single"/>
              </w:rPr>
            </w:pPr>
          </w:p>
        </w:tc>
        <w:tc>
          <w:tcPr>
            <w:tcW w:w="3865" w:type="dxa"/>
            <w:gridSpan w:val="2"/>
            <w:shd w:val="clear" w:color="auto" w:fill="auto"/>
          </w:tcPr>
          <w:p w14:paraId="7F047971" w14:textId="77777777" w:rsidR="00413B4B" w:rsidRPr="00903F89" w:rsidRDefault="00413B4B" w:rsidP="00903F89">
            <w:pPr>
              <w:autoSpaceDE w:val="0"/>
              <w:autoSpaceDN w:val="0"/>
              <w:adjustRightInd w:val="0"/>
              <w:ind w:left="284"/>
              <w:contextualSpacing/>
              <w:jc w:val="both"/>
              <w:rPr>
                <w:rFonts w:cs="Arial"/>
                <w:sz w:val="20"/>
                <w:szCs w:val="20"/>
              </w:rPr>
            </w:pPr>
          </w:p>
        </w:tc>
        <w:tc>
          <w:tcPr>
            <w:tcW w:w="3803" w:type="dxa"/>
          </w:tcPr>
          <w:p w14:paraId="69B3E992" w14:textId="77777777" w:rsidR="00413B4B" w:rsidRPr="00903F89" w:rsidRDefault="00413B4B" w:rsidP="00903F89">
            <w:pPr>
              <w:jc w:val="both"/>
              <w:rPr>
                <w:rFonts w:cs="Arial"/>
                <w:b/>
                <w:sz w:val="20"/>
                <w:szCs w:val="20"/>
                <w:u w:val="single"/>
              </w:rPr>
            </w:pPr>
          </w:p>
        </w:tc>
      </w:tr>
      <w:tr w:rsidR="00413B4B" w:rsidRPr="00903F89" w14:paraId="3086A8B0" w14:textId="77777777" w:rsidTr="00AD5278">
        <w:tc>
          <w:tcPr>
            <w:tcW w:w="10538" w:type="dxa"/>
            <w:gridSpan w:val="4"/>
            <w:shd w:val="clear" w:color="auto" w:fill="auto"/>
          </w:tcPr>
          <w:p w14:paraId="5A274B75" w14:textId="0BF76FFF" w:rsidR="00413B4B" w:rsidRPr="00903F89" w:rsidRDefault="00413B4B" w:rsidP="00903F89">
            <w:pPr>
              <w:jc w:val="both"/>
              <w:rPr>
                <w:rFonts w:eastAsia="Arial" w:cs="Arial"/>
                <w:sz w:val="20"/>
                <w:szCs w:val="20"/>
              </w:rPr>
            </w:pPr>
            <w:r w:rsidRPr="00903F89">
              <w:rPr>
                <w:rFonts w:cs="Arial"/>
                <w:b/>
                <w:bCs/>
                <w:sz w:val="20"/>
                <w:szCs w:val="20"/>
                <w:u w:val="single"/>
              </w:rPr>
              <w:t>Άρθρο 314 – Συνδρομές, Συνεισφορές και Αντιπροσώπευση σε Πανεπιστήμια και Άλλους Οργανισμούς – €</w:t>
            </w:r>
            <w:r w:rsidR="007555CD" w:rsidRPr="00903F89">
              <w:rPr>
                <w:rFonts w:cs="Arial"/>
                <w:b/>
                <w:bCs/>
                <w:sz w:val="20"/>
                <w:szCs w:val="20"/>
                <w:u w:val="single"/>
              </w:rPr>
              <w:t>241.365</w:t>
            </w:r>
          </w:p>
        </w:tc>
      </w:tr>
      <w:tr w:rsidR="00413B4B" w:rsidRPr="00903F89" w14:paraId="2FD25E7C" w14:textId="77777777" w:rsidTr="00AD5278">
        <w:trPr>
          <w:trHeight w:val="84"/>
        </w:trPr>
        <w:tc>
          <w:tcPr>
            <w:tcW w:w="2870" w:type="dxa"/>
            <w:shd w:val="clear" w:color="auto" w:fill="auto"/>
          </w:tcPr>
          <w:p w14:paraId="08212E6D" w14:textId="77777777" w:rsidR="00413B4B" w:rsidRPr="00903F89" w:rsidRDefault="00413B4B" w:rsidP="00903F89">
            <w:pPr>
              <w:jc w:val="both"/>
              <w:rPr>
                <w:rFonts w:cs="Arial"/>
                <w:b/>
                <w:sz w:val="20"/>
                <w:szCs w:val="20"/>
                <w:u w:val="single"/>
              </w:rPr>
            </w:pPr>
          </w:p>
        </w:tc>
        <w:tc>
          <w:tcPr>
            <w:tcW w:w="2942" w:type="dxa"/>
            <w:shd w:val="clear" w:color="auto" w:fill="auto"/>
          </w:tcPr>
          <w:p w14:paraId="7BFECAFC" w14:textId="77777777" w:rsidR="00413B4B" w:rsidRPr="00903F89" w:rsidRDefault="00413B4B" w:rsidP="00903F89">
            <w:pPr>
              <w:autoSpaceDE w:val="0"/>
              <w:autoSpaceDN w:val="0"/>
              <w:adjustRightInd w:val="0"/>
              <w:ind w:left="284"/>
              <w:contextualSpacing/>
              <w:jc w:val="both"/>
              <w:rPr>
                <w:rFonts w:cs="Arial"/>
                <w:sz w:val="20"/>
                <w:szCs w:val="20"/>
              </w:rPr>
            </w:pPr>
          </w:p>
        </w:tc>
        <w:tc>
          <w:tcPr>
            <w:tcW w:w="4726" w:type="dxa"/>
            <w:gridSpan w:val="2"/>
            <w:shd w:val="clear" w:color="auto" w:fill="auto"/>
          </w:tcPr>
          <w:p w14:paraId="78BE1902" w14:textId="33D9A278" w:rsidR="00413B4B" w:rsidRPr="00903F89" w:rsidRDefault="00413B4B" w:rsidP="00903F89">
            <w:pPr>
              <w:jc w:val="both"/>
              <w:rPr>
                <w:rFonts w:cs="Arial"/>
                <w:b/>
                <w:i/>
                <w:sz w:val="20"/>
                <w:szCs w:val="20"/>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903F89" w:rsidRPr="00903F89" w14:paraId="7D70AEAE" w14:textId="77777777" w:rsidTr="00380448">
        <w:tc>
          <w:tcPr>
            <w:tcW w:w="10538" w:type="dxa"/>
            <w:shd w:val="clear" w:color="auto" w:fill="auto"/>
          </w:tcPr>
          <w:p w14:paraId="234DDEFF" w14:textId="7EEE7A56" w:rsidR="006E4C35" w:rsidRPr="00903F89" w:rsidRDefault="00CA3A96" w:rsidP="00903F89">
            <w:pPr>
              <w:autoSpaceDE w:val="0"/>
              <w:autoSpaceDN w:val="0"/>
              <w:adjustRightInd w:val="0"/>
              <w:contextualSpacing/>
              <w:jc w:val="both"/>
              <w:rPr>
                <w:rFonts w:cs="Arial"/>
                <w:sz w:val="20"/>
                <w:szCs w:val="20"/>
              </w:rPr>
            </w:pPr>
            <w:r w:rsidRPr="00903F89">
              <w:rPr>
                <w:rFonts w:cs="Arial"/>
                <w:sz w:val="20"/>
                <w:szCs w:val="20"/>
              </w:rPr>
              <w:t xml:space="preserve">Το ποσό προορίζεται να καλύψει δικαιώματα εγγραφής, συνδρομές και συνεισφορές του Πανεπιστημίου Κύπρου σε συνδέσμους Πανεπιστημίων και συναφείς οργανισμούς (π.χ. UNICA, IAU, EUA, </w:t>
            </w:r>
            <w:proofErr w:type="spellStart"/>
            <w:r w:rsidRPr="00903F89">
              <w:rPr>
                <w:rFonts w:cs="Arial"/>
                <w:sz w:val="20"/>
                <w:szCs w:val="20"/>
              </w:rPr>
              <w:t>Santander</w:t>
            </w:r>
            <w:proofErr w:type="spellEnd"/>
            <w:r w:rsidRPr="00903F89">
              <w:rPr>
                <w:rFonts w:cs="Arial"/>
                <w:sz w:val="20"/>
                <w:szCs w:val="20"/>
              </w:rPr>
              <w:t xml:space="preserve"> </w:t>
            </w:r>
            <w:proofErr w:type="spellStart"/>
            <w:r w:rsidRPr="00903F89">
              <w:rPr>
                <w:rFonts w:cs="Arial"/>
                <w:sz w:val="20"/>
                <w:szCs w:val="20"/>
              </w:rPr>
              <w:t>Group</w:t>
            </w:r>
            <w:proofErr w:type="spellEnd"/>
            <w:r w:rsidRPr="00903F89">
              <w:rPr>
                <w:rFonts w:cs="Arial"/>
                <w:sz w:val="20"/>
                <w:szCs w:val="20"/>
              </w:rPr>
              <w:t xml:space="preserve">) και σε άλλους οργανισμούς και συνδέσμους εντός και εκτός Κύπρου, στους οποίους το Πανεπιστήμιο Κύπρου είναι μέλος (π.χ. Σύνδεσμος Ποιότητας ΟΕΒ). Προορίζεται επίσης να καλύψει συνδρομές για την παροχή ηλεκτρονικής πληροφόρησης (π.χ. UKRO, </w:t>
            </w:r>
            <w:proofErr w:type="spellStart"/>
            <w:r w:rsidRPr="00903F89">
              <w:rPr>
                <w:rFonts w:cs="Arial"/>
                <w:sz w:val="20"/>
                <w:szCs w:val="20"/>
              </w:rPr>
              <w:t>Times</w:t>
            </w:r>
            <w:proofErr w:type="spellEnd"/>
            <w:r w:rsidRPr="00903F89">
              <w:rPr>
                <w:rFonts w:cs="Arial"/>
                <w:sz w:val="20"/>
                <w:szCs w:val="20"/>
              </w:rPr>
              <w:t xml:space="preserve"> </w:t>
            </w:r>
            <w:proofErr w:type="spellStart"/>
            <w:r w:rsidRPr="00903F89">
              <w:rPr>
                <w:rFonts w:cs="Arial"/>
                <w:sz w:val="20"/>
                <w:szCs w:val="20"/>
              </w:rPr>
              <w:t>Higher</w:t>
            </w:r>
            <w:proofErr w:type="spellEnd"/>
            <w:r w:rsidRPr="00903F89">
              <w:rPr>
                <w:rFonts w:cs="Arial"/>
                <w:sz w:val="20"/>
                <w:szCs w:val="20"/>
              </w:rPr>
              <w:t xml:space="preserve"> Education World University </w:t>
            </w:r>
            <w:proofErr w:type="spellStart"/>
            <w:r w:rsidRPr="00903F89">
              <w:rPr>
                <w:rFonts w:cs="Arial"/>
                <w:sz w:val="20"/>
                <w:szCs w:val="20"/>
              </w:rPr>
              <w:t>Rankings</w:t>
            </w:r>
            <w:proofErr w:type="spellEnd"/>
            <w:r w:rsidRPr="00903F89">
              <w:rPr>
                <w:rFonts w:cs="Arial"/>
                <w:sz w:val="20"/>
                <w:szCs w:val="20"/>
              </w:rPr>
              <w:t xml:space="preserve"> - </w:t>
            </w:r>
            <w:proofErr w:type="spellStart"/>
            <w:r w:rsidRPr="00903F89">
              <w:rPr>
                <w:rFonts w:cs="Arial"/>
                <w:sz w:val="20"/>
                <w:szCs w:val="20"/>
              </w:rPr>
              <w:t>DataPoints</w:t>
            </w:r>
            <w:proofErr w:type="spellEnd"/>
            <w:r w:rsidRPr="00903F89">
              <w:rPr>
                <w:rFonts w:cs="Arial"/>
                <w:sz w:val="20"/>
                <w:szCs w:val="20"/>
              </w:rPr>
              <w:t>), το κόστος συμμετοχής των ατόμων που ορίζονται να αντιπροσωπεύσουν το Πανεπιστήμιο Κύπρου σε δραστηριότητες στο εξωτερικό, καθώς και το κόστος συμμετοχής σε επιστημονικά σώματα και ενώσεις στο πλαίσιο και της αναβάθμισης της διεθνούς εικόνας του Πανεπιστημίου Κύπρου. Προορίζεται επίσης να καλύψει δαπάνες για την κινητικότητα μελών του Πανεπιστημίου Κύπρου που συμμετέχουν σε Συμβούλια Συνδέσμων ή Δικτύων.</w:t>
            </w:r>
          </w:p>
        </w:tc>
      </w:tr>
      <w:tr w:rsidR="00CA3A96" w:rsidRPr="00903F89" w14:paraId="218FB979" w14:textId="77777777" w:rsidTr="00CA3A96">
        <w:tc>
          <w:tcPr>
            <w:tcW w:w="10538" w:type="dxa"/>
            <w:shd w:val="clear" w:color="auto" w:fill="auto"/>
          </w:tcPr>
          <w:p w14:paraId="0A81686C" w14:textId="77777777" w:rsidR="00CA3A96" w:rsidRPr="00903F89" w:rsidRDefault="00CA3A96" w:rsidP="00903F89">
            <w:pPr>
              <w:autoSpaceDE w:val="0"/>
              <w:autoSpaceDN w:val="0"/>
              <w:adjustRightInd w:val="0"/>
              <w:contextualSpacing/>
              <w:jc w:val="both"/>
              <w:rPr>
                <w:rFonts w:cs="Arial"/>
                <w:sz w:val="20"/>
                <w:szCs w:val="20"/>
              </w:rPr>
            </w:pPr>
          </w:p>
        </w:tc>
      </w:tr>
      <w:tr w:rsidR="00492B85" w:rsidRPr="00903F89" w14:paraId="4476E02F" w14:textId="77777777" w:rsidTr="4407E268">
        <w:tc>
          <w:tcPr>
            <w:tcW w:w="10538" w:type="dxa"/>
          </w:tcPr>
          <w:p w14:paraId="66EA4571" w14:textId="22952E31" w:rsidR="006E4C35" w:rsidRPr="00903F89" w:rsidRDefault="4407E268" w:rsidP="00903F89">
            <w:pPr>
              <w:jc w:val="both"/>
              <w:rPr>
                <w:rFonts w:eastAsia="Arial" w:cs="Arial"/>
                <w:b/>
                <w:bCs/>
                <w:sz w:val="20"/>
                <w:szCs w:val="20"/>
                <w:u w:val="single"/>
              </w:rPr>
            </w:pPr>
            <w:r w:rsidRPr="00903F89">
              <w:rPr>
                <w:rFonts w:cs="Arial"/>
                <w:sz w:val="20"/>
                <w:szCs w:val="20"/>
              </w:rPr>
              <w:t>Η πρόνοια προορίζεται να καλύψει και την καταβολή επαγγελματικών συνδρομών στα μέλη του Διοικητικού Προσωπικού που είναι εγγεγραμμένα σε Επαγγελματικούς Συνδέσμους συναφείς με τα καθήκοντα που εκτελούν και νοουμένου ότι αυτό απαιτείται από το Σχέδιο Υπηρεσίας της θέσης που κατέχουν (Ε.Δ.ΥΠ. Αρ. 79/2010).</w:t>
            </w:r>
          </w:p>
        </w:tc>
      </w:tr>
      <w:tr w:rsidR="001536F4" w:rsidRPr="00903F89" w14:paraId="5763E3D2" w14:textId="77777777" w:rsidTr="4407E268">
        <w:tc>
          <w:tcPr>
            <w:tcW w:w="10538" w:type="dxa"/>
            <w:shd w:val="clear" w:color="auto" w:fill="auto"/>
          </w:tcPr>
          <w:p w14:paraId="6091E0A4" w14:textId="77777777" w:rsidR="001536F4" w:rsidRPr="00903F89" w:rsidRDefault="001536F4" w:rsidP="00903F89">
            <w:pPr>
              <w:jc w:val="both"/>
              <w:rPr>
                <w:rFonts w:cs="Arial"/>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5133"/>
        <w:gridCol w:w="4726"/>
      </w:tblGrid>
      <w:tr w:rsidR="00492B85" w:rsidRPr="00903F89" w14:paraId="6DF86E0F" w14:textId="77777777" w:rsidTr="045AFEAA">
        <w:tc>
          <w:tcPr>
            <w:tcW w:w="10538" w:type="dxa"/>
            <w:gridSpan w:val="3"/>
            <w:shd w:val="clear" w:color="auto" w:fill="auto"/>
          </w:tcPr>
          <w:p w14:paraId="14E9F213" w14:textId="36159CA8" w:rsidR="0035531A" w:rsidRPr="00903F89" w:rsidRDefault="045AFEAA" w:rsidP="00903F89">
            <w:pPr>
              <w:jc w:val="both"/>
              <w:rPr>
                <w:rFonts w:eastAsia="Arial" w:cs="Arial"/>
                <w:b/>
                <w:bCs/>
                <w:sz w:val="20"/>
                <w:szCs w:val="20"/>
                <w:u w:val="single"/>
              </w:rPr>
            </w:pPr>
            <w:bookmarkStart w:id="41" w:name="_Hlk71132485"/>
            <w:r w:rsidRPr="00903F89">
              <w:rPr>
                <w:rFonts w:cs="Arial"/>
                <w:b/>
                <w:bCs/>
                <w:sz w:val="20"/>
                <w:szCs w:val="20"/>
                <w:u w:val="single"/>
              </w:rPr>
              <w:t>Άρθρο 315 – Συνέδρια και Σεμινάρια</w:t>
            </w:r>
            <w:r w:rsidRPr="00903F89">
              <w:rPr>
                <w:rFonts w:eastAsia="Arial" w:cs="Arial"/>
                <w:b/>
                <w:bCs/>
                <w:sz w:val="20"/>
                <w:szCs w:val="20"/>
                <w:u w:val="single"/>
              </w:rPr>
              <w:t xml:space="preserve"> </w:t>
            </w:r>
            <w:r w:rsidR="00015323" w:rsidRPr="00903F89">
              <w:rPr>
                <w:rFonts w:cs="Arial"/>
                <w:b/>
                <w:bCs/>
                <w:sz w:val="20"/>
                <w:szCs w:val="20"/>
                <w:u w:val="single"/>
              </w:rPr>
              <w:t>– €</w:t>
            </w:r>
            <w:r w:rsidR="00176DD5" w:rsidRPr="00903F89">
              <w:rPr>
                <w:rFonts w:cs="Arial"/>
                <w:b/>
                <w:bCs/>
                <w:sz w:val="20"/>
                <w:szCs w:val="20"/>
                <w:u w:val="single"/>
              </w:rPr>
              <w:t>426.610</w:t>
            </w:r>
          </w:p>
        </w:tc>
      </w:tr>
      <w:tr w:rsidR="00492B85" w:rsidRPr="00903F89" w14:paraId="3FBB1620" w14:textId="77777777" w:rsidTr="045AFEAA">
        <w:tc>
          <w:tcPr>
            <w:tcW w:w="10538" w:type="dxa"/>
            <w:gridSpan w:val="3"/>
            <w:shd w:val="clear" w:color="auto" w:fill="auto"/>
          </w:tcPr>
          <w:p w14:paraId="3A0DD542" w14:textId="77777777" w:rsidR="00DB119D" w:rsidRPr="00903F89" w:rsidRDefault="00DB119D" w:rsidP="00903F89">
            <w:pPr>
              <w:jc w:val="both"/>
              <w:rPr>
                <w:rFonts w:cs="Arial"/>
                <w:b/>
                <w:sz w:val="20"/>
                <w:szCs w:val="20"/>
                <w:u w:val="single"/>
              </w:rPr>
            </w:pPr>
          </w:p>
        </w:tc>
      </w:tr>
      <w:tr w:rsidR="00492B85" w:rsidRPr="00903F89" w14:paraId="607A93FF" w14:textId="77777777" w:rsidTr="045AFEAA">
        <w:tc>
          <w:tcPr>
            <w:tcW w:w="10538" w:type="dxa"/>
            <w:gridSpan w:val="3"/>
            <w:shd w:val="clear" w:color="auto" w:fill="auto"/>
          </w:tcPr>
          <w:p w14:paraId="773251D7" w14:textId="2701F3F7" w:rsidR="0035531A" w:rsidRPr="00903F89" w:rsidRDefault="045AFEAA" w:rsidP="00903F89">
            <w:pPr>
              <w:jc w:val="both"/>
              <w:rPr>
                <w:rFonts w:eastAsia="Arial" w:cs="Arial"/>
                <w:b/>
                <w:bCs/>
                <w:sz w:val="20"/>
                <w:szCs w:val="20"/>
                <w:u w:val="single"/>
              </w:rPr>
            </w:pPr>
            <w:r w:rsidRPr="00903F89">
              <w:rPr>
                <w:rFonts w:cs="Arial"/>
                <w:sz w:val="20"/>
                <w:szCs w:val="20"/>
              </w:rPr>
              <w:t xml:space="preserve">Το ποσό προορίζεται να καλύψει δικαιώματα εγγραφής, έξοδα μεταφοράς, διαμονής και άλλα που αφορούν στο προσωπικό του Πανεπιστημίου και φιλοξενουμένων ομιλητών του για συμμετοχή σε συνέδρια, σεμινάρια και άλλα προγράμματα εντός </w:t>
            </w:r>
            <w:r w:rsidR="00461367" w:rsidRPr="00903F89">
              <w:rPr>
                <w:rFonts w:cs="Arial"/>
                <w:sz w:val="20"/>
                <w:szCs w:val="20"/>
              </w:rPr>
              <w:t>ή εκτός Κύπρου κατά το έτος 202</w:t>
            </w:r>
            <w:r w:rsidR="00E41495" w:rsidRPr="00903F89">
              <w:rPr>
                <w:rFonts w:cs="Arial"/>
                <w:sz w:val="20"/>
                <w:szCs w:val="20"/>
              </w:rPr>
              <w:t>2</w:t>
            </w:r>
            <w:r w:rsidRPr="00903F89">
              <w:rPr>
                <w:rFonts w:eastAsia="Arial" w:cs="Arial"/>
                <w:sz w:val="20"/>
                <w:szCs w:val="20"/>
              </w:rPr>
              <w:t>.</w:t>
            </w:r>
          </w:p>
        </w:tc>
      </w:tr>
      <w:tr w:rsidR="00492B85" w:rsidRPr="00903F89" w14:paraId="48B5F214" w14:textId="77777777" w:rsidTr="045AFEAA">
        <w:tc>
          <w:tcPr>
            <w:tcW w:w="679" w:type="dxa"/>
            <w:shd w:val="clear" w:color="auto" w:fill="auto"/>
          </w:tcPr>
          <w:p w14:paraId="7B35B6F4" w14:textId="77777777" w:rsidR="00A770E6" w:rsidRPr="00903F89" w:rsidRDefault="00A770E6" w:rsidP="00903F89">
            <w:pPr>
              <w:jc w:val="both"/>
              <w:rPr>
                <w:rFonts w:cs="Arial"/>
                <w:b/>
                <w:sz w:val="20"/>
                <w:szCs w:val="20"/>
                <w:u w:val="single"/>
              </w:rPr>
            </w:pPr>
          </w:p>
        </w:tc>
        <w:tc>
          <w:tcPr>
            <w:tcW w:w="5133" w:type="dxa"/>
            <w:shd w:val="clear" w:color="auto" w:fill="auto"/>
          </w:tcPr>
          <w:p w14:paraId="56B8AF40" w14:textId="77777777" w:rsidR="00A770E6" w:rsidRPr="00903F89" w:rsidRDefault="00A770E6" w:rsidP="00903F89">
            <w:pPr>
              <w:jc w:val="both"/>
              <w:rPr>
                <w:rFonts w:cs="Arial"/>
                <w:b/>
                <w:sz w:val="20"/>
                <w:szCs w:val="20"/>
                <w:u w:val="single"/>
              </w:rPr>
            </w:pPr>
          </w:p>
        </w:tc>
        <w:tc>
          <w:tcPr>
            <w:tcW w:w="4726" w:type="dxa"/>
          </w:tcPr>
          <w:p w14:paraId="0628078A" w14:textId="77777777" w:rsidR="00A770E6" w:rsidRPr="00903F89" w:rsidRDefault="00A770E6" w:rsidP="00903F89">
            <w:pPr>
              <w:jc w:val="both"/>
              <w:rPr>
                <w:rFonts w:cs="Arial"/>
                <w:b/>
                <w:sz w:val="20"/>
                <w:szCs w:val="20"/>
                <w:u w:val="single"/>
              </w:rPr>
            </w:pPr>
          </w:p>
        </w:tc>
      </w:tr>
      <w:tr w:rsidR="00492B85" w:rsidRPr="00903F89" w14:paraId="26590997" w14:textId="77777777" w:rsidTr="045AFEAA">
        <w:tc>
          <w:tcPr>
            <w:tcW w:w="10538" w:type="dxa"/>
            <w:gridSpan w:val="3"/>
            <w:shd w:val="clear" w:color="auto" w:fill="auto"/>
          </w:tcPr>
          <w:p w14:paraId="6BCCAEC1" w14:textId="0380278C" w:rsidR="0035531A" w:rsidRPr="00903F89" w:rsidRDefault="045AFEAA" w:rsidP="00903F89">
            <w:pPr>
              <w:jc w:val="both"/>
              <w:rPr>
                <w:rFonts w:eastAsia="Arial" w:cs="Arial"/>
                <w:b/>
                <w:bCs/>
                <w:sz w:val="20"/>
                <w:szCs w:val="20"/>
                <w:u w:val="single"/>
              </w:rPr>
            </w:pPr>
            <w:r w:rsidRPr="00903F89">
              <w:rPr>
                <w:rFonts w:cs="Arial"/>
                <w:sz w:val="20"/>
                <w:szCs w:val="20"/>
              </w:rPr>
              <w:t>Επίσης το ποσό προορίζεται να καλύψει έξοδα διοργάνωσης συνεδρίων/σεμιναρίων από το ίδιο το Πανεπιστήμιο Κύπρου ή σε συνεργασία με άλλους φορείς με κύριους ομιλητές ακαδημαϊκούς οι οποίοι διαπρέπουν σε κορυφαία εκπαιδευτικά ιδρύματα στο εξωτερικό, στο πλαίσιο της διάχυσης επιστημονικής γνώσης καθώς και της γενικότερης προβολής της ποιοτικής τριτοβάθμιας εκπαίδευσης της Κύπρου στο εξωτερικό.</w:t>
            </w:r>
          </w:p>
        </w:tc>
      </w:tr>
      <w:tr w:rsidR="00FD176D" w:rsidRPr="00903F89" w14:paraId="16985D41" w14:textId="77777777" w:rsidTr="045AFEAA">
        <w:tc>
          <w:tcPr>
            <w:tcW w:w="10538" w:type="dxa"/>
            <w:gridSpan w:val="3"/>
            <w:shd w:val="clear" w:color="auto" w:fill="auto"/>
          </w:tcPr>
          <w:p w14:paraId="4AC58551" w14:textId="77777777" w:rsidR="00FD176D" w:rsidRPr="00903F89" w:rsidRDefault="00FD176D" w:rsidP="00903F89">
            <w:pPr>
              <w:jc w:val="both"/>
              <w:rPr>
                <w:rFonts w:cs="Arial"/>
                <w:sz w:val="20"/>
                <w:szCs w:val="20"/>
              </w:rPr>
            </w:pPr>
          </w:p>
        </w:tc>
      </w:tr>
      <w:tr w:rsidR="00492B85" w:rsidRPr="00903F89" w14:paraId="141E44D9" w14:textId="77777777" w:rsidTr="045AFEAA">
        <w:tc>
          <w:tcPr>
            <w:tcW w:w="10538" w:type="dxa"/>
            <w:gridSpan w:val="3"/>
            <w:shd w:val="clear" w:color="auto" w:fill="auto"/>
          </w:tcPr>
          <w:p w14:paraId="2F3B61A8" w14:textId="3359C7A6" w:rsidR="001C1975" w:rsidRPr="00903F89" w:rsidRDefault="045AFEAA" w:rsidP="00903F89">
            <w:pPr>
              <w:jc w:val="both"/>
              <w:rPr>
                <w:rFonts w:cs="Arial"/>
                <w:sz w:val="20"/>
                <w:szCs w:val="20"/>
              </w:rPr>
            </w:pPr>
            <w:r w:rsidRPr="00903F89">
              <w:rPr>
                <w:rFonts w:cs="Arial"/>
                <w:sz w:val="20"/>
                <w:szCs w:val="20"/>
              </w:rPr>
              <w:t xml:space="preserve">Συγκεκριμένα από την πρόνοια του άρθρου καταβάλλονται, για κάθε κατηγορία προσκεκλημένων του </w:t>
            </w:r>
            <w:r w:rsidR="00194AAB" w:rsidRPr="00903F89">
              <w:rPr>
                <w:rFonts w:cs="Arial"/>
                <w:sz w:val="20"/>
                <w:szCs w:val="20"/>
              </w:rPr>
              <w:t>Πανεπιστημίου</w:t>
            </w:r>
            <w:r w:rsidRPr="00903F89">
              <w:rPr>
                <w:rFonts w:cs="Arial"/>
                <w:sz w:val="20"/>
                <w:szCs w:val="20"/>
              </w:rPr>
              <w:t>, οι ακόλουθες αποζημιώσεις ανάλογα με την κάθε περίπτωση.</w:t>
            </w:r>
          </w:p>
        </w:tc>
      </w:tr>
    </w:tbl>
    <w:tbl>
      <w:tblPr>
        <w:tblStyle w:val="TableGrid"/>
        <w:tblpPr w:leftFromText="180" w:rightFromText="180" w:vertAnchor="text" w:horzAnchor="margin" w:tblpY="168"/>
        <w:tblW w:w="10621" w:type="dxa"/>
        <w:tblLayout w:type="fixed"/>
        <w:tblCellMar>
          <w:left w:w="57" w:type="dxa"/>
          <w:right w:w="57" w:type="dxa"/>
        </w:tblCellMar>
        <w:tblLook w:val="04A0" w:firstRow="1" w:lastRow="0" w:firstColumn="1" w:lastColumn="0" w:noHBand="0" w:noVBand="1"/>
      </w:tblPr>
      <w:tblGrid>
        <w:gridCol w:w="4420"/>
        <w:gridCol w:w="1604"/>
        <w:gridCol w:w="1607"/>
        <w:gridCol w:w="1604"/>
        <w:gridCol w:w="1386"/>
      </w:tblGrid>
      <w:tr w:rsidR="005F4BE0" w:rsidRPr="00903F89" w14:paraId="13895EEE" w14:textId="77777777" w:rsidTr="0096769A">
        <w:trPr>
          <w:trHeight w:val="65"/>
        </w:trPr>
        <w:tc>
          <w:tcPr>
            <w:tcW w:w="4420" w:type="dxa"/>
            <w:shd w:val="clear" w:color="auto" w:fill="auto"/>
          </w:tcPr>
          <w:p w14:paraId="6B0CCC27" w14:textId="5DC20CD5" w:rsidR="00091392" w:rsidRPr="00903F89" w:rsidRDefault="005F1DBA" w:rsidP="00903F89">
            <w:pPr>
              <w:jc w:val="both"/>
              <w:rPr>
                <w:rFonts w:cs="Arial"/>
                <w:sz w:val="20"/>
                <w:szCs w:val="20"/>
              </w:rPr>
            </w:pPr>
            <w:r w:rsidRPr="00903F89">
              <w:rPr>
                <w:rFonts w:cs="Arial"/>
                <w:sz w:val="20"/>
                <w:szCs w:val="20"/>
              </w:rPr>
              <w:t>Συνοπτικός πίνακας αποζημιώσεων</w:t>
            </w:r>
          </w:p>
        </w:tc>
        <w:tc>
          <w:tcPr>
            <w:tcW w:w="3211" w:type="dxa"/>
            <w:gridSpan w:val="2"/>
            <w:shd w:val="clear" w:color="auto" w:fill="auto"/>
          </w:tcPr>
          <w:p w14:paraId="434FAB59" w14:textId="79087BF9" w:rsidR="00091392" w:rsidRPr="00686014" w:rsidRDefault="045AFEAA" w:rsidP="00686014">
            <w:pPr>
              <w:jc w:val="center"/>
              <w:rPr>
                <w:rFonts w:eastAsia="Arial" w:cs="Arial"/>
                <w:bCs/>
                <w:sz w:val="16"/>
                <w:szCs w:val="20"/>
              </w:rPr>
            </w:pPr>
            <w:r w:rsidRPr="00686014">
              <w:rPr>
                <w:rFonts w:cs="Arial"/>
                <w:bCs/>
                <w:sz w:val="16"/>
                <w:szCs w:val="20"/>
              </w:rPr>
              <w:t>Ομιλητές διαλέξεων</w:t>
            </w:r>
            <w:r w:rsidR="006012E7" w:rsidRPr="00686014">
              <w:rPr>
                <w:rFonts w:cs="Arial"/>
                <w:bCs/>
                <w:sz w:val="16"/>
                <w:szCs w:val="20"/>
              </w:rPr>
              <w:br/>
              <w:t>/εκπαιδευτές σεμιναρίων</w:t>
            </w:r>
          </w:p>
        </w:tc>
        <w:tc>
          <w:tcPr>
            <w:tcW w:w="2990" w:type="dxa"/>
            <w:gridSpan w:val="2"/>
            <w:shd w:val="clear" w:color="auto" w:fill="auto"/>
          </w:tcPr>
          <w:p w14:paraId="626D3B50" w14:textId="5FE30F98" w:rsidR="00091392" w:rsidRPr="00686014" w:rsidRDefault="045AFEAA" w:rsidP="00686014">
            <w:pPr>
              <w:jc w:val="center"/>
              <w:rPr>
                <w:rFonts w:eastAsia="Arial" w:cs="Arial"/>
                <w:bCs/>
                <w:sz w:val="16"/>
                <w:szCs w:val="20"/>
              </w:rPr>
            </w:pPr>
            <w:r w:rsidRPr="00686014">
              <w:rPr>
                <w:rFonts w:cs="Arial"/>
                <w:bCs/>
                <w:sz w:val="16"/>
                <w:szCs w:val="20"/>
              </w:rPr>
              <w:t>Εκπαιδευτές σεμιναρίων ΚΕ.ΔΙ.ΜΑ.</w:t>
            </w:r>
          </w:p>
        </w:tc>
      </w:tr>
      <w:tr w:rsidR="005F4BE0" w:rsidRPr="00903F89" w14:paraId="0C06F8FB" w14:textId="77777777" w:rsidTr="00B1212B">
        <w:trPr>
          <w:trHeight w:val="11"/>
        </w:trPr>
        <w:tc>
          <w:tcPr>
            <w:tcW w:w="4420" w:type="dxa"/>
            <w:shd w:val="clear" w:color="auto" w:fill="auto"/>
          </w:tcPr>
          <w:p w14:paraId="19DD732E" w14:textId="77777777" w:rsidR="00091392" w:rsidRPr="00903F89" w:rsidRDefault="00091392" w:rsidP="00903F89">
            <w:pPr>
              <w:jc w:val="both"/>
              <w:rPr>
                <w:rFonts w:cs="Arial"/>
                <w:sz w:val="20"/>
                <w:szCs w:val="20"/>
              </w:rPr>
            </w:pPr>
          </w:p>
        </w:tc>
        <w:tc>
          <w:tcPr>
            <w:tcW w:w="1604" w:type="dxa"/>
            <w:shd w:val="clear" w:color="auto" w:fill="auto"/>
          </w:tcPr>
          <w:p w14:paraId="7B2A8096" w14:textId="70106E30" w:rsidR="00091392" w:rsidRPr="0096769A" w:rsidRDefault="045AFEAA" w:rsidP="0096769A">
            <w:pPr>
              <w:jc w:val="center"/>
              <w:rPr>
                <w:rFonts w:eastAsia="Arial" w:cs="Arial"/>
                <w:sz w:val="16"/>
                <w:szCs w:val="11"/>
              </w:rPr>
            </w:pPr>
            <w:r w:rsidRPr="0096769A">
              <w:rPr>
                <w:rFonts w:cs="Arial"/>
                <w:sz w:val="16"/>
                <w:szCs w:val="11"/>
              </w:rPr>
              <w:t>Εκτός Κύπρου</w:t>
            </w:r>
          </w:p>
        </w:tc>
        <w:tc>
          <w:tcPr>
            <w:tcW w:w="1607" w:type="dxa"/>
            <w:shd w:val="clear" w:color="auto" w:fill="auto"/>
          </w:tcPr>
          <w:p w14:paraId="289405C9" w14:textId="1EB888F4" w:rsidR="00091392" w:rsidRPr="0096769A" w:rsidRDefault="045AFEAA" w:rsidP="0096769A">
            <w:pPr>
              <w:jc w:val="center"/>
              <w:rPr>
                <w:rFonts w:eastAsia="Arial" w:cs="Arial"/>
                <w:sz w:val="16"/>
                <w:szCs w:val="11"/>
              </w:rPr>
            </w:pPr>
            <w:r w:rsidRPr="0096769A">
              <w:rPr>
                <w:rFonts w:cs="Arial"/>
                <w:sz w:val="16"/>
                <w:szCs w:val="11"/>
              </w:rPr>
              <w:t>Εντός Κύπρου</w:t>
            </w:r>
          </w:p>
        </w:tc>
        <w:tc>
          <w:tcPr>
            <w:tcW w:w="1604" w:type="dxa"/>
            <w:shd w:val="clear" w:color="auto" w:fill="auto"/>
          </w:tcPr>
          <w:p w14:paraId="51AEBD45" w14:textId="22424B14" w:rsidR="00091392" w:rsidRPr="0096769A" w:rsidRDefault="045AFEAA" w:rsidP="0096769A">
            <w:pPr>
              <w:jc w:val="center"/>
              <w:rPr>
                <w:rFonts w:eastAsia="Arial" w:cs="Arial"/>
                <w:sz w:val="16"/>
                <w:szCs w:val="11"/>
              </w:rPr>
            </w:pPr>
            <w:r w:rsidRPr="0096769A">
              <w:rPr>
                <w:rFonts w:cs="Arial"/>
                <w:sz w:val="16"/>
                <w:szCs w:val="11"/>
              </w:rPr>
              <w:t>Εκτός Κύπρου</w:t>
            </w:r>
          </w:p>
        </w:tc>
        <w:tc>
          <w:tcPr>
            <w:tcW w:w="1386" w:type="dxa"/>
            <w:shd w:val="clear" w:color="auto" w:fill="auto"/>
          </w:tcPr>
          <w:p w14:paraId="379FE452" w14:textId="11A92CB5" w:rsidR="00091392" w:rsidRPr="0096769A" w:rsidRDefault="045AFEAA" w:rsidP="0096769A">
            <w:pPr>
              <w:jc w:val="center"/>
              <w:rPr>
                <w:rFonts w:eastAsia="Arial" w:cs="Arial"/>
                <w:sz w:val="16"/>
                <w:szCs w:val="11"/>
              </w:rPr>
            </w:pPr>
            <w:r w:rsidRPr="0096769A">
              <w:rPr>
                <w:rFonts w:cs="Arial"/>
                <w:sz w:val="16"/>
                <w:szCs w:val="11"/>
              </w:rPr>
              <w:t>Εντός Κύπρου</w:t>
            </w:r>
          </w:p>
        </w:tc>
      </w:tr>
      <w:tr w:rsidR="005F4BE0" w:rsidRPr="00903F89" w14:paraId="54B8F8E9" w14:textId="77777777" w:rsidTr="00B1212B">
        <w:trPr>
          <w:trHeight w:val="213"/>
        </w:trPr>
        <w:tc>
          <w:tcPr>
            <w:tcW w:w="4420" w:type="dxa"/>
            <w:shd w:val="clear" w:color="auto" w:fill="auto"/>
          </w:tcPr>
          <w:p w14:paraId="028A6AD6" w14:textId="700F99D2" w:rsidR="00091392" w:rsidRPr="00903F89" w:rsidRDefault="4407E268" w:rsidP="00903F89">
            <w:pPr>
              <w:jc w:val="both"/>
              <w:rPr>
                <w:rFonts w:eastAsia="Arial" w:cs="Arial"/>
                <w:sz w:val="20"/>
                <w:szCs w:val="20"/>
              </w:rPr>
            </w:pPr>
            <w:r w:rsidRPr="00903F89">
              <w:rPr>
                <w:rFonts w:cs="Arial"/>
                <w:sz w:val="20"/>
                <w:szCs w:val="20"/>
              </w:rPr>
              <w:t xml:space="preserve">Κατ’ αποκοπή </w:t>
            </w:r>
            <w:r w:rsidR="005F1DBA" w:rsidRPr="00903F89">
              <w:rPr>
                <w:rFonts w:cs="Arial"/>
                <w:sz w:val="20"/>
                <w:szCs w:val="20"/>
              </w:rPr>
              <w:t>αμοιβή</w:t>
            </w:r>
            <w:r w:rsidRPr="00903F89">
              <w:rPr>
                <w:rFonts w:cs="Arial"/>
                <w:sz w:val="20"/>
                <w:szCs w:val="20"/>
              </w:rPr>
              <w:t xml:space="preserve"> (honorarium)</w:t>
            </w:r>
          </w:p>
        </w:tc>
        <w:tc>
          <w:tcPr>
            <w:tcW w:w="1604" w:type="dxa"/>
            <w:shd w:val="clear" w:color="auto" w:fill="auto"/>
          </w:tcPr>
          <w:p w14:paraId="1EBFC753" w14:textId="52BB328E" w:rsidR="00091392" w:rsidRPr="00903F89" w:rsidRDefault="045AFEAA" w:rsidP="00140F16">
            <w:pPr>
              <w:jc w:val="center"/>
              <w:rPr>
                <w:rFonts w:eastAsia="Arial" w:cs="Arial"/>
                <w:sz w:val="20"/>
                <w:szCs w:val="20"/>
                <w:lang w:val="en-US"/>
              </w:rPr>
            </w:pPr>
            <w:r w:rsidRPr="00903F89">
              <w:rPr>
                <w:rFonts w:cs="Arial"/>
                <w:sz w:val="20"/>
                <w:szCs w:val="20"/>
              </w:rPr>
              <w:t>€150</w:t>
            </w:r>
            <w:r w:rsidR="00DA11B7" w:rsidRPr="00903F89">
              <w:rPr>
                <w:rFonts w:cs="Arial"/>
                <w:sz w:val="20"/>
                <w:szCs w:val="20"/>
                <w:lang w:val="en-US"/>
              </w:rPr>
              <w:t>*</w:t>
            </w:r>
          </w:p>
        </w:tc>
        <w:tc>
          <w:tcPr>
            <w:tcW w:w="1607" w:type="dxa"/>
            <w:shd w:val="clear" w:color="auto" w:fill="auto"/>
          </w:tcPr>
          <w:p w14:paraId="3E4E7320" w14:textId="4188BD2D" w:rsidR="00091392" w:rsidRPr="00903F89" w:rsidRDefault="006012E7" w:rsidP="00140F16">
            <w:pPr>
              <w:jc w:val="center"/>
              <w:rPr>
                <w:rFonts w:eastAsia="Arial" w:cs="Arial"/>
                <w:sz w:val="20"/>
                <w:szCs w:val="20"/>
              </w:rPr>
            </w:pPr>
            <w:r w:rsidRPr="00903F89">
              <w:rPr>
                <w:rFonts w:cs="Arial"/>
                <w:sz w:val="20"/>
                <w:szCs w:val="20"/>
              </w:rPr>
              <w:t>€10</w:t>
            </w:r>
            <w:r w:rsidR="045AFEAA" w:rsidRPr="00903F89">
              <w:rPr>
                <w:rFonts w:cs="Arial"/>
                <w:sz w:val="20"/>
                <w:szCs w:val="20"/>
              </w:rPr>
              <w:t>0</w:t>
            </w:r>
          </w:p>
        </w:tc>
        <w:tc>
          <w:tcPr>
            <w:tcW w:w="1604" w:type="dxa"/>
            <w:shd w:val="clear" w:color="auto" w:fill="auto"/>
          </w:tcPr>
          <w:p w14:paraId="62A36066" w14:textId="7C963C4B" w:rsidR="00091392" w:rsidRPr="00903F89" w:rsidRDefault="006012E7" w:rsidP="00140F16">
            <w:pPr>
              <w:jc w:val="center"/>
              <w:rPr>
                <w:rFonts w:eastAsia="Arial" w:cs="Arial"/>
                <w:sz w:val="20"/>
                <w:szCs w:val="20"/>
              </w:rPr>
            </w:pPr>
            <w:r w:rsidRPr="00903F89">
              <w:rPr>
                <w:rFonts w:cs="Arial"/>
                <w:sz w:val="20"/>
                <w:szCs w:val="20"/>
              </w:rPr>
              <w:t>€500</w:t>
            </w:r>
            <w:r w:rsidR="005F1DBA" w:rsidRPr="00903F89">
              <w:rPr>
                <w:rFonts w:cs="Arial"/>
                <w:sz w:val="20"/>
                <w:szCs w:val="20"/>
              </w:rPr>
              <w:t>/ημέ</w:t>
            </w:r>
            <w:r w:rsidRPr="00903F89">
              <w:rPr>
                <w:rFonts w:cs="Arial"/>
                <w:sz w:val="20"/>
                <w:szCs w:val="20"/>
              </w:rPr>
              <w:t>ρ</w:t>
            </w:r>
            <w:r w:rsidR="005F1DBA" w:rsidRPr="00903F89">
              <w:rPr>
                <w:rFonts w:cs="Arial"/>
                <w:sz w:val="20"/>
                <w:szCs w:val="20"/>
              </w:rPr>
              <w:t>α</w:t>
            </w:r>
          </w:p>
        </w:tc>
        <w:tc>
          <w:tcPr>
            <w:tcW w:w="1386" w:type="dxa"/>
            <w:shd w:val="clear" w:color="auto" w:fill="auto"/>
          </w:tcPr>
          <w:p w14:paraId="30B617BA" w14:textId="33F9295A" w:rsidR="00091392" w:rsidRPr="00903F89" w:rsidRDefault="006012E7" w:rsidP="00140F16">
            <w:pPr>
              <w:jc w:val="center"/>
              <w:rPr>
                <w:rFonts w:cs="Arial"/>
                <w:sz w:val="20"/>
                <w:szCs w:val="20"/>
              </w:rPr>
            </w:pPr>
            <w:r w:rsidRPr="00903F89">
              <w:rPr>
                <w:rFonts w:cs="Arial"/>
                <w:sz w:val="20"/>
                <w:szCs w:val="20"/>
              </w:rPr>
              <w:t>€70</w:t>
            </w:r>
            <w:r w:rsidR="005F1DBA" w:rsidRPr="00903F89">
              <w:rPr>
                <w:rFonts w:cs="Arial"/>
                <w:sz w:val="20"/>
                <w:szCs w:val="20"/>
              </w:rPr>
              <w:t>/</w:t>
            </w:r>
            <w:r w:rsidRPr="00903F89">
              <w:rPr>
                <w:rFonts w:cs="Arial"/>
                <w:sz w:val="20"/>
                <w:szCs w:val="20"/>
              </w:rPr>
              <w:t xml:space="preserve">ώρα </w:t>
            </w:r>
            <w:r w:rsidRPr="0096769A">
              <w:rPr>
                <w:rFonts w:cs="Arial"/>
                <w:sz w:val="18"/>
                <w:szCs w:val="20"/>
              </w:rPr>
              <w:t>(€420</w:t>
            </w:r>
            <w:r w:rsidR="005F1DBA" w:rsidRPr="0096769A">
              <w:rPr>
                <w:rFonts w:cs="Arial"/>
                <w:sz w:val="18"/>
                <w:szCs w:val="20"/>
              </w:rPr>
              <w:t xml:space="preserve"> μέγιστο </w:t>
            </w:r>
            <w:r w:rsidR="045AFEAA" w:rsidRPr="0096769A">
              <w:rPr>
                <w:rFonts w:cs="Arial"/>
                <w:sz w:val="18"/>
                <w:szCs w:val="20"/>
              </w:rPr>
              <w:t>ημερησίως</w:t>
            </w:r>
            <w:r w:rsidR="005F1DBA" w:rsidRPr="0096769A">
              <w:rPr>
                <w:rFonts w:cs="Arial"/>
                <w:sz w:val="18"/>
                <w:szCs w:val="20"/>
              </w:rPr>
              <w:t>)</w:t>
            </w:r>
          </w:p>
        </w:tc>
      </w:tr>
      <w:tr w:rsidR="005F4BE0" w:rsidRPr="00903F89" w14:paraId="2DADFF64" w14:textId="77777777" w:rsidTr="00B1212B">
        <w:trPr>
          <w:trHeight w:val="213"/>
        </w:trPr>
        <w:tc>
          <w:tcPr>
            <w:tcW w:w="4420" w:type="dxa"/>
            <w:shd w:val="clear" w:color="auto" w:fill="auto"/>
            <w:vAlign w:val="center"/>
          </w:tcPr>
          <w:p w14:paraId="5731E147" w14:textId="1BBE7846" w:rsidR="00091392" w:rsidRPr="00903F89" w:rsidRDefault="005F1DBA" w:rsidP="00903F89">
            <w:pPr>
              <w:jc w:val="both"/>
              <w:rPr>
                <w:rFonts w:eastAsia="Arial" w:cs="Arial"/>
                <w:sz w:val="20"/>
                <w:szCs w:val="20"/>
              </w:rPr>
            </w:pPr>
            <w:r w:rsidRPr="00903F89">
              <w:rPr>
                <w:rFonts w:cs="Arial"/>
                <w:sz w:val="20"/>
                <w:szCs w:val="20"/>
              </w:rPr>
              <w:t>Μέγιστο όριο βραδιών διαμονής</w:t>
            </w:r>
            <w:r w:rsidR="045AFEAA" w:rsidRPr="00903F89">
              <w:rPr>
                <w:rFonts w:eastAsia="Arial" w:cs="Arial"/>
                <w:sz w:val="20"/>
                <w:szCs w:val="20"/>
              </w:rPr>
              <w:t xml:space="preserve"> </w:t>
            </w:r>
          </w:p>
        </w:tc>
        <w:tc>
          <w:tcPr>
            <w:tcW w:w="1604" w:type="dxa"/>
            <w:shd w:val="clear" w:color="auto" w:fill="auto"/>
            <w:vAlign w:val="center"/>
          </w:tcPr>
          <w:p w14:paraId="42028266" w14:textId="56E5BC1A" w:rsidR="00091392" w:rsidRPr="00903F89" w:rsidRDefault="005F1DBA" w:rsidP="00140F16">
            <w:pPr>
              <w:jc w:val="center"/>
              <w:rPr>
                <w:rFonts w:eastAsia="Arial" w:cs="Arial"/>
                <w:sz w:val="20"/>
                <w:szCs w:val="20"/>
              </w:rPr>
            </w:pPr>
            <w:r w:rsidRPr="00903F89">
              <w:rPr>
                <w:rFonts w:cs="Arial"/>
                <w:sz w:val="20"/>
                <w:szCs w:val="20"/>
              </w:rPr>
              <w:t>3</w:t>
            </w:r>
          </w:p>
        </w:tc>
        <w:tc>
          <w:tcPr>
            <w:tcW w:w="1607" w:type="dxa"/>
            <w:shd w:val="clear" w:color="auto" w:fill="auto"/>
            <w:vAlign w:val="center"/>
          </w:tcPr>
          <w:p w14:paraId="75515540" w14:textId="43784AB3" w:rsidR="00091392" w:rsidRPr="00903F89" w:rsidRDefault="4407E268" w:rsidP="00140F16">
            <w:pPr>
              <w:jc w:val="center"/>
              <w:rPr>
                <w:rFonts w:eastAsia="Arial" w:cs="Arial"/>
                <w:sz w:val="20"/>
                <w:szCs w:val="20"/>
              </w:rPr>
            </w:pPr>
            <w:r w:rsidRPr="00903F89">
              <w:rPr>
                <w:rFonts w:eastAsia="Arial" w:cs="Arial"/>
                <w:sz w:val="20"/>
                <w:szCs w:val="20"/>
              </w:rPr>
              <w:t>---</w:t>
            </w:r>
          </w:p>
        </w:tc>
        <w:tc>
          <w:tcPr>
            <w:tcW w:w="1604" w:type="dxa"/>
            <w:shd w:val="clear" w:color="auto" w:fill="auto"/>
            <w:vAlign w:val="center"/>
          </w:tcPr>
          <w:p w14:paraId="4C405C0E" w14:textId="73800B9D" w:rsidR="00091392" w:rsidRPr="00903F89" w:rsidRDefault="005F1DBA" w:rsidP="00140F16">
            <w:pPr>
              <w:jc w:val="center"/>
              <w:rPr>
                <w:rFonts w:eastAsia="Arial" w:cs="Arial"/>
                <w:sz w:val="20"/>
                <w:szCs w:val="20"/>
              </w:rPr>
            </w:pPr>
            <w:r w:rsidRPr="00903F89">
              <w:rPr>
                <w:rFonts w:cs="Arial"/>
                <w:sz w:val="20"/>
                <w:szCs w:val="20"/>
              </w:rPr>
              <w:t>3</w:t>
            </w:r>
          </w:p>
        </w:tc>
        <w:tc>
          <w:tcPr>
            <w:tcW w:w="1386" w:type="dxa"/>
            <w:shd w:val="clear" w:color="auto" w:fill="auto"/>
            <w:vAlign w:val="center"/>
          </w:tcPr>
          <w:p w14:paraId="5C185CD3" w14:textId="45931AA8" w:rsidR="00091392" w:rsidRPr="00903F89" w:rsidRDefault="4407E268" w:rsidP="00140F16">
            <w:pPr>
              <w:jc w:val="center"/>
              <w:rPr>
                <w:rFonts w:eastAsia="Arial" w:cs="Arial"/>
                <w:sz w:val="20"/>
                <w:szCs w:val="20"/>
              </w:rPr>
            </w:pPr>
            <w:r w:rsidRPr="00903F89">
              <w:rPr>
                <w:rFonts w:eastAsia="Arial" w:cs="Arial"/>
                <w:sz w:val="20"/>
                <w:szCs w:val="20"/>
              </w:rPr>
              <w:t>---</w:t>
            </w:r>
          </w:p>
        </w:tc>
      </w:tr>
      <w:tr w:rsidR="005F4BE0" w:rsidRPr="00903F89" w14:paraId="49790EDA" w14:textId="77777777" w:rsidTr="00B1212B">
        <w:trPr>
          <w:trHeight w:val="213"/>
        </w:trPr>
        <w:tc>
          <w:tcPr>
            <w:tcW w:w="4420" w:type="dxa"/>
            <w:shd w:val="clear" w:color="auto" w:fill="auto"/>
          </w:tcPr>
          <w:p w14:paraId="072B7905" w14:textId="6BC72DFC" w:rsidR="005B1548" w:rsidRPr="00903F89" w:rsidRDefault="005F1DBA" w:rsidP="00903F89">
            <w:pPr>
              <w:jc w:val="both"/>
              <w:rPr>
                <w:rFonts w:eastAsia="Arial" w:cs="Arial"/>
                <w:sz w:val="20"/>
                <w:szCs w:val="20"/>
              </w:rPr>
            </w:pPr>
            <w:r w:rsidRPr="00903F89">
              <w:rPr>
                <w:rFonts w:cs="Arial"/>
                <w:sz w:val="20"/>
                <w:szCs w:val="20"/>
              </w:rPr>
              <w:t>Αεροπορικό εισιτήριο</w:t>
            </w:r>
            <w:r w:rsidR="045AFEAA" w:rsidRPr="00903F89">
              <w:rPr>
                <w:rFonts w:eastAsia="Arial" w:cs="Arial"/>
                <w:sz w:val="20"/>
                <w:szCs w:val="20"/>
              </w:rPr>
              <w:t xml:space="preserve"> </w:t>
            </w:r>
          </w:p>
        </w:tc>
        <w:tc>
          <w:tcPr>
            <w:tcW w:w="1604" w:type="dxa"/>
            <w:shd w:val="clear" w:color="auto" w:fill="auto"/>
            <w:vAlign w:val="center"/>
          </w:tcPr>
          <w:p w14:paraId="43DEA97E" w14:textId="671164B0" w:rsidR="005B1548" w:rsidRPr="00903F89" w:rsidRDefault="005F1DBA" w:rsidP="00140F16">
            <w:pPr>
              <w:jc w:val="center"/>
              <w:rPr>
                <w:rFonts w:eastAsia="Arial" w:cs="Arial"/>
                <w:sz w:val="20"/>
                <w:szCs w:val="20"/>
              </w:rPr>
            </w:pPr>
            <w:r w:rsidRPr="00903F89">
              <w:rPr>
                <w:rFonts w:cs="Arial"/>
                <w:sz w:val="20"/>
                <w:szCs w:val="20"/>
              </w:rPr>
              <w:t>√</w:t>
            </w:r>
          </w:p>
        </w:tc>
        <w:tc>
          <w:tcPr>
            <w:tcW w:w="1607" w:type="dxa"/>
            <w:shd w:val="clear" w:color="auto" w:fill="auto"/>
            <w:vAlign w:val="center"/>
          </w:tcPr>
          <w:p w14:paraId="5019239C" w14:textId="1EA883C1" w:rsidR="005B1548" w:rsidRPr="00903F89" w:rsidRDefault="4407E268" w:rsidP="00140F16">
            <w:pPr>
              <w:jc w:val="center"/>
              <w:rPr>
                <w:rFonts w:eastAsia="Arial" w:cs="Arial"/>
                <w:sz w:val="20"/>
                <w:szCs w:val="20"/>
              </w:rPr>
            </w:pPr>
            <w:r w:rsidRPr="00903F89">
              <w:rPr>
                <w:rFonts w:eastAsia="Arial" w:cs="Arial"/>
                <w:sz w:val="20"/>
                <w:szCs w:val="20"/>
              </w:rPr>
              <w:t>---</w:t>
            </w:r>
          </w:p>
        </w:tc>
        <w:tc>
          <w:tcPr>
            <w:tcW w:w="1604" w:type="dxa"/>
            <w:shd w:val="clear" w:color="auto" w:fill="auto"/>
            <w:vAlign w:val="center"/>
          </w:tcPr>
          <w:p w14:paraId="6F77F388" w14:textId="28A203C6" w:rsidR="005B1548" w:rsidRPr="00903F89" w:rsidRDefault="005F1DBA" w:rsidP="00140F16">
            <w:pPr>
              <w:jc w:val="center"/>
              <w:rPr>
                <w:rFonts w:eastAsia="Arial" w:cs="Arial"/>
                <w:sz w:val="20"/>
                <w:szCs w:val="20"/>
              </w:rPr>
            </w:pPr>
            <w:r w:rsidRPr="00903F89">
              <w:rPr>
                <w:rFonts w:cs="Arial"/>
                <w:sz w:val="20"/>
                <w:szCs w:val="20"/>
              </w:rPr>
              <w:t>√</w:t>
            </w:r>
          </w:p>
        </w:tc>
        <w:tc>
          <w:tcPr>
            <w:tcW w:w="1386" w:type="dxa"/>
            <w:shd w:val="clear" w:color="auto" w:fill="auto"/>
            <w:vAlign w:val="center"/>
          </w:tcPr>
          <w:p w14:paraId="67C69CC5" w14:textId="74C7A776" w:rsidR="005B1548" w:rsidRPr="00903F89" w:rsidRDefault="4407E268" w:rsidP="00140F16">
            <w:pPr>
              <w:jc w:val="center"/>
              <w:rPr>
                <w:rFonts w:eastAsia="Arial" w:cs="Arial"/>
                <w:sz w:val="20"/>
                <w:szCs w:val="20"/>
              </w:rPr>
            </w:pPr>
            <w:r w:rsidRPr="00903F89">
              <w:rPr>
                <w:rFonts w:eastAsia="Arial" w:cs="Arial"/>
                <w:sz w:val="20"/>
                <w:szCs w:val="20"/>
              </w:rPr>
              <w:t>---</w:t>
            </w:r>
          </w:p>
        </w:tc>
      </w:tr>
      <w:tr w:rsidR="005F4BE0" w:rsidRPr="00903F89" w14:paraId="34C01816" w14:textId="77777777" w:rsidTr="00B1212B">
        <w:trPr>
          <w:trHeight w:val="213"/>
        </w:trPr>
        <w:tc>
          <w:tcPr>
            <w:tcW w:w="4420" w:type="dxa"/>
            <w:shd w:val="clear" w:color="auto" w:fill="auto"/>
          </w:tcPr>
          <w:p w14:paraId="443BA081" w14:textId="1013F850" w:rsidR="005B1548" w:rsidRPr="00903F89" w:rsidRDefault="005F1DBA" w:rsidP="00903F89">
            <w:pPr>
              <w:jc w:val="both"/>
              <w:rPr>
                <w:rFonts w:eastAsia="Arial" w:cs="Arial"/>
                <w:sz w:val="20"/>
                <w:szCs w:val="20"/>
              </w:rPr>
            </w:pPr>
            <w:r w:rsidRPr="00903F89">
              <w:rPr>
                <w:rFonts w:cs="Arial"/>
                <w:sz w:val="20"/>
                <w:szCs w:val="20"/>
              </w:rPr>
              <w:t>Μεταφορικά Έξοδα</w:t>
            </w:r>
            <w:r w:rsidR="045AFEAA" w:rsidRPr="00903F89">
              <w:rPr>
                <w:rFonts w:eastAsia="Arial" w:cs="Arial"/>
                <w:sz w:val="20"/>
                <w:szCs w:val="20"/>
              </w:rPr>
              <w:t xml:space="preserve"> </w:t>
            </w:r>
          </w:p>
        </w:tc>
        <w:tc>
          <w:tcPr>
            <w:tcW w:w="1604" w:type="dxa"/>
            <w:shd w:val="clear" w:color="auto" w:fill="auto"/>
            <w:vAlign w:val="center"/>
          </w:tcPr>
          <w:p w14:paraId="34A6DB67" w14:textId="6A5638E9" w:rsidR="005B1548" w:rsidRPr="00903F89" w:rsidRDefault="005F1DBA" w:rsidP="00140F16">
            <w:pPr>
              <w:jc w:val="center"/>
              <w:rPr>
                <w:rFonts w:eastAsia="Arial" w:cs="Arial"/>
                <w:sz w:val="20"/>
                <w:szCs w:val="20"/>
              </w:rPr>
            </w:pPr>
            <w:r w:rsidRPr="00903F89">
              <w:rPr>
                <w:rFonts w:cs="Arial"/>
                <w:sz w:val="20"/>
                <w:szCs w:val="20"/>
              </w:rPr>
              <w:t>√</w:t>
            </w:r>
          </w:p>
        </w:tc>
        <w:tc>
          <w:tcPr>
            <w:tcW w:w="1607" w:type="dxa"/>
            <w:shd w:val="clear" w:color="auto" w:fill="auto"/>
            <w:vAlign w:val="center"/>
          </w:tcPr>
          <w:p w14:paraId="003BCE39" w14:textId="1917934F" w:rsidR="005B1548" w:rsidRPr="00903F89" w:rsidRDefault="4407E268" w:rsidP="00140F16">
            <w:pPr>
              <w:jc w:val="center"/>
              <w:rPr>
                <w:rFonts w:eastAsia="Arial" w:cs="Arial"/>
                <w:sz w:val="20"/>
                <w:szCs w:val="20"/>
              </w:rPr>
            </w:pPr>
            <w:r w:rsidRPr="00903F89">
              <w:rPr>
                <w:rFonts w:eastAsia="Arial" w:cs="Arial"/>
                <w:sz w:val="20"/>
                <w:szCs w:val="20"/>
              </w:rPr>
              <w:t>---</w:t>
            </w:r>
          </w:p>
        </w:tc>
        <w:tc>
          <w:tcPr>
            <w:tcW w:w="1604" w:type="dxa"/>
            <w:shd w:val="clear" w:color="auto" w:fill="auto"/>
            <w:vAlign w:val="center"/>
          </w:tcPr>
          <w:p w14:paraId="1162FEFB" w14:textId="5FB3AB77" w:rsidR="005B1548" w:rsidRPr="00903F89" w:rsidRDefault="005F1DBA" w:rsidP="00140F16">
            <w:pPr>
              <w:jc w:val="center"/>
              <w:rPr>
                <w:rFonts w:eastAsia="Arial" w:cs="Arial"/>
                <w:sz w:val="20"/>
                <w:szCs w:val="20"/>
              </w:rPr>
            </w:pPr>
            <w:r w:rsidRPr="00903F89">
              <w:rPr>
                <w:rFonts w:cs="Arial"/>
                <w:sz w:val="20"/>
                <w:szCs w:val="20"/>
              </w:rPr>
              <w:t>√</w:t>
            </w:r>
          </w:p>
        </w:tc>
        <w:tc>
          <w:tcPr>
            <w:tcW w:w="1386" w:type="dxa"/>
            <w:shd w:val="clear" w:color="auto" w:fill="auto"/>
            <w:vAlign w:val="center"/>
          </w:tcPr>
          <w:p w14:paraId="1DDCA559" w14:textId="4C558F07" w:rsidR="005B1548" w:rsidRPr="00903F89" w:rsidRDefault="4407E268" w:rsidP="00140F16">
            <w:pPr>
              <w:jc w:val="center"/>
              <w:rPr>
                <w:rFonts w:eastAsia="Arial" w:cs="Arial"/>
                <w:sz w:val="20"/>
                <w:szCs w:val="20"/>
              </w:rPr>
            </w:pPr>
            <w:r w:rsidRPr="00903F89">
              <w:rPr>
                <w:rFonts w:eastAsia="Arial" w:cs="Arial"/>
                <w:sz w:val="20"/>
                <w:szCs w:val="20"/>
              </w:rPr>
              <w:t>---</w:t>
            </w:r>
          </w:p>
        </w:tc>
      </w:tr>
      <w:tr w:rsidR="005F4BE0" w:rsidRPr="00903F89" w14:paraId="57655B5B" w14:textId="77777777" w:rsidTr="00B1212B">
        <w:trPr>
          <w:trHeight w:val="213"/>
        </w:trPr>
        <w:tc>
          <w:tcPr>
            <w:tcW w:w="4420" w:type="dxa"/>
            <w:shd w:val="clear" w:color="auto" w:fill="auto"/>
          </w:tcPr>
          <w:p w14:paraId="4868DE5B" w14:textId="7E39BDEA" w:rsidR="005B1548" w:rsidRPr="00903F89" w:rsidRDefault="005F1DBA" w:rsidP="00903F89">
            <w:pPr>
              <w:jc w:val="both"/>
              <w:rPr>
                <w:rFonts w:eastAsia="Arial" w:cs="Arial"/>
                <w:sz w:val="20"/>
                <w:szCs w:val="20"/>
              </w:rPr>
            </w:pPr>
            <w:r w:rsidRPr="00903F89">
              <w:rPr>
                <w:rFonts w:cs="Arial"/>
                <w:sz w:val="20"/>
                <w:szCs w:val="20"/>
              </w:rPr>
              <w:t>Διαμονή με πρόγευμα</w:t>
            </w:r>
          </w:p>
        </w:tc>
        <w:tc>
          <w:tcPr>
            <w:tcW w:w="1604" w:type="dxa"/>
            <w:shd w:val="clear" w:color="auto" w:fill="auto"/>
            <w:vAlign w:val="center"/>
          </w:tcPr>
          <w:p w14:paraId="3BECD557" w14:textId="7C8E78ED" w:rsidR="005B1548" w:rsidRPr="00903F89" w:rsidRDefault="005F1DBA" w:rsidP="00140F16">
            <w:pPr>
              <w:jc w:val="center"/>
              <w:rPr>
                <w:rFonts w:eastAsia="Arial" w:cs="Arial"/>
                <w:sz w:val="20"/>
                <w:szCs w:val="20"/>
              </w:rPr>
            </w:pPr>
            <w:r w:rsidRPr="00903F89">
              <w:rPr>
                <w:rFonts w:cs="Arial"/>
                <w:sz w:val="20"/>
                <w:szCs w:val="20"/>
              </w:rPr>
              <w:t>√</w:t>
            </w:r>
          </w:p>
        </w:tc>
        <w:tc>
          <w:tcPr>
            <w:tcW w:w="1607" w:type="dxa"/>
            <w:shd w:val="clear" w:color="auto" w:fill="auto"/>
            <w:vAlign w:val="center"/>
          </w:tcPr>
          <w:p w14:paraId="07C147F8" w14:textId="49F389B9" w:rsidR="005B1548" w:rsidRPr="00903F89" w:rsidRDefault="4407E268" w:rsidP="00140F16">
            <w:pPr>
              <w:jc w:val="center"/>
              <w:rPr>
                <w:rFonts w:eastAsia="Arial" w:cs="Arial"/>
                <w:sz w:val="20"/>
                <w:szCs w:val="20"/>
              </w:rPr>
            </w:pPr>
            <w:r w:rsidRPr="00903F89">
              <w:rPr>
                <w:rFonts w:eastAsia="Arial" w:cs="Arial"/>
                <w:sz w:val="20"/>
                <w:szCs w:val="20"/>
              </w:rPr>
              <w:t>---</w:t>
            </w:r>
          </w:p>
        </w:tc>
        <w:tc>
          <w:tcPr>
            <w:tcW w:w="1604" w:type="dxa"/>
            <w:shd w:val="clear" w:color="auto" w:fill="auto"/>
            <w:vAlign w:val="center"/>
          </w:tcPr>
          <w:p w14:paraId="1CF2B503" w14:textId="79C87D26" w:rsidR="005B1548" w:rsidRPr="00903F89" w:rsidRDefault="005F1DBA" w:rsidP="00140F16">
            <w:pPr>
              <w:jc w:val="center"/>
              <w:rPr>
                <w:rFonts w:eastAsia="Arial" w:cs="Arial"/>
                <w:sz w:val="20"/>
                <w:szCs w:val="20"/>
              </w:rPr>
            </w:pPr>
            <w:r w:rsidRPr="00903F89">
              <w:rPr>
                <w:rFonts w:cs="Arial"/>
                <w:sz w:val="20"/>
                <w:szCs w:val="20"/>
              </w:rPr>
              <w:t>√</w:t>
            </w:r>
          </w:p>
        </w:tc>
        <w:tc>
          <w:tcPr>
            <w:tcW w:w="1386" w:type="dxa"/>
            <w:shd w:val="clear" w:color="auto" w:fill="auto"/>
            <w:vAlign w:val="center"/>
          </w:tcPr>
          <w:p w14:paraId="2616E53F" w14:textId="263AE9AE" w:rsidR="005B1548" w:rsidRPr="00903F89" w:rsidRDefault="4407E268" w:rsidP="00140F16">
            <w:pPr>
              <w:jc w:val="center"/>
              <w:rPr>
                <w:rFonts w:eastAsia="Arial" w:cs="Arial"/>
                <w:sz w:val="20"/>
                <w:szCs w:val="20"/>
              </w:rPr>
            </w:pPr>
            <w:r w:rsidRPr="00903F89">
              <w:rPr>
                <w:rFonts w:eastAsia="Arial" w:cs="Arial"/>
                <w:sz w:val="20"/>
                <w:szCs w:val="20"/>
              </w:rPr>
              <w:t>---</w:t>
            </w:r>
          </w:p>
        </w:tc>
      </w:tr>
      <w:tr w:rsidR="005F4BE0" w:rsidRPr="00903F89" w14:paraId="63223930" w14:textId="77777777" w:rsidTr="00B1212B">
        <w:trPr>
          <w:trHeight w:val="65"/>
        </w:trPr>
        <w:tc>
          <w:tcPr>
            <w:tcW w:w="4420" w:type="dxa"/>
            <w:shd w:val="clear" w:color="auto" w:fill="auto"/>
          </w:tcPr>
          <w:p w14:paraId="666E981C" w14:textId="00278C09" w:rsidR="005B1548" w:rsidRPr="00903F89" w:rsidRDefault="005F1DBA" w:rsidP="00903F89">
            <w:pPr>
              <w:jc w:val="both"/>
              <w:rPr>
                <w:rFonts w:eastAsia="Arial" w:cs="Arial"/>
                <w:sz w:val="20"/>
                <w:szCs w:val="20"/>
              </w:rPr>
            </w:pPr>
            <w:r w:rsidRPr="00903F89">
              <w:rPr>
                <w:rFonts w:cs="Arial"/>
                <w:sz w:val="20"/>
                <w:szCs w:val="20"/>
              </w:rPr>
              <w:t>Ημερήσιο επίδομα διατροφής</w:t>
            </w:r>
            <w:r w:rsidR="045AFEAA" w:rsidRPr="00903F89">
              <w:rPr>
                <w:rFonts w:eastAsia="Arial" w:cs="Arial"/>
                <w:sz w:val="20"/>
                <w:szCs w:val="20"/>
              </w:rPr>
              <w:t xml:space="preserve"> </w:t>
            </w:r>
          </w:p>
        </w:tc>
        <w:tc>
          <w:tcPr>
            <w:tcW w:w="1604" w:type="dxa"/>
            <w:shd w:val="clear" w:color="auto" w:fill="auto"/>
            <w:vAlign w:val="center"/>
          </w:tcPr>
          <w:p w14:paraId="757ACBC1" w14:textId="197F5C5A" w:rsidR="005B1548" w:rsidRPr="00903F89" w:rsidRDefault="005F1DBA" w:rsidP="00140F16">
            <w:pPr>
              <w:jc w:val="center"/>
              <w:rPr>
                <w:rFonts w:eastAsia="Arial" w:cs="Arial"/>
                <w:sz w:val="20"/>
                <w:szCs w:val="20"/>
              </w:rPr>
            </w:pPr>
            <w:r w:rsidRPr="00903F89">
              <w:rPr>
                <w:rFonts w:cs="Arial"/>
                <w:sz w:val="20"/>
                <w:szCs w:val="20"/>
              </w:rPr>
              <w:t>√</w:t>
            </w:r>
          </w:p>
        </w:tc>
        <w:tc>
          <w:tcPr>
            <w:tcW w:w="1607" w:type="dxa"/>
            <w:shd w:val="clear" w:color="auto" w:fill="auto"/>
            <w:vAlign w:val="center"/>
          </w:tcPr>
          <w:p w14:paraId="02E7AC25" w14:textId="577FF74F" w:rsidR="005B1548" w:rsidRPr="00903F89" w:rsidRDefault="4407E268" w:rsidP="00140F16">
            <w:pPr>
              <w:jc w:val="center"/>
              <w:rPr>
                <w:rFonts w:eastAsia="Arial" w:cs="Arial"/>
                <w:sz w:val="20"/>
                <w:szCs w:val="20"/>
              </w:rPr>
            </w:pPr>
            <w:r w:rsidRPr="00903F89">
              <w:rPr>
                <w:rFonts w:eastAsia="Arial" w:cs="Arial"/>
                <w:sz w:val="20"/>
                <w:szCs w:val="20"/>
              </w:rPr>
              <w:t>---</w:t>
            </w:r>
          </w:p>
        </w:tc>
        <w:tc>
          <w:tcPr>
            <w:tcW w:w="1604" w:type="dxa"/>
            <w:shd w:val="clear" w:color="auto" w:fill="auto"/>
            <w:vAlign w:val="center"/>
          </w:tcPr>
          <w:p w14:paraId="0CC3B2D4" w14:textId="3D5C8580" w:rsidR="005B1548" w:rsidRPr="00903F89" w:rsidRDefault="005F1DBA" w:rsidP="00140F16">
            <w:pPr>
              <w:jc w:val="center"/>
              <w:rPr>
                <w:rFonts w:eastAsia="Arial" w:cs="Arial"/>
                <w:sz w:val="20"/>
                <w:szCs w:val="20"/>
              </w:rPr>
            </w:pPr>
            <w:r w:rsidRPr="00903F89">
              <w:rPr>
                <w:rFonts w:cs="Arial"/>
                <w:sz w:val="20"/>
                <w:szCs w:val="20"/>
              </w:rPr>
              <w:t>√</w:t>
            </w:r>
          </w:p>
        </w:tc>
        <w:tc>
          <w:tcPr>
            <w:tcW w:w="1386" w:type="dxa"/>
            <w:shd w:val="clear" w:color="auto" w:fill="auto"/>
            <w:vAlign w:val="center"/>
          </w:tcPr>
          <w:p w14:paraId="4AB02903" w14:textId="1740C75D" w:rsidR="005B1548" w:rsidRPr="00903F89" w:rsidRDefault="4407E268" w:rsidP="00140F16">
            <w:pPr>
              <w:jc w:val="center"/>
              <w:rPr>
                <w:rFonts w:eastAsia="Arial" w:cs="Arial"/>
                <w:sz w:val="20"/>
                <w:szCs w:val="20"/>
              </w:rPr>
            </w:pPr>
            <w:r w:rsidRPr="00903F89">
              <w:rPr>
                <w:rFonts w:eastAsia="Arial" w:cs="Arial"/>
                <w:sz w:val="20"/>
                <w:szCs w:val="20"/>
              </w:rPr>
              <w:t>---</w:t>
            </w: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7"/>
        <w:gridCol w:w="1554"/>
        <w:gridCol w:w="523"/>
        <w:gridCol w:w="2036"/>
        <w:gridCol w:w="816"/>
        <w:gridCol w:w="246"/>
        <w:gridCol w:w="284"/>
        <w:gridCol w:w="4006"/>
      </w:tblGrid>
      <w:tr w:rsidR="00492B85" w:rsidRPr="00903F89" w14:paraId="19800320" w14:textId="77777777" w:rsidTr="007353AA">
        <w:tc>
          <w:tcPr>
            <w:tcW w:w="10632" w:type="dxa"/>
            <w:gridSpan w:val="8"/>
            <w:shd w:val="clear" w:color="auto" w:fill="auto"/>
          </w:tcPr>
          <w:p w14:paraId="3C36F5DD" w14:textId="77777777" w:rsidR="0089447A" w:rsidRPr="00903F89" w:rsidRDefault="0089447A" w:rsidP="00903F89">
            <w:pPr>
              <w:contextualSpacing/>
              <w:jc w:val="both"/>
              <w:rPr>
                <w:rFonts w:cs="Arial"/>
                <w:sz w:val="20"/>
                <w:szCs w:val="20"/>
              </w:rPr>
            </w:pPr>
          </w:p>
          <w:p w14:paraId="624FF80C" w14:textId="21E9AA3B" w:rsidR="0089447A" w:rsidRPr="00903F89" w:rsidRDefault="0089447A" w:rsidP="00903F89">
            <w:pPr>
              <w:jc w:val="both"/>
              <w:rPr>
                <w:rFonts w:cs="Arial"/>
                <w:sz w:val="20"/>
                <w:szCs w:val="20"/>
                <w:u w:val="single"/>
              </w:rPr>
            </w:pPr>
            <w:r w:rsidRPr="00903F89">
              <w:rPr>
                <w:rFonts w:cs="Arial"/>
                <w:sz w:val="20"/>
                <w:szCs w:val="20"/>
                <w:u w:val="single"/>
              </w:rPr>
              <w:t xml:space="preserve">Ομιλητές Διαλέξεων/ Εκπαιδευτές σεμιναρίων </w:t>
            </w:r>
          </w:p>
          <w:p w14:paraId="644E10DC" w14:textId="77777777" w:rsidR="0089447A" w:rsidRPr="00903F89" w:rsidRDefault="0089447A" w:rsidP="00903F89">
            <w:pPr>
              <w:pStyle w:val="ListParagraph"/>
              <w:ind w:left="360"/>
              <w:jc w:val="both"/>
              <w:rPr>
                <w:rFonts w:eastAsia="Arial" w:cs="Arial"/>
                <w:sz w:val="20"/>
                <w:szCs w:val="20"/>
              </w:rPr>
            </w:pPr>
          </w:p>
          <w:p w14:paraId="2AFFA84D" w14:textId="77777777" w:rsidR="008B1515" w:rsidRPr="00903F89" w:rsidRDefault="0089447A" w:rsidP="00903F89">
            <w:pPr>
              <w:pStyle w:val="ListParagraph"/>
              <w:numPr>
                <w:ilvl w:val="0"/>
                <w:numId w:val="24"/>
              </w:numPr>
              <w:jc w:val="both"/>
              <w:rPr>
                <w:rFonts w:cs="Arial"/>
                <w:sz w:val="20"/>
                <w:szCs w:val="20"/>
                <w:u w:val="single"/>
              </w:rPr>
            </w:pPr>
            <w:r w:rsidRPr="00903F89">
              <w:rPr>
                <w:rFonts w:cs="Arial"/>
                <w:sz w:val="20"/>
                <w:szCs w:val="20"/>
              </w:rPr>
              <w:t xml:space="preserve">Ομιλητές Διαλέξεων/ Εκπαιδευτές σεμιναρίων </w:t>
            </w:r>
            <w:r w:rsidR="00A56A41" w:rsidRPr="00903F89">
              <w:rPr>
                <w:rFonts w:cs="Arial"/>
                <w:sz w:val="20"/>
                <w:szCs w:val="20"/>
              </w:rPr>
              <w:t>από το εξωτερικό</w:t>
            </w:r>
            <w:r w:rsidRPr="00903F89">
              <w:rPr>
                <w:rFonts w:cs="Arial"/>
                <w:sz w:val="20"/>
                <w:szCs w:val="20"/>
              </w:rPr>
              <w:t xml:space="preserve">:  </w:t>
            </w:r>
          </w:p>
          <w:p w14:paraId="5FB45856" w14:textId="10B72795" w:rsidR="006B4C38" w:rsidRPr="00903F89" w:rsidRDefault="00A56A41" w:rsidP="00903F89">
            <w:pPr>
              <w:pStyle w:val="ListParagraph"/>
              <w:ind w:left="360"/>
              <w:jc w:val="both"/>
              <w:rPr>
                <w:rFonts w:cs="Arial"/>
                <w:sz w:val="20"/>
                <w:szCs w:val="20"/>
              </w:rPr>
            </w:pPr>
            <w:r w:rsidRPr="00903F89">
              <w:rPr>
                <w:rFonts w:cs="Arial"/>
                <w:sz w:val="20"/>
                <w:szCs w:val="20"/>
              </w:rPr>
              <w:t>Στους ομιλητές διαλέξεων και τους εκπαιδευτές σεμιναρίων που προέρχονται από το εξωτερικό δύναται να καταβληθεί</w:t>
            </w:r>
            <w:r w:rsidR="0089447A" w:rsidRPr="00903F89">
              <w:rPr>
                <w:rFonts w:cs="Arial"/>
                <w:sz w:val="20"/>
                <w:szCs w:val="20"/>
              </w:rPr>
              <w:t>:</w:t>
            </w:r>
          </w:p>
          <w:p w14:paraId="5D763A8C" w14:textId="77777777" w:rsidR="008B1515" w:rsidRPr="00903F89" w:rsidRDefault="008B1515" w:rsidP="00903F89">
            <w:pPr>
              <w:pStyle w:val="ListParagraph"/>
              <w:ind w:left="360"/>
              <w:jc w:val="both"/>
              <w:rPr>
                <w:rFonts w:cs="Arial"/>
                <w:sz w:val="20"/>
                <w:szCs w:val="20"/>
              </w:rPr>
            </w:pPr>
          </w:p>
          <w:p w14:paraId="203242C5" w14:textId="3C0B9169" w:rsidR="0089447A" w:rsidRPr="00903F89" w:rsidRDefault="0089447A" w:rsidP="00903F89">
            <w:pPr>
              <w:pStyle w:val="ListParagraph"/>
              <w:numPr>
                <w:ilvl w:val="0"/>
                <w:numId w:val="21"/>
              </w:numPr>
              <w:ind w:left="746" w:hanging="284"/>
              <w:jc w:val="both"/>
              <w:rPr>
                <w:rFonts w:cs="Arial"/>
                <w:sz w:val="20"/>
                <w:szCs w:val="20"/>
              </w:rPr>
            </w:pPr>
            <w:r w:rsidRPr="00903F89">
              <w:rPr>
                <w:rFonts w:cs="Arial"/>
                <w:sz w:val="20"/>
                <w:szCs w:val="20"/>
              </w:rPr>
              <w:t>κατ’ αποκοπή αμοιβή (honorarium) μέχρι €</w:t>
            </w:r>
            <w:r w:rsidR="00A56A41" w:rsidRPr="00903F89">
              <w:rPr>
                <w:rFonts w:cs="Arial"/>
                <w:sz w:val="20"/>
                <w:szCs w:val="20"/>
              </w:rPr>
              <w:t>150</w:t>
            </w:r>
            <w:r w:rsidRPr="00903F89">
              <w:rPr>
                <w:rFonts w:cs="Arial"/>
                <w:sz w:val="20"/>
                <w:szCs w:val="20"/>
              </w:rPr>
              <w:t xml:space="preserve">, </w:t>
            </w:r>
          </w:p>
          <w:p w14:paraId="43384F11" w14:textId="5A9E3421" w:rsidR="0089447A" w:rsidRPr="00903F89" w:rsidRDefault="0089447A" w:rsidP="00903F89">
            <w:pPr>
              <w:pStyle w:val="ListParagraph"/>
              <w:numPr>
                <w:ilvl w:val="0"/>
                <w:numId w:val="21"/>
              </w:numPr>
              <w:ind w:left="746" w:hanging="284"/>
              <w:jc w:val="both"/>
              <w:rPr>
                <w:rFonts w:cs="Arial"/>
                <w:sz w:val="20"/>
                <w:szCs w:val="20"/>
              </w:rPr>
            </w:pPr>
            <w:r w:rsidRPr="00903F89">
              <w:rPr>
                <w:rFonts w:cs="Arial"/>
                <w:sz w:val="20"/>
                <w:szCs w:val="20"/>
              </w:rPr>
              <w:t>κόστος μετάβασης (αεροπορικό εισιτήριο οικονομικής θέσης - μέγιστο ποσό αποζημίωσης για ταξίδια από χώρες της Ευρώπης, Βόρειου Αφρικής και Μέσης Ανατολής ορίζεται το ποσό των €800, και από άλλα μέρη του κόσμου το ποσό των €1.300- και μεταφορικά έξοδα από και προς τα αεροδρόμια</w:t>
            </w:r>
            <w:r w:rsidR="007211D8" w:rsidRPr="00903F89">
              <w:rPr>
                <w:rFonts w:cs="Arial"/>
                <w:sz w:val="20"/>
                <w:szCs w:val="20"/>
              </w:rPr>
              <w:t>, μέγιστο ποσό αποζημίωσης μέχρι €50 για χρήση ιδιωτικού μέσου μεταφοράς στο εξωτερικό</w:t>
            </w:r>
            <w:r w:rsidRPr="00903F89">
              <w:rPr>
                <w:rFonts w:cs="Arial"/>
                <w:sz w:val="20"/>
                <w:szCs w:val="20"/>
              </w:rPr>
              <w:t xml:space="preserve">), </w:t>
            </w:r>
          </w:p>
          <w:p w14:paraId="09539985" w14:textId="36E16996" w:rsidR="00A56A41" w:rsidRPr="00903F89" w:rsidRDefault="00A56A41" w:rsidP="00903F89">
            <w:pPr>
              <w:pStyle w:val="ListParagraph"/>
              <w:numPr>
                <w:ilvl w:val="0"/>
                <w:numId w:val="21"/>
              </w:numPr>
              <w:ind w:left="746" w:hanging="284"/>
              <w:jc w:val="both"/>
              <w:rPr>
                <w:rFonts w:cs="Arial"/>
                <w:sz w:val="20"/>
                <w:szCs w:val="20"/>
              </w:rPr>
            </w:pPr>
            <w:r w:rsidRPr="00903F89">
              <w:rPr>
                <w:rFonts w:cs="Arial"/>
                <w:sz w:val="20"/>
                <w:szCs w:val="20"/>
              </w:rPr>
              <w:t>κόστος διαμονής (το μέγιστο όριο διαμονής καθορίστηκε σε τρία (3) βράδια</w:t>
            </w:r>
            <w:r w:rsidR="007211D8" w:rsidRPr="00903F89">
              <w:rPr>
                <w:rFonts w:cs="Arial"/>
                <w:sz w:val="20"/>
                <w:szCs w:val="20"/>
              </w:rPr>
              <w:t xml:space="preserve"> , σε μονόκλινο δωμάτιο με πρόγευμα)</w:t>
            </w:r>
            <w:r w:rsidR="005F4BE0" w:rsidRPr="00903F89">
              <w:rPr>
                <w:rFonts w:cs="Arial"/>
                <w:sz w:val="20"/>
                <w:szCs w:val="20"/>
              </w:rPr>
              <w:t>,</w:t>
            </w:r>
            <w:r w:rsidRPr="00903F89">
              <w:rPr>
                <w:rFonts w:cs="Arial"/>
                <w:sz w:val="20"/>
                <w:szCs w:val="20"/>
              </w:rPr>
              <w:t xml:space="preserve"> </w:t>
            </w:r>
          </w:p>
          <w:p w14:paraId="3BFF15FD" w14:textId="2EA50C9C" w:rsidR="0006372D" w:rsidRPr="00903F89" w:rsidRDefault="0089447A" w:rsidP="00903F89">
            <w:pPr>
              <w:pStyle w:val="ListParagraph"/>
              <w:numPr>
                <w:ilvl w:val="0"/>
                <w:numId w:val="21"/>
              </w:numPr>
              <w:ind w:left="746" w:hanging="284"/>
              <w:jc w:val="both"/>
              <w:rPr>
                <w:rFonts w:cs="Arial"/>
                <w:sz w:val="20"/>
                <w:szCs w:val="20"/>
              </w:rPr>
            </w:pPr>
            <w:r w:rsidRPr="00903F89">
              <w:rPr>
                <w:rFonts w:cs="Arial"/>
                <w:sz w:val="20"/>
                <w:szCs w:val="20"/>
              </w:rPr>
              <w:t>ημερήσιο επίδομα διατροφής</w:t>
            </w:r>
            <w:r w:rsidR="008679F1" w:rsidRPr="00903F89">
              <w:rPr>
                <w:rFonts w:cs="Arial"/>
                <w:sz w:val="20"/>
                <w:szCs w:val="20"/>
              </w:rPr>
              <w:t xml:space="preserve"> (ποσό των €25 για κάθε γεύμα, μέχρι €50 ημερησίως, μέχρι το μέγιστο όριο ημερών διαμονής, αφαιρώντας τον αριθμό γευμάτων που προσφέρονται και καλύπτονται από την οικεία οντότητα),</w:t>
            </w:r>
          </w:p>
          <w:p w14:paraId="0525ED6A" w14:textId="77F5544F" w:rsidR="0006372D" w:rsidRPr="00903F89" w:rsidRDefault="0006372D" w:rsidP="00903F89">
            <w:pPr>
              <w:pStyle w:val="ListParagraph"/>
              <w:numPr>
                <w:ilvl w:val="0"/>
                <w:numId w:val="21"/>
              </w:numPr>
              <w:ind w:left="746" w:hanging="284"/>
              <w:jc w:val="both"/>
              <w:rPr>
                <w:rFonts w:cs="Arial"/>
                <w:sz w:val="20"/>
                <w:szCs w:val="20"/>
              </w:rPr>
            </w:pPr>
            <w:r w:rsidRPr="00903F89">
              <w:rPr>
                <w:rFonts w:cs="Arial"/>
                <w:sz w:val="20"/>
                <w:szCs w:val="20"/>
              </w:rPr>
              <w:t>επιπρόσθετη κατ’ αποκοπή αποζημίωση (honorarium) €100 σε περιπτώσεις όπου εξωτερικά μέλη έρχονται στην Κύπρο για μία μόνο μέρα, χωρίς διανυκτέρευση (για κάλυψη των εξόδων διατροφής και διακίνησής τους, επιπρόσθετα της κατ’ αποκοπή αμοιβής (honorarium) και του κόστους μετάβασης)</w:t>
            </w:r>
            <w:r w:rsidR="005F4BE0" w:rsidRPr="00903F89">
              <w:rPr>
                <w:rFonts w:cs="Arial"/>
                <w:sz w:val="20"/>
                <w:szCs w:val="20"/>
              </w:rPr>
              <w:t>.</w:t>
            </w:r>
            <w:r w:rsidRPr="00903F89">
              <w:rPr>
                <w:rFonts w:cs="Arial"/>
                <w:sz w:val="20"/>
                <w:szCs w:val="20"/>
              </w:rPr>
              <w:t xml:space="preserve"> </w:t>
            </w:r>
          </w:p>
          <w:p w14:paraId="0DC72A14" w14:textId="72CA3D17" w:rsidR="005F4BE0" w:rsidRPr="00903F89" w:rsidRDefault="005F4BE0" w:rsidP="00903F89">
            <w:pPr>
              <w:pStyle w:val="ListParagraph"/>
              <w:ind w:left="746"/>
              <w:jc w:val="both"/>
              <w:rPr>
                <w:rFonts w:cs="Arial"/>
                <w:sz w:val="20"/>
                <w:szCs w:val="20"/>
              </w:rPr>
            </w:pPr>
          </w:p>
          <w:p w14:paraId="53969411" w14:textId="66570665" w:rsidR="00DA11B7" w:rsidRPr="00903F89" w:rsidRDefault="00B64187" w:rsidP="00903F89">
            <w:pPr>
              <w:pStyle w:val="ListParagraph"/>
              <w:ind w:left="746"/>
              <w:jc w:val="both"/>
              <w:rPr>
                <w:rFonts w:cs="Arial"/>
                <w:sz w:val="20"/>
                <w:szCs w:val="20"/>
              </w:rPr>
            </w:pPr>
            <w:r w:rsidRPr="00903F89">
              <w:rPr>
                <w:rFonts w:cs="Arial"/>
                <w:sz w:val="20"/>
                <w:szCs w:val="20"/>
              </w:rPr>
              <w:t>Ο</w:t>
            </w:r>
            <w:r w:rsidR="00DA11B7" w:rsidRPr="00903F89">
              <w:rPr>
                <w:rFonts w:cs="Arial"/>
                <w:sz w:val="20"/>
                <w:szCs w:val="20"/>
              </w:rPr>
              <w:t xml:space="preserve">ποιαδήποτε </w:t>
            </w:r>
            <w:r w:rsidR="00343A55" w:rsidRPr="00903F89">
              <w:rPr>
                <w:rFonts w:cs="Arial"/>
                <w:sz w:val="20"/>
                <w:szCs w:val="20"/>
              </w:rPr>
              <w:t>κατ’ αποκοπή αμοιβή</w:t>
            </w:r>
            <w:r w:rsidR="00DA11B7" w:rsidRPr="00903F89">
              <w:rPr>
                <w:rFonts w:cs="Arial"/>
                <w:sz w:val="20"/>
                <w:szCs w:val="20"/>
              </w:rPr>
              <w:t xml:space="preserve"> πέραν των €250 θα πρέπει να καλύπτεται από τα Ίδια Έσοδα του Τμήματος αλλά το ποσό να μην υπερβαίνει τα €500 για τον ομιλητή. Διευκρινίζεται ότι το Τμήμα δεν θα μπορεί να υπερβεί ετησίως το ποσό των €2.000 από τα Ίδια Έσοδα του για αυτό το σκοπό</w:t>
            </w:r>
            <w:r w:rsidR="00343A55" w:rsidRPr="00903F89">
              <w:rPr>
                <w:rFonts w:cs="Arial"/>
                <w:sz w:val="20"/>
                <w:szCs w:val="20"/>
              </w:rPr>
              <w:t xml:space="preserve">, και νοουμένου ότι </w:t>
            </w:r>
            <w:r w:rsidR="00DA11B7" w:rsidRPr="00903F89">
              <w:rPr>
                <w:rFonts w:cs="Arial"/>
                <w:sz w:val="20"/>
                <w:szCs w:val="20"/>
              </w:rPr>
              <w:t>το Τμήμα θα έχει εξασφαλίσει σε έκαστο οικονομικό έτος την απαιτούμενη κατανομή στο σχετικό με το θέμα άρθρο</w:t>
            </w:r>
            <w:r w:rsidRPr="00903F89">
              <w:rPr>
                <w:rFonts w:cs="Arial"/>
                <w:sz w:val="20"/>
                <w:szCs w:val="20"/>
              </w:rPr>
              <w:t xml:space="preserve"> (Απόφαση Συμβουλίου Προσφορών και Οικονομικών, Συνεδρία Αρ. 9/2020/ΣΠΟ-ΟΙΚ, ημερ. 24/07/2020).</w:t>
            </w:r>
          </w:p>
          <w:p w14:paraId="74DF0317" w14:textId="77777777" w:rsidR="00DA11B7" w:rsidRPr="00903F89" w:rsidRDefault="00DA11B7" w:rsidP="00903F89">
            <w:pPr>
              <w:pStyle w:val="ListParagraph"/>
              <w:ind w:left="746"/>
              <w:jc w:val="both"/>
              <w:rPr>
                <w:rFonts w:cs="Arial"/>
                <w:sz w:val="20"/>
                <w:szCs w:val="20"/>
              </w:rPr>
            </w:pPr>
          </w:p>
          <w:p w14:paraId="02432663" w14:textId="3B8048A0" w:rsidR="0089447A" w:rsidRPr="00903F89" w:rsidRDefault="00A56A41" w:rsidP="00903F89">
            <w:pPr>
              <w:pStyle w:val="ListParagraph"/>
              <w:numPr>
                <w:ilvl w:val="0"/>
                <w:numId w:val="23"/>
              </w:numPr>
              <w:jc w:val="both"/>
              <w:rPr>
                <w:rFonts w:cs="Arial"/>
                <w:sz w:val="20"/>
                <w:szCs w:val="20"/>
              </w:rPr>
            </w:pPr>
            <w:r w:rsidRPr="00903F89">
              <w:rPr>
                <w:rFonts w:cs="Arial"/>
                <w:sz w:val="20"/>
                <w:szCs w:val="20"/>
              </w:rPr>
              <w:t>Ομιλητές διαλέξεων/εκπαιδευτές σεμιναρίων από την  Κύπρο</w:t>
            </w:r>
            <w:r w:rsidR="0089447A" w:rsidRPr="00903F89">
              <w:rPr>
                <w:rFonts w:cs="Arial"/>
                <w:sz w:val="20"/>
                <w:szCs w:val="20"/>
              </w:rPr>
              <w:t xml:space="preserve">: </w:t>
            </w:r>
            <w:r w:rsidRPr="00903F89">
              <w:rPr>
                <w:rFonts w:cs="Arial"/>
                <w:sz w:val="20"/>
                <w:szCs w:val="20"/>
              </w:rPr>
              <w:t>Στους ομιλητές διαλέξεων και τους εκπαιδευτές σεμιναρίων που προέρχονται από την Κύπρο δύναται να καταβληθεί</w:t>
            </w:r>
            <w:r w:rsidR="0089447A" w:rsidRPr="00903F89">
              <w:rPr>
                <w:rFonts w:cs="Arial"/>
                <w:sz w:val="20"/>
                <w:szCs w:val="20"/>
              </w:rPr>
              <w:t>:</w:t>
            </w:r>
          </w:p>
          <w:p w14:paraId="436EE795" w14:textId="77777777" w:rsidR="008B1515" w:rsidRPr="00903F89" w:rsidRDefault="008B1515" w:rsidP="00903F89">
            <w:pPr>
              <w:pStyle w:val="ListParagraph"/>
              <w:ind w:left="360"/>
              <w:jc w:val="both"/>
              <w:rPr>
                <w:rFonts w:cs="Arial"/>
                <w:sz w:val="20"/>
                <w:szCs w:val="20"/>
              </w:rPr>
            </w:pPr>
          </w:p>
          <w:p w14:paraId="3F830CFB" w14:textId="42415ACA" w:rsidR="0089447A" w:rsidRPr="00903F89" w:rsidRDefault="0089447A" w:rsidP="00903F89">
            <w:pPr>
              <w:pStyle w:val="ListParagraph"/>
              <w:numPr>
                <w:ilvl w:val="0"/>
                <w:numId w:val="21"/>
              </w:numPr>
              <w:ind w:left="746" w:hanging="284"/>
              <w:jc w:val="both"/>
              <w:rPr>
                <w:rFonts w:cs="Arial"/>
                <w:sz w:val="20"/>
                <w:szCs w:val="20"/>
              </w:rPr>
            </w:pPr>
            <w:r w:rsidRPr="00903F89">
              <w:rPr>
                <w:rFonts w:cs="Arial"/>
                <w:sz w:val="20"/>
                <w:szCs w:val="20"/>
              </w:rPr>
              <w:t>κατ’ αποκοπή αμοιβή (honorarium) μέχρι ύψους €</w:t>
            </w:r>
            <w:r w:rsidR="00A56A41" w:rsidRPr="00903F89">
              <w:rPr>
                <w:rFonts w:cs="Arial"/>
                <w:sz w:val="20"/>
                <w:szCs w:val="20"/>
              </w:rPr>
              <w:t>1</w:t>
            </w:r>
            <w:r w:rsidRPr="00903F89">
              <w:rPr>
                <w:rFonts w:cs="Arial"/>
                <w:sz w:val="20"/>
                <w:szCs w:val="20"/>
              </w:rPr>
              <w:t>00</w:t>
            </w:r>
            <w:r w:rsidR="00A56A41" w:rsidRPr="00903F89">
              <w:rPr>
                <w:rFonts w:cs="Arial"/>
                <w:sz w:val="20"/>
                <w:szCs w:val="20"/>
              </w:rPr>
              <w:t>.</w:t>
            </w:r>
          </w:p>
          <w:p w14:paraId="0495BAE7" w14:textId="77777777" w:rsidR="00C61D41" w:rsidRPr="00903F89" w:rsidRDefault="00C61D41" w:rsidP="00903F89">
            <w:pPr>
              <w:jc w:val="both"/>
              <w:rPr>
                <w:rFonts w:cs="Arial"/>
                <w:sz w:val="20"/>
                <w:szCs w:val="20"/>
                <w:u w:val="single"/>
              </w:rPr>
            </w:pPr>
          </w:p>
          <w:p w14:paraId="33478D0C" w14:textId="4B6F36CA" w:rsidR="008E5870" w:rsidRPr="00903F89" w:rsidRDefault="045AFEAA" w:rsidP="00903F89">
            <w:pPr>
              <w:jc w:val="both"/>
              <w:rPr>
                <w:rFonts w:cs="Arial"/>
                <w:sz w:val="20"/>
                <w:szCs w:val="20"/>
                <w:u w:val="single"/>
              </w:rPr>
            </w:pPr>
            <w:r w:rsidRPr="00903F89">
              <w:rPr>
                <w:rFonts w:cs="Arial"/>
                <w:sz w:val="20"/>
                <w:szCs w:val="20"/>
                <w:u w:val="single"/>
              </w:rPr>
              <w:t>Εκπαιδευτές σεμιναρίων ΚΕ.ΔΙ.ΜΑ.</w:t>
            </w:r>
          </w:p>
          <w:p w14:paraId="5AFAD7DB" w14:textId="77777777" w:rsidR="008E5870" w:rsidRPr="00903F89" w:rsidRDefault="008E5870" w:rsidP="00903F89">
            <w:pPr>
              <w:jc w:val="both"/>
              <w:rPr>
                <w:rFonts w:cs="Arial"/>
                <w:sz w:val="20"/>
                <w:szCs w:val="20"/>
              </w:rPr>
            </w:pPr>
          </w:p>
          <w:p w14:paraId="5B112333" w14:textId="77777777" w:rsidR="008B1515" w:rsidRPr="00903F89" w:rsidRDefault="045AFEAA" w:rsidP="00903F89">
            <w:pPr>
              <w:pStyle w:val="ListParagraph"/>
              <w:numPr>
                <w:ilvl w:val="0"/>
                <w:numId w:val="30"/>
              </w:numPr>
              <w:jc w:val="both"/>
              <w:rPr>
                <w:rFonts w:cs="Arial"/>
                <w:sz w:val="20"/>
                <w:szCs w:val="20"/>
              </w:rPr>
            </w:pPr>
            <w:r w:rsidRPr="00903F89">
              <w:rPr>
                <w:rFonts w:cs="Arial"/>
                <w:sz w:val="20"/>
                <w:szCs w:val="20"/>
              </w:rPr>
              <w:t xml:space="preserve">Εκπαιδευτές σεμιναρίων </w:t>
            </w:r>
            <w:r w:rsidR="00F66215" w:rsidRPr="00903F89">
              <w:rPr>
                <w:rFonts w:cs="Arial"/>
                <w:sz w:val="20"/>
                <w:szCs w:val="20"/>
              </w:rPr>
              <w:t xml:space="preserve">ΚΕ.ΔΙ.ΜΑ. </w:t>
            </w:r>
            <w:r w:rsidRPr="00903F89">
              <w:rPr>
                <w:rFonts w:cs="Arial"/>
                <w:sz w:val="20"/>
                <w:szCs w:val="20"/>
              </w:rPr>
              <w:t>από</w:t>
            </w:r>
            <w:r w:rsidR="000A013D" w:rsidRPr="00903F89">
              <w:rPr>
                <w:rFonts w:cs="Arial"/>
                <w:sz w:val="20"/>
                <w:szCs w:val="20"/>
              </w:rPr>
              <w:t xml:space="preserve"> ακαδημαϊκά ιδρύματα </w:t>
            </w:r>
            <w:r w:rsidRPr="00903F89">
              <w:rPr>
                <w:rFonts w:cs="Arial"/>
                <w:sz w:val="20"/>
                <w:szCs w:val="20"/>
              </w:rPr>
              <w:t>εκτός Κύπρο</w:t>
            </w:r>
            <w:r w:rsidR="006A7921" w:rsidRPr="00903F89">
              <w:rPr>
                <w:rFonts w:cs="Arial"/>
                <w:sz w:val="20"/>
                <w:szCs w:val="20"/>
              </w:rPr>
              <w:t xml:space="preserve">:  </w:t>
            </w:r>
          </w:p>
          <w:p w14:paraId="0C80DC72" w14:textId="691A5B59" w:rsidR="006A7921" w:rsidRDefault="4407E268" w:rsidP="00AA5275">
            <w:pPr>
              <w:pStyle w:val="ListParagraph"/>
              <w:ind w:left="360"/>
              <w:jc w:val="both"/>
              <w:rPr>
                <w:rFonts w:cs="Arial"/>
                <w:sz w:val="20"/>
                <w:szCs w:val="20"/>
              </w:rPr>
            </w:pPr>
            <w:r w:rsidRPr="00903F89">
              <w:rPr>
                <w:rFonts w:cs="Arial"/>
                <w:sz w:val="20"/>
                <w:szCs w:val="20"/>
              </w:rPr>
              <w:t xml:space="preserve">Στους εκπαιδευτές σεμιναρίων ΚΕ.ΔΙ.ΜΑ. που προέρχονται από </w:t>
            </w:r>
            <w:r w:rsidR="00912E71" w:rsidRPr="00903F89">
              <w:rPr>
                <w:rFonts w:cs="Arial"/>
                <w:sz w:val="20"/>
                <w:szCs w:val="20"/>
              </w:rPr>
              <w:t xml:space="preserve">ακαδημαϊκά ιδρύματα </w:t>
            </w:r>
            <w:r w:rsidRPr="00903F89">
              <w:rPr>
                <w:rFonts w:cs="Arial"/>
                <w:sz w:val="20"/>
                <w:szCs w:val="20"/>
              </w:rPr>
              <w:t xml:space="preserve">εκτός Κύπρου, </w:t>
            </w:r>
            <w:r w:rsidR="00912E71" w:rsidRPr="00903F89">
              <w:rPr>
                <w:rFonts w:cs="Arial"/>
                <w:sz w:val="20"/>
                <w:szCs w:val="20"/>
              </w:rPr>
              <w:t>δύναται να καταβληθεί</w:t>
            </w:r>
            <w:r w:rsidR="006A7921" w:rsidRPr="00903F89">
              <w:rPr>
                <w:rFonts w:cs="Arial"/>
                <w:sz w:val="20"/>
                <w:szCs w:val="20"/>
              </w:rPr>
              <w:t>:</w:t>
            </w:r>
          </w:p>
          <w:p w14:paraId="332F660F" w14:textId="3C6B2989" w:rsidR="00AA5275" w:rsidRDefault="00AA5275" w:rsidP="00AA5275">
            <w:pPr>
              <w:pStyle w:val="ListParagraph"/>
              <w:ind w:left="360"/>
              <w:jc w:val="both"/>
              <w:rPr>
                <w:rFonts w:cs="Arial"/>
                <w:sz w:val="20"/>
                <w:szCs w:val="20"/>
              </w:rPr>
            </w:pPr>
          </w:p>
          <w:p w14:paraId="76254FAC" w14:textId="77777777" w:rsidR="00AA5275" w:rsidRPr="00AA5275" w:rsidRDefault="00AA5275" w:rsidP="00AA5275">
            <w:pPr>
              <w:pStyle w:val="ListParagraph"/>
              <w:ind w:left="360"/>
              <w:jc w:val="both"/>
              <w:rPr>
                <w:rFonts w:cs="Arial"/>
                <w:sz w:val="20"/>
                <w:szCs w:val="20"/>
              </w:rPr>
            </w:pPr>
          </w:p>
          <w:p w14:paraId="59FD504D" w14:textId="0D0FB3D0" w:rsidR="006A7921" w:rsidRPr="00903F89" w:rsidRDefault="006A7921" w:rsidP="00903F89">
            <w:pPr>
              <w:pStyle w:val="ListParagraph"/>
              <w:numPr>
                <w:ilvl w:val="0"/>
                <w:numId w:val="21"/>
              </w:numPr>
              <w:ind w:left="746" w:hanging="284"/>
              <w:jc w:val="both"/>
              <w:rPr>
                <w:rFonts w:cs="Arial"/>
                <w:sz w:val="20"/>
                <w:szCs w:val="20"/>
              </w:rPr>
            </w:pPr>
            <w:r w:rsidRPr="00AA5275">
              <w:rPr>
                <w:rFonts w:cs="Arial"/>
                <w:sz w:val="20"/>
                <w:szCs w:val="20"/>
              </w:rPr>
              <w:t xml:space="preserve">κατ’ </w:t>
            </w:r>
            <w:r w:rsidRPr="00903F89">
              <w:rPr>
                <w:rFonts w:cs="Arial"/>
                <w:sz w:val="20"/>
                <w:szCs w:val="20"/>
              </w:rPr>
              <w:t xml:space="preserve">αποκοπή αμοιβή (honorarium) μέχρι €500 ημερησίως, </w:t>
            </w:r>
          </w:p>
          <w:p w14:paraId="65FE8DE2" w14:textId="2B0D0139" w:rsidR="006A7921" w:rsidRPr="00903F89" w:rsidRDefault="006A7921" w:rsidP="00903F89">
            <w:pPr>
              <w:pStyle w:val="ListParagraph"/>
              <w:numPr>
                <w:ilvl w:val="0"/>
                <w:numId w:val="21"/>
              </w:numPr>
              <w:ind w:left="746" w:hanging="284"/>
              <w:jc w:val="both"/>
              <w:rPr>
                <w:rFonts w:cs="Arial"/>
                <w:sz w:val="20"/>
                <w:szCs w:val="20"/>
              </w:rPr>
            </w:pPr>
            <w:r w:rsidRPr="00903F89">
              <w:rPr>
                <w:rFonts w:cs="Arial"/>
                <w:sz w:val="20"/>
                <w:szCs w:val="20"/>
              </w:rPr>
              <w:t>κόστος μετάβασης (αεροπορικό εισιτήριο οικονομικής θέσης - μέγιστο ποσό αποζημίωσης για ταξίδια από χώρες της Ευρώπης, Βόρειου Αφρικής και Μέσης Ανατολής ορίζεται το ποσό των €800, και από άλλα μέρη του κόσμου το ποσό των €1.300- και μεταφορικά έξοδα από και προς τα αεροδρόμια</w:t>
            </w:r>
            <w:r w:rsidR="007211D8" w:rsidRPr="00903F89">
              <w:rPr>
                <w:rFonts w:cs="Arial"/>
                <w:sz w:val="20"/>
                <w:szCs w:val="20"/>
              </w:rPr>
              <w:t>, μέγιστο ποσό αποζημίωσης μέχρι €50 για χρήση ιδιωτικού μέσου μεταφοράς στο εξωτερικό</w:t>
            </w:r>
            <w:r w:rsidRPr="00903F89">
              <w:rPr>
                <w:rFonts w:cs="Arial"/>
                <w:sz w:val="20"/>
                <w:szCs w:val="20"/>
              </w:rPr>
              <w:t xml:space="preserve">), </w:t>
            </w:r>
          </w:p>
          <w:p w14:paraId="7196173A" w14:textId="111F6C3E" w:rsidR="006A7921" w:rsidRPr="00903F89" w:rsidRDefault="006A7921" w:rsidP="00903F89">
            <w:pPr>
              <w:pStyle w:val="ListParagraph"/>
              <w:numPr>
                <w:ilvl w:val="0"/>
                <w:numId w:val="21"/>
              </w:numPr>
              <w:ind w:left="746" w:hanging="284"/>
              <w:jc w:val="both"/>
              <w:rPr>
                <w:rFonts w:cs="Arial"/>
                <w:sz w:val="20"/>
                <w:szCs w:val="20"/>
              </w:rPr>
            </w:pPr>
            <w:r w:rsidRPr="00903F89">
              <w:rPr>
                <w:rFonts w:cs="Arial"/>
                <w:sz w:val="20"/>
                <w:szCs w:val="20"/>
              </w:rPr>
              <w:t>κόστος διαμονής (το μέγιστο όριο διαμονής καθορίστηκε σε τρία (3) βράδια</w:t>
            </w:r>
            <w:r w:rsidR="007211D8" w:rsidRPr="00903F89">
              <w:rPr>
                <w:rFonts w:cs="Arial"/>
                <w:sz w:val="20"/>
                <w:szCs w:val="20"/>
              </w:rPr>
              <w:t>, σε μονόκλινο δωμάτιο με πρόγευμα)</w:t>
            </w:r>
            <w:r w:rsidRPr="00903F89">
              <w:rPr>
                <w:rFonts w:cs="Arial"/>
                <w:sz w:val="20"/>
                <w:szCs w:val="20"/>
              </w:rPr>
              <w:t xml:space="preserve"> </w:t>
            </w:r>
          </w:p>
          <w:p w14:paraId="21BC8FD9" w14:textId="5586C79F" w:rsidR="0006372D" w:rsidRPr="00903F89" w:rsidRDefault="006A7921" w:rsidP="00903F89">
            <w:pPr>
              <w:pStyle w:val="ListParagraph"/>
              <w:numPr>
                <w:ilvl w:val="0"/>
                <w:numId w:val="21"/>
              </w:numPr>
              <w:ind w:left="746" w:hanging="284"/>
              <w:jc w:val="both"/>
              <w:rPr>
                <w:rFonts w:cs="Arial"/>
                <w:sz w:val="20"/>
                <w:szCs w:val="20"/>
              </w:rPr>
            </w:pPr>
            <w:r w:rsidRPr="00903F89">
              <w:rPr>
                <w:rFonts w:cs="Arial"/>
                <w:sz w:val="20"/>
                <w:szCs w:val="20"/>
              </w:rPr>
              <w:t xml:space="preserve">ημερήσιο επίδομα διατροφής </w:t>
            </w:r>
            <w:r w:rsidR="008679F1" w:rsidRPr="00903F89">
              <w:rPr>
                <w:rFonts w:cs="Arial"/>
                <w:sz w:val="20"/>
                <w:szCs w:val="20"/>
              </w:rPr>
              <w:t>(ποσό των €25 για κάθε γεύμα, μέχρι €50 ημερησίως, μέχρι το μέγιστο όριο ημερών διαμονής, αφαιρώντας τον αριθμό γευμάτων που προσφέρονται και καλύπτονται από την οικεία οντότητα),</w:t>
            </w:r>
          </w:p>
          <w:p w14:paraId="23B4D1A9" w14:textId="63F3F9A1" w:rsidR="0006372D" w:rsidRPr="00903F89" w:rsidRDefault="0006372D" w:rsidP="00903F89">
            <w:pPr>
              <w:pStyle w:val="ListParagraph"/>
              <w:numPr>
                <w:ilvl w:val="0"/>
                <w:numId w:val="21"/>
              </w:numPr>
              <w:ind w:left="746" w:hanging="284"/>
              <w:jc w:val="both"/>
              <w:rPr>
                <w:rFonts w:cs="Arial"/>
                <w:sz w:val="20"/>
                <w:szCs w:val="20"/>
              </w:rPr>
            </w:pPr>
            <w:r w:rsidRPr="00903F89">
              <w:rPr>
                <w:rFonts w:cs="Arial"/>
                <w:sz w:val="20"/>
                <w:szCs w:val="20"/>
              </w:rPr>
              <w:t xml:space="preserve">επιπρόσθετη κατ’ αποκοπή αποζημίωση (honorarium) €100 σε περιπτώσεις όπου εξωτερικά μέλη έρχονται στην Κύπρο για μία μόνο μέρα, χωρίς διανυκτέρευση (για κάλυψη των εξόδων διατροφής και διακίνησής τους, επιπρόσθετα της κατ’ αποκοπή αμοιβής (honorarium) και του κόστους μετάβασης), </w:t>
            </w:r>
          </w:p>
          <w:p w14:paraId="153F9A2D" w14:textId="6CBD5DB0" w:rsidR="008E5870" w:rsidRPr="00903F89" w:rsidRDefault="008E5870" w:rsidP="00903F89">
            <w:pPr>
              <w:pStyle w:val="ListParagraph"/>
              <w:ind w:left="360" w:hanging="360"/>
              <w:jc w:val="both"/>
              <w:rPr>
                <w:rFonts w:cs="Arial"/>
                <w:sz w:val="20"/>
                <w:szCs w:val="20"/>
              </w:rPr>
            </w:pPr>
          </w:p>
          <w:p w14:paraId="161C2ADF" w14:textId="77777777" w:rsidR="008B1515" w:rsidRPr="00903F89" w:rsidRDefault="045AFEAA" w:rsidP="00903F89">
            <w:pPr>
              <w:pStyle w:val="ListParagraph"/>
              <w:numPr>
                <w:ilvl w:val="0"/>
                <w:numId w:val="30"/>
              </w:numPr>
              <w:jc w:val="both"/>
              <w:rPr>
                <w:rFonts w:cs="Arial"/>
                <w:sz w:val="20"/>
                <w:szCs w:val="20"/>
              </w:rPr>
            </w:pPr>
            <w:r w:rsidRPr="00903F89">
              <w:rPr>
                <w:rFonts w:cs="Arial"/>
                <w:sz w:val="20"/>
                <w:szCs w:val="20"/>
              </w:rPr>
              <w:t xml:space="preserve">Εκπαιδευτές σεμιναρίων </w:t>
            </w:r>
            <w:r w:rsidR="00F66215" w:rsidRPr="00903F89">
              <w:rPr>
                <w:rFonts w:cs="Arial"/>
                <w:sz w:val="20"/>
                <w:szCs w:val="20"/>
              </w:rPr>
              <w:t xml:space="preserve">ΚΕ.ΔΙ.ΜΑ. </w:t>
            </w:r>
            <w:r w:rsidRPr="00903F89">
              <w:rPr>
                <w:rFonts w:cs="Arial"/>
                <w:sz w:val="20"/>
                <w:szCs w:val="20"/>
              </w:rPr>
              <w:t xml:space="preserve">από </w:t>
            </w:r>
            <w:r w:rsidR="000A013D" w:rsidRPr="00903F89">
              <w:rPr>
                <w:rFonts w:cs="Arial"/>
                <w:sz w:val="20"/>
                <w:szCs w:val="20"/>
              </w:rPr>
              <w:t xml:space="preserve">ακαδημαϊκά ιδρύματα της </w:t>
            </w:r>
            <w:r w:rsidRPr="00903F89">
              <w:rPr>
                <w:rFonts w:cs="Arial"/>
                <w:sz w:val="20"/>
                <w:szCs w:val="20"/>
              </w:rPr>
              <w:t>Κύπρου</w:t>
            </w:r>
            <w:r w:rsidR="006A7921" w:rsidRPr="00903F89">
              <w:rPr>
                <w:rFonts w:cs="Arial"/>
                <w:sz w:val="20"/>
                <w:szCs w:val="20"/>
              </w:rPr>
              <w:t xml:space="preserve">:  </w:t>
            </w:r>
          </w:p>
          <w:p w14:paraId="5A6B9C24" w14:textId="290A95A9" w:rsidR="006A7921" w:rsidRPr="00903F89" w:rsidRDefault="045AFEAA" w:rsidP="00903F89">
            <w:pPr>
              <w:pStyle w:val="ListParagraph"/>
              <w:ind w:left="360"/>
              <w:jc w:val="both"/>
              <w:rPr>
                <w:rFonts w:cs="Arial"/>
                <w:sz w:val="20"/>
                <w:szCs w:val="20"/>
              </w:rPr>
            </w:pPr>
            <w:r w:rsidRPr="00903F89">
              <w:rPr>
                <w:rFonts w:cs="Arial"/>
                <w:sz w:val="20"/>
                <w:szCs w:val="20"/>
              </w:rPr>
              <w:t>Στους εκπαιδευτές σεμιναρίων ΚΕ.ΔΙ.ΜΑ. που προέρχονται από</w:t>
            </w:r>
            <w:r w:rsidR="00912E71" w:rsidRPr="00903F89">
              <w:rPr>
                <w:rFonts w:cs="Arial"/>
                <w:sz w:val="20"/>
                <w:szCs w:val="20"/>
              </w:rPr>
              <w:t xml:space="preserve"> ακαδημαϊκά ιδρύματα της Κύπρου, </w:t>
            </w:r>
            <w:r w:rsidRPr="00903F89">
              <w:rPr>
                <w:rFonts w:cs="Arial"/>
                <w:sz w:val="20"/>
                <w:szCs w:val="20"/>
              </w:rPr>
              <w:t>περιλαμβανομένου και του Πανεπιστημίου Κύπρου</w:t>
            </w:r>
            <w:r w:rsidR="006A7921" w:rsidRPr="00903F89">
              <w:rPr>
                <w:rFonts w:cs="Arial"/>
                <w:sz w:val="20"/>
                <w:szCs w:val="20"/>
              </w:rPr>
              <w:t xml:space="preserve"> (νοουμένου ότι ικανοποιούνται οι πρόνοιες της εγκυκλίου 4.8 για Συμπληρωματικές Δραστηριότητες</w:t>
            </w:r>
            <w:r w:rsidR="008679F1" w:rsidRPr="00903F89">
              <w:rPr>
                <w:rFonts w:cs="Arial"/>
                <w:sz w:val="20"/>
                <w:szCs w:val="20"/>
              </w:rPr>
              <w:t>: Εξωτερικά Προγράμματα, Επιπρόσθετη Διδασκαλία, Συμβουλευτικές Υπηρεσίες, Επιχειρηματική Εκμετάλλευση</w:t>
            </w:r>
            <w:r w:rsidR="006A7921" w:rsidRPr="00903F89">
              <w:rPr>
                <w:rFonts w:cs="Arial"/>
                <w:sz w:val="20"/>
                <w:szCs w:val="20"/>
              </w:rPr>
              <w:t>)</w:t>
            </w:r>
            <w:r w:rsidR="00912E71" w:rsidRPr="00903F89">
              <w:rPr>
                <w:rFonts w:cs="Arial"/>
                <w:sz w:val="20"/>
                <w:szCs w:val="20"/>
              </w:rPr>
              <w:t>,</w:t>
            </w:r>
            <w:r w:rsidRPr="00903F89">
              <w:rPr>
                <w:rFonts w:cs="Arial"/>
                <w:sz w:val="20"/>
                <w:szCs w:val="20"/>
              </w:rPr>
              <w:t xml:space="preserve"> </w:t>
            </w:r>
            <w:r w:rsidR="00912E71" w:rsidRPr="00903F89">
              <w:rPr>
                <w:rFonts w:cs="Arial"/>
                <w:sz w:val="20"/>
                <w:szCs w:val="20"/>
              </w:rPr>
              <w:t>δύναται να καταβληθεί</w:t>
            </w:r>
            <w:r w:rsidR="005F4BE0" w:rsidRPr="00903F89">
              <w:rPr>
                <w:rFonts w:cs="Arial"/>
                <w:sz w:val="20"/>
                <w:szCs w:val="20"/>
              </w:rPr>
              <w:t>:</w:t>
            </w:r>
            <w:r w:rsidR="00912E71" w:rsidRPr="00903F89">
              <w:rPr>
                <w:rFonts w:cs="Arial"/>
                <w:sz w:val="20"/>
                <w:szCs w:val="20"/>
              </w:rPr>
              <w:t xml:space="preserve"> </w:t>
            </w:r>
          </w:p>
          <w:p w14:paraId="7D5A2C43" w14:textId="77777777" w:rsidR="006A7921" w:rsidRPr="00903F89" w:rsidRDefault="006A7921" w:rsidP="00903F89">
            <w:pPr>
              <w:pStyle w:val="ListParagraph"/>
              <w:tabs>
                <w:tab w:val="left" w:pos="1560"/>
              </w:tabs>
              <w:ind w:left="360"/>
              <w:contextualSpacing/>
              <w:jc w:val="both"/>
              <w:rPr>
                <w:rFonts w:cs="Arial"/>
                <w:sz w:val="20"/>
                <w:szCs w:val="20"/>
              </w:rPr>
            </w:pPr>
          </w:p>
          <w:p w14:paraId="0E024FB5" w14:textId="69866235" w:rsidR="003D539C" w:rsidRPr="00903F89" w:rsidRDefault="045AFEAA" w:rsidP="00903F89">
            <w:pPr>
              <w:pStyle w:val="ListParagraph"/>
              <w:numPr>
                <w:ilvl w:val="0"/>
                <w:numId w:val="31"/>
              </w:numPr>
              <w:tabs>
                <w:tab w:val="left" w:pos="1560"/>
              </w:tabs>
              <w:ind w:left="746" w:hanging="425"/>
              <w:contextualSpacing/>
              <w:jc w:val="both"/>
              <w:rPr>
                <w:rFonts w:cs="Arial"/>
                <w:sz w:val="20"/>
                <w:szCs w:val="20"/>
              </w:rPr>
            </w:pPr>
            <w:r w:rsidRPr="00903F89">
              <w:rPr>
                <w:rFonts w:cs="Arial"/>
                <w:sz w:val="20"/>
                <w:szCs w:val="20"/>
              </w:rPr>
              <w:t xml:space="preserve">ωριαία αποζημίωση ύψους </w:t>
            </w:r>
            <w:r w:rsidR="00912E71" w:rsidRPr="00903F89">
              <w:rPr>
                <w:rFonts w:cs="Arial"/>
                <w:sz w:val="20"/>
                <w:szCs w:val="20"/>
              </w:rPr>
              <w:t>€70</w:t>
            </w:r>
            <w:r w:rsidR="006A7921" w:rsidRPr="00903F89">
              <w:rPr>
                <w:rFonts w:cs="Arial"/>
                <w:sz w:val="20"/>
                <w:szCs w:val="20"/>
              </w:rPr>
              <w:t xml:space="preserve"> ανά ώρα</w:t>
            </w:r>
            <w:r w:rsidRPr="00903F89">
              <w:rPr>
                <w:rFonts w:cs="Arial"/>
                <w:sz w:val="20"/>
                <w:szCs w:val="20"/>
              </w:rPr>
              <w:t xml:space="preserve">, με μέγιστο ποσό αποζημίωσης </w:t>
            </w:r>
            <w:r w:rsidR="00912E71" w:rsidRPr="00903F89">
              <w:rPr>
                <w:rFonts w:cs="Arial"/>
                <w:sz w:val="20"/>
                <w:szCs w:val="20"/>
              </w:rPr>
              <w:t xml:space="preserve">€420 </w:t>
            </w:r>
            <w:r w:rsidRPr="00903F89">
              <w:rPr>
                <w:rFonts w:cs="Arial"/>
                <w:sz w:val="20"/>
                <w:szCs w:val="20"/>
              </w:rPr>
              <w:t xml:space="preserve">ημερησίως. </w:t>
            </w:r>
          </w:p>
          <w:p w14:paraId="213E3BA2" w14:textId="7BA1D984" w:rsidR="00D21813" w:rsidRPr="00903F89" w:rsidRDefault="00D21813" w:rsidP="00903F89">
            <w:pPr>
              <w:ind w:left="720"/>
              <w:jc w:val="both"/>
              <w:rPr>
                <w:rFonts w:cs="Arial"/>
                <w:sz w:val="20"/>
                <w:szCs w:val="20"/>
              </w:rPr>
            </w:pPr>
          </w:p>
          <w:p w14:paraId="78596B8D" w14:textId="53656194" w:rsidR="004B6840" w:rsidRPr="00903F89" w:rsidRDefault="00A56A41" w:rsidP="00903F89">
            <w:pPr>
              <w:tabs>
                <w:tab w:val="left" w:pos="1560"/>
              </w:tabs>
              <w:contextualSpacing/>
              <w:jc w:val="both"/>
              <w:rPr>
                <w:rFonts w:eastAsia="Arial" w:cs="Arial"/>
                <w:sz w:val="20"/>
                <w:szCs w:val="20"/>
              </w:rPr>
            </w:pPr>
            <w:r w:rsidRPr="00903F89">
              <w:rPr>
                <w:rFonts w:cs="Arial"/>
                <w:sz w:val="20"/>
                <w:szCs w:val="20"/>
              </w:rPr>
              <w:t xml:space="preserve">Εξωτερικά μέλη που καλούνται να συμμετέχουν σε εργασίες για (α) εκλογή, αξιολόγηση και ανέλιξη μελών ακαδημαϊκού προσωπικού, (β) υποστήριξη διδακτορικών διατριβών, (γ) αξιολόγηση οντότητας, (δ) ίδρυση Τμήματος ή Σχολής, (ε) μαθήματα αρχιτεκτονικής σύνθεσης, και προέρχονται από ακαδημαϊκά ιδρύματα εκτός Κύπρου, δύνανται να δίνουν επιπρόσθετα επιστημονικές διαλέξεις στις οντότητες του Πανεπιστημίου Κύπρου.  Σε αυτές τις περιπτώσεις, δύναται να καταβληθεί επιπρόσθετη </w:t>
            </w:r>
            <w:proofErr w:type="spellStart"/>
            <w:r w:rsidRPr="00903F89">
              <w:rPr>
                <w:rFonts w:cs="Arial"/>
                <w:sz w:val="20"/>
                <w:szCs w:val="20"/>
              </w:rPr>
              <w:t>κατ</w:t>
            </w:r>
            <w:proofErr w:type="spellEnd"/>
            <w:r w:rsidRPr="00903F89">
              <w:rPr>
                <w:rFonts w:cs="Arial"/>
                <w:sz w:val="20"/>
                <w:szCs w:val="20"/>
              </w:rPr>
              <w:t>΄ αποκοπή αμοιβή (</w:t>
            </w:r>
            <w:r w:rsidRPr="00903F89">
              <w:rPr>
                <w:rFonts w:cs="Arial"/>
                <w:sz w:val="20"/>
                <w:szCs w:val="20"/>
                <w:lang w:val="en-US"/>
              </w:rPr>
              <w:t>honorarium</w:t>
            </w:r>
            <w:r w:rsidRPr="00903F89">
              <w:rPr>
                <w:rFonts w:cs="Arial"/>
                <w:sz w:val="20"/>
                <w:szCs w:val="20"/>
              </w:rPr>
              <w:t>) €100 από το παρόν άρθρο που κατανέμεται στην οντότητα.</w:t>
            </w:r>
          </w:p>
        </w:tc>
      </w:tr>
      <w:tr w:rsidR="00DA7815" w:rsidRPr="00903F89" w14:paraId="72D74E17" w14:textId="77777777" w:rsidTr="007353AA">
        <w:tc>
          <w:tcPr>
            <w:tcW w:w="1167" w:type="dxa"/>
            <w:shd w:val="clear" w:color="auto" w:fill="auto"/>
          </w:tcPr>
          <w:p w14:paraId="7795B4D3" w14:textId="77777777" w:rsidR="00DA7815" w:rsidRPr="00903F89" w:rsidRDefault="00DA7815" w:rsidP="00903F89">
            <w:pPr>
              <w:jc w:val="both"/>
              <w:rPr>
                <w:rFonts w:cs="Arial"/>
                <w:b/>
                <w:sz w:val="20"/>
                <w:szCs w:val="20"/>
                <w:u w:val="single"/>
              </w:rPr>
            </w:pPr>
          </w:p>
        </w:tc>
        <w:tc>
          <w:tcPr>
            <w:tcW w:w="5175" w:type="dxa"/>
            <w:gridSpan w:val="5"/>
            <w:shd w:val="clear" w:color="auto" w:fill="auto"/>
          </w:tcPr>
          <w:p w14:paraId="4546F79E" w14:textId="77777777" w:rsidR="00DA7815" w:rsidRPr="00903F89" w:rsidRDefault="00DA7815" w:rsidP="00903F89">
            <w:pPr>
              <w:jc w:val="both"/>
              <w:rPr>
                <w:rFonts w:cs="Arial"/>
                <w:b/>
                <w:sz w:val="20"/>
                <w:szCs w:val="20"/>
                <w:u w:val="single"/>
              </w:rPr>
            </w:pPr>
          </w:p>
        </w:tc>
        <w:tc>
          <w:tcPr>
            <w:tcW w:w="4290" w:type="dxa"/>
            <w:gridSpan w:val="2"/>
          </w:tcPr>
          <w:p w14:paraId="4E9630B4" w14:textId="77777777" w:rsidR="00DA7815" w:rsidRPr="00903F89" w:rsidRDefault="00DA7815" w:rsidP="00903F89">
            <w:pPr>
              <w:jc w:val="both"/>
              <w:rPr>
                <w:rFonts w:cs="Arial"/>
                <w:b/>
                <w:sz w:val="20"/>
                <w:szCs w:val="20"/>
                <w:u w:val="single"/>
              </w:rPr>
            </w:pPr>
          </w:p>
        </w:tc>
      </w:tr>
      <w:bookmarkEnd w:id="41"/>
      <w:tr w:rsidR="00DA7815" w:rsidRPr="00903F89" w14:paraId="1CC93900" w14:textId="77777777" w:rsidTr="007353AA">
        <w:tc>
          <w:tcPr>
            <w:tcW w:w="10632" w:type="dxa"/>
            <w:gridSpan w:val="8"/>
            <w:shd w:val="clear" w:color="auto" w:fill="auto"/>
          </w:tcPr>
          <w:p w14:paraId="3B85F307" w14:textId="6F7CD4A6" w:rsidR="00DA7815" w:rsidRPr="00903F89" w:rsidRDefault="00DA7815" w:rsidP="00903F89">
            <w:pPr>
              <w:jc w:val="both"/>
              <w:rPr>
                <w:rFonts w:eastAsia="Arial" w:cs="Arial"/>
                <w:b/>
                <w:bCs/>
                <w:sz w:val="20"/>
                <w:szCs w:val="20"/>
                <w:u w:val="single"/>
              </w:rPr>
            </w:pPr>
            <w:r w:rsidRPr="00903F89">
              <w:rPr>
                <w:rFonts w:cs="Arial"/>
                <w:b/>
                <w:bCs/>
                <w:sz w:val="20"/>
                <w:szCs w:val="20"/>
                <w:u w:val="single"/>
              </w:rPr>
              <w:t>Άρθρο 316 – Επιχορήγηση Εκπαιδευτικών Δραστηριοτήτων – €</w:t>
            </w:r>
            <w:r w:rsidR="007555CD" w:rsidRPr="00903F89">
              <w:rPr>
                <w:rFonts w:cs="Arial"/>
                <w:b/>
                <w:bCs/>
                <w:sz w:val="20"/>
                <w:szCs w:val="20"/>
                <w:u w:val="single"/>
              </w:rPr>
              <w:t>358.300</w:t>
            </w:r>
          </w:p>
        </w:tc>
      </w:tr>
      <w:tr w:rsidR="00DA7815" w:rsidRPr="00903F89" w14:paraId="402855B5" w14:textId="77777777" w:rsidTr="007353AA">
        <w:tc>
          <w:tcPr>
            <w:tcW w:w="1167" w:type="dxa"/>
            <w:shd w:val="clear" w:color="auto" w:fill="auto"/>
          </w:tcPr>
          <w:p w14:paraId="22772FE7" w14:textId="77777777" w:rsidR="00DA7815" w:rsidRPr="00903F89" w:rsidRDefault="00DA7815" w:rsidP="00903F89">
            <w:pPr>
              <w:jc w:val="both"/>
              <w:rPr>
                <w:rFonts w:cs="Arial"/>
                <w:b/>
                <w:sz w:val="20"/>
                <w:szCs w:val="20"/>
                <w:u w:val="single"/>
              </w:rPr>
            </w:pPr>
          </w:p>
        </w:tc>
        <w:tc>
          <w:tcPr>
            <w:tcW w:w="5175" w:type="dxa"/>
            <w:gridSpan w:val="5"/>
            <w:shd w:val="clear" w:color="auto" w:fill="auto"/>
          </w:tcPr>
          <w:p w14:paraId="51757EBB" w14:textId="77777777" w:rsidR="00DA7815" w:rsidRPr="00903F89" w:rsidRDefault="00DA7815" w:rsidP="00903F89">
            <w:pPr>
              <w:jc w:val="both"/>
              <w:rPr>
                <w:rFonts w:cs="Arial"/>
                <w:b/>
                <w:sz w:val="20"/>
                <w:szCs w:val="20"/>
                <w:u w:val="single"/>
              </w:rPr>
            </w:pPr>
          </w:p>
        </w:tc>
        <w:tc>
          <w:tcPr>
            <w:tcW w:w="4290" w:type="dxa"/>
            <w:gridSpan w:val="2"/>
          </w:tcPr>
          <w:p w14:paraId="238BAAE8" w14:textId="77777777" w:rsidR="00DA7815" w:rsidRPr="00903F89" w:rsidRDefault="00DA7815" w:rsidP="00903F89">
            <w:pPr>
              <w:jc w:val="both"/>
              <w:rPr>
                <w:rFonts w:cs="Arial"/>
                <w:b/>
                <w:sz w:val="20"/>
                <w:szCs w:val="20"/>
                <w:u w:val="single"/>
              </w:rPr>
            </w:pPr>
          </w:p>
        </w:tc>
      </w:tr>
      <w:tr w:rsidR="00DA7815" w:rsidRPr="00903F89" w14:paraId="5B330CD7" w14:textId="77777777" w:rsidTr="007353AA">
        <w:tc>
          <w:tcPr>
            <w:tcW w:w="10632" w:type="dxa"/>
            <w:gridSpan w:val="8"/>
            <w:shd w:val="clear" w:color="auto" w:fill="auto"/>
          </w:tcPr>
          <w:p w14:paraId="7BFAAFB1" w14:textId="27CA6920" w:rsidR="00DA7815" w:rsidRPr="00903F89" w:rsidRDefault="00DA7815" w:rsidP="00903F89">
            <w:pPr>
              <w:jc w:val="both"/>
              <w:rPr>
                <w:rFonts w:eastAsia="Arial" w:cs="Arial"/>
                <w:b/>
                <w:bCs/>
                <w:sz w:val="20"/>
                <w:szCs w:val="20"/>
                <w:u w:val="single"/>
              </w:rPr>
            </w:pPr>
            <w:r w:rsidRPr="00903F89">
              <w:rPr>
                <w:rFonts w:cs="Arial"/>
                <w:sz w:val="20"/>
                <w:szCs w:val="20"/>
              </w:rPr>
              <w:t xml:space="preserve">Το ποσό προορίζεται να καλύψει δαπάνες που αφορούν σε ανασκαφικές έρευνες της Ερευνητικής Μονάδας Αρχαιολογίας, εκπαιδευτικές αποστολές, τη συμμετοχή σε επιτόπιες μελέτες πεδίων, σε Ολυμπιάδες και άλλους διαγωνισμούς, τη λειτουργία θερινών σχολείων και άλλων εκπαιδευτικών δραστηριοτήτων του Πανεπιστημίου Κύπρου.  </w:t>
            </w:r>
          </w:p>
        </w:tc>
      </w:tr>
      <w:tr w:rsidR="00DA7815" w:rsidRPr="00903F89" w14:paraId="6C506C4A" w14:textId="77777777" w:rsidTr="007353AA">
        <w:tc>
          <w:tcPr>
            <w:tcW w:w="1167" w:type="dxa"/>
            <w:shd w:val="clear" w:color="auto" w:fill="auto"/>
          </w:tcPr>
          <w:p w14:paraId="53597B0F" w14:textId="77777777" w:rsidR="00DA7815" w:rsidRPr="00903F89" w:rsidRDefault="00DA7815" w:rsidP="00903F89">
            <w:pPr>
              <w:jc w:val="both"/>
              <w:rPr>
                <w:rFonts w:cs="Arial"/>
                <w:b/>
                <w:sz w:val="20"/>
                <w:szCs w:val="20"/>
                <w:u w:val="single"/>
              </w:rPr>
            </w:pPr>
          </w:p>
        </w:tc>
        <w:tc>
          <w:tcPr>
            <w:tcW w:w="5175" w:type="dxa"/>
            <w:gridSpan w:val="5"/>
            <w:shd w:val="clear" w:color="auto" w:fill="auto"/>
          </w:tcPr>
          <w:p w14:paraId="2AD2D0FB" w14:textId="77777777" w:rsidR="00DA7815" w:rsidRPr="00903F89" w:rsidRDefault="00DA7815" w:rsidP="00903F89">
            <w:pPr>
              <w:jc w:val="both"/>
              <w:rPr>
                <w:rFonts w:cs="Arial"/>
                <w:b/>
                <w:sz w:val="20"/>
                <w:szCs w:val="20"/>
                <w:u w:val="single"/>
              </w:rPr>
            </w:pPr>
          </w:p>
        </w:tc>
        <w:tc>
          <w:tcPr>
            <w:tcW w:w="4290" w:type="dxa"/>
            <w:gridSpan w:val="2"/>
          </w:tcPr>
          <w:p w14:paraId="74A8018D" w14:textId="77777777" w:rsidR="00DA7815" w:rsidRPr="00903F89" w:rsidRDefault="00DA7815" w:rsidP="00903F89">
            <w:pPr>
              <w:jc w:val="both"/>
              <w:rPr>
                <w:rFonts w:cs="Arial"/>
                <w:b/>
                <w:sz w:val="20"/>
                <w:szCs w:val="20"/>
                <w:u w:val="single"/>
              </w:rPr>
            </w:pPr>
          </w:p>
        </w:tc>
      </w:tr>
      <w:tr w:rsidR="00DA7815" w:rsidRPr="00903F89" w14:paraId="7BFE250E" w14:textId="77777777" w:rsidTr="007353AA">
        <w:tc>
          <w:tcPr>
            <w:tcW w:w="10632" w:type="dxa"/>
            <w:gridSpan w:val="8"/>
            <w:shd w:val="clear" w:color="auto" w:fill="auto"/>
          </w:tcPr>
          <w:p w14:paraId="267545A9" w14:textId="31C02971" w:rsidR="00DA7815" w:rsidRPr="00903F89" w:rsidRDefault="00DA7815" w:rsidP="00903F89">
            <w:pPr>
              <w:jc w:val="both"/>
              <w:rPr>
                <w:rFonts w:eastAsia="Arial" w:cs="Arial"/>
                <w:b/>
                <w:bCs/>
                <w:sz w:val="20"/>
                <w:szCs w:val="20"/>
                <w:u w:val="single"/>
              </w:rPr>
            </w:pPr>
            <w:r w:rsidRPr="00903F89">
              <w:rPr>
                <w:rFonts w:cs="Arial"/>
                <w:sz w:val="20"/>
                <w:szCs w:val="20"/>
              </w:rPr>
              <w:t xml:space="preserve">Η πρόνοια του άρθρου δύναται επίσης να καλύψει μέρος των δαπανών των Τμημάτων της Σχολής Ανθρωπιστικών Επιστημών για συμμετοχή των φοιτητών της σε εκπαιδευτικές δραστηριότητες σε χώρες του εξωτερικού, για την παρακολούθηση ταχύρρυθμων μαθημάτων γλώσσας.  Το ποσό που διατίθεται ετησίως για το σκοπό αυτό επιμερίζεται μεταξύ των Τμημάτων Αγγλικών Σπουδών, Γαλλικών </w:t>
            </w:r>
            <w:r w:rsidR="00CF6679" w:rsidRPr="00903F89">
              <w:rPr>
                <w:rFonts w:cs="Arial"/>
                <w:sz w:val="20"/>
                <w:szCs w:val="20"/>
              </w:rPr>
              <w:t xml:space="preserve">και Ευρωπαϊκών Σπουδών </w:t>
            </w:r>
            <w:r w:rsidRPr="00903F89">
              <w:rPr>
                <w:rFonts w:cs="Arial"/>
                <w:sz w:val="20"/>
                <w:szCs w:val="20"/>
              </w:rPr>
              <w:t xml:space="preserve">και Τουρκικών και Μεσανατολικών Σπουδών. </w:t>
            </w:r>
          </w:p>
        </w:tc>
      </w:tr>
      <w:tr w:rsidR="00DA7815" w:rsidRPr="00903F89" w14:paraId="41395BFA" w14:textId="77777777" w:rsidTr="007353AA">
        <w:tc>
          <w:tcPr>
            <w:tcW w:w="3244" w:type="dxa"/>
            <w:gridSpan w:val="3"/>
            <w:shd w:val="clear" w:color="auto" w:fill="auto"/>
          </w:tcPr>
          <w:p w14:paraId="54E1697B" w14:textId="77777777" w:rsidR="00DA7815" w:rsidRPr="00903F89" w:rsidRDefault="00DA7815" w:rsidP="00903F89">
            <w:pPr>
              <w:jc w:val="both"/>
              <w:rPr>
                <w:rFonts w:cs="Arial"/>
                <w:b/>
                <w:sz w:val="20"/>
                <w:szCs w:val="20"/>
                <w:u w:val="single"/>
              </w:rPr>
            </w:pPr>
          </w:p>
        </w:tc>
        <w:tc>
          <w:tcPr>
            <w:tcW w:w="3098" w:type="dxa"/>
            <w:gridSpan w:val="3"/>
            <w:shd w:val="clear" w:color="auto" w:fill="auto"/>
          </w:tcPr>
          <w:p w14:paraId="66987264" w14:textId="77777777" w:rsidR="00DA7815" w:rsidRPr="00903F89" w:rsidRDefault="00DA7815" w:rsidP="00903F89">
            <w:pPr>
              <w:jc w:val="both"/>
              <w:rPr>
                <w:rFonts w:cs="Arial"/>
                <w:b/>
                <w:sz w:val="20"/>
                <w:szCs w:val="20"/>
                <w:u w:val="single"/>
              </w:rPr>
            </w:pPr>
          </w:p>
        </w:tc>
        <w:tc>
          <w:tcPr>
            <w:tcW w:w="4290" w:type="dxa"/>
            <w:gridSpan w:val="2"/>
          </w:tcPr>
          <w:p w14:paraId="016956F3" w14:textId="77777777" w:rsidR="00DA7815" w:rsidRPr="00903F89" w:rsidRDefault="00DA7815" w:rsidP="00903F89">
            <w:pPr>
              <w:jc w:val="both"/>
              <w:rPr>
                <w:rFonts w:cs="Arial"/>
                <w:b/>
                <w:sz w:val="20"/>
                <w:szCs w:val="20"/>
                <w:u w:val="single"/>
              </w:rPr>
            </w:pPr>
          </w:p>
        </w:tc>
      </w:tr>
      <w:tr w:rsidR="00DA7815" w:rsidRPr="00903F89" w14:paraId="56C246B1" w14:textId="77777777" w:rsidTr="007353AA">
        <w:tc>
          <w:tcPr>
            <w:tcW w:w="10632" w:type="dxa"/>
            <w:gridSpan w:val="8"/>
            <w:shd w:val="clear" w:color="auto" w:fill="auto"/>
          </w:tcPr>
          <w:p w14:paraId="039DC604" w14:textId="3BC6496B" w:rsidR="00DA7815" w:rsidRPr="00903F89" w:rsidRDefault="00DA7815" w:rsidP="00903F89">
            <w:pPr>
              <w:jc w:val="both"/>
              <w:rPr>
                <w:rFonts w:eastAsia="Arial" w:cs="Arial"/>
                <w:b/>
                <w:bCs/>
                <w:sz w:val="20"/>
                <w:szCs w:val="20"/>
                <w:u w:val="single"/>
              </w:rPr>
            </w:pPr>
            <w:r w:rsidRPr="00903F89">
              <w:rPr>
                <w:rFonts w:cs="Arial"/>
                <w:sz w:val="20"/>
                <w:szCs w:val="20"/>
              </w:rPr>
              <w:t xml:space="preserve">Μέρος της πρόνοιας αναμένεται ότι θα καλύψει δαπάνες του αυτοχρηματοδοτούμενου Μεταπτυχιακού Προγράμματος στη Διοίκηση Επιχειρήσεων (ΜΒΑ) για συμμετοχή φοιτητών του σε εργαστήριο στο εξωτερικό ως η υποχρέωση του Προγράμματος για πλήρωση κριτηρίου διαπίστευσης. </w:t>
            </w:r>
          </w:p>
        </w:tc>
      </w:tr>
      <w:tr w:rsidR="00DA7815" w:rsidRPr="00903F89" w14:paraId="12ED3099" w14:textId="77777777" w:rsidTr="007353AA">
        <w:tc>
          <w:tcPr>
            <w:tcW w:w="3244" w:type="dxa"/>
            <w:gridSpan w:val="3"/>
            <w:shd w:val="clear" w:color="auto" w:fill="auto"/>
          </w:tcPr>
          <w:p w14:paraId="500601AD" w14:textId="77777777" w:rsidR="00DA7815" w:rsidRPr="00903F89" w:rsidRDefault="00DA7815" w:rsidP="00903F89">
            <w:pPr>
              <w:jc w:val="both"/>
              <w:rPr>
                <w:rFonts w:cs="Arial"/>
                <w:b/>
                <w:sz w:val="20"/>
                <w:szCs w:val="20"/>
                <w:u w:val="single"/>
              </w:rPr>
            </w:pPr>
          </w:p>
        </w:tc>
        <w:tc>
          <w:tcPr>
            <w:tcW w:w="3098" w:type="dxa"/>
            <w:gridSpan w:val="3"/>
            <w:shd w:val="clear" w:color="auto" w:fill="auto"/>
          </w:tcPr>
          <w:p w14:paraId="117B2770" w14:textId="77777777" w:rsidR="00DA7815" w:rsidRPr="00903F89" w:rsidRDefault="00DA7815" w:rsidP="00903F89">
            <w:pPr>
              <w:jc w:val="both"/>
              <w:rPr>
                <w:rFonts w:cs="Arial"/>
                <w:b/>
                <w:sz w:val="20"/>
                <w:szCs w:val="20"/>
                <w:u w:val="single"/>
              </w:rPr>
            </w:pPr>
          </w:p>
        </w:tc>
        <w:tc>
          <w:tcPr>
            <w:tcW w:w="4290" w:type="dxa"/>
            <w:gridSpan w:val="2"/>
          </w:tcPr>
          <w:p w14:paraId="3CA4A225" w14:textId="77777777" w:rsidR="00DA7815" w:rsidRPr="00903F89" w:rsidRDefault="00DA7815" w:rsidP="00903F89">
            <w:pPr>
              <w:jc w:val="both"/>
              <w:rPr>
                <w:rFonts w:cs="Arial"/>
                <w:b/>
                <w:sz w:val="20"/>
                <w:szCs w:val="20"/>
                <w:u w:val="single"/>
              </w:rPr>
            </w:pPr>
          </w:p>
        </w:tc>
      </w:tr>
      <w:tr w:rsidR="00DA7815" w:rsidRPr="00903F89" w14:paraId="51ED3175" w14:textId="77777777" w:rsidTr="007353AA">
        <w:tc>
          <w:tcPr>
            <w:tcW w:w="10632" w:type="dxa"/>
            <w:gridSpan w:val="8"/>
            <w:shd w:val="clear" w:color="auto" w:fill="auto"/>
          </w:tcPr>
          <w:p w14:paraId="4CED9801" w14:textId="4BFA07EA" w:rsidR="00DA7815" w:rsidRPr="00903F89" w:rsidRDefault="00DA7815" w:rsidP="00903F89">
            <w:pPr>
              <w:jc w:val="both"/>
              <w:rPr>
                <w:rFonts w:eastAsia="Arial" w:cs="Arial"/>
                <w:b/>
                <w:bCs/>
                <w:sz w:val="20"/>
                <w:szCs w:val="20"/>
                <w:u w:val="single"/>
              </w:rPr>
            </w:pPr>
            <w:r w:rsidRPr="00903F89">
              <w:rPr>
                <w:rFonts w:cs="Arial"/>
                <w:sz w:val="20"/>
                <w:szCs w:val="20"/>
              </w:rPr>
              <w:t xml:space="preserve">Η πρόνοια θα καλύψει τις δαπάνες για τις ανασκαφές του Τμήματος Ιστορίας και Αρχαιολογίας σε τέσσερα αρχαιολογικά σημεία/θέσεις (Παλαίπαφος, </w:t>
            </w:r>
            <w:proofErr w:type="spellStart"/>
            <w:r w:rsidR="004F520E" w:rsidRPr="00903F89">
              <w:rPr>
                <w:rFonts w:cs="Arial"/>
                <w:sz w:val="20"/>
                <w:szCs w:val="20"/>
              </w:rPr>
              <w:t>Κούκλια</w:t>
            </w:r>
            <w:proofErr w:type="spellEnd"/>
            <w:r w:rsidR="00D6416E" w:rsidRPr="00903F89">
              <w:rPr>
                <w:rFonts w:cs="Arial"/>
                <w:sz w:val="20"/>
                <w:szCs w:val="20"/>
              </w:rPr>
              <w:t>)</w:t>
            </w:r>
            <w:r w:rsidRPr="00903F89">
              <w:rPr>
                <w:rFonts w:cs="Arial"/>
                <w:sz w:val="20"/>
                <w:szCs w:val="20"/>
              </w:rPr>
              <w:t xml:space="preserve"> οι οποίες αποτελούν βασικό εργαλείο εκπαίδευσης των φοιτητών στην επιστήμη της αρχαιολογίας, προωθώντας παράλληλα την αρχαιολογική έρευνα.</w:t>
            </w:r>
          </w:p>
        </w:tc>
      </w:tr>
      <w:tr w:rsidR="00DA7815" w:rsidRPr="00903F89" w14:paraId="5F0D743C" w14:textId="77777777" w:rsidTr="007353AA">
        <w:trPr>
          <w:trHeight w:val="80"/>
        </w:trPr>
        <w:tc>
          <w:tcPr>
            <w:tcW w:w="10632" w:type="dxa"/>
            <w:gridSpan w:val="8"/>
            <w:shd w:val="clear" w:color="auto" w:fill="auto"/>
          </w:tcPr>
          <w:p w14:paraId="26351FB0" w14:textId="77777777" w:rsidR="00DA7815" w:rsidRPr="00903F89" w:rsidRDefault="00DA7815" w:rsidP="00903F89">
            <w:pPr>
              <w:jc w:val="both"/>
              <w:rPr>
                <w:rFonts w:cs="Arial"/>
                <w:sz w:val="20"/>
                <w:szCs w:val="20"/>
              </w:rPr>
            </w:pPr>
          </w:p>
        </w:tc>
      </w:tr>
      <w:tr w:rsidR="00CF6679" w:rsidRPr="00903F89" w14:paraId="46A45901" w14:textId="77777777" w:rsidTr="007353AA">
        <w:trPr>
          <w:trHeight w:val="80"/>
        </w:trPr>
        <w:tc>
          <w:tcPr>
            <w:tcW w:w="10632" w:type="dxa"/>
            <w:gridSpan w:val="8"/>
            <w:shd w:val="clear" w:color="auto" w:fill="auto"/>
          </w:tcPr>
          <w:p w14:paraId="610CE46F" w14:textId="168FCD7C" w:rsidR="00CF6679" w:rsidRPr="00903F89" w:rsidRDefault="00CE011D" w:rsidP="00903F89">
            <w:pPr>
              <w:jc w:val="both"/>
              <w:rPr>
                <w:rFonts w:cs="Arial"/>
                <w:sz w:val="20"/>
                <w:szCs w:val="20"/>
              </w:rPr>
            </w:pPr>
            <w:r w:rsidRPr="00903F89">
              <w:rPr>
                <w:rFonts w:cs="Arial"/>
                <w:sz w:val="20"/>
                <w:szCs w:val="20"/>
              </w:rPr>
              <w:t>Η πρόνοια θα καλύψει επίσης τις δαπάνες για παρουσιάσεις εργασιών προπτυχιακών και μεταπτυχιακών φοιτητών σε Διεθνή Συνέδρια, καθώς και έξοδα μετάβασης φοιτητών της Ιατρικής Σχολής στο εξωτερικό για παρακολούθηση επιλεγόμενου μαθήματος ειδικότητας (</w:t>
            </w:r>
            <w:r w:rsidRPr="00903F89">
              <w:rPr>
                <w:rFonts w:cs="Arial"/>
                <w:sz w:val="20"/>
                <w:szCs w:val="20"/>
                <w:lang w:val="en-GB"/>
              </w:rPr>
              <w:t>elective</w:t>
            </w:r>
            <w:r w:rsidRPr="00903F89">
              <w:rPr>
                <w:rFonts w:cs="Arial"/>
                <w:sz w:val="20"/>
                <w:szCs w:val="20"/>
              </w:rPr>
              <w:t>).</w:t>
            </w:r>
          </w:p>
        </w:tc>
      </w:tr>
      <w:tr w:rsidR="00CF6679" w:rsidRPr="00903F89" w14:paraId="4E0911AD" w14:textId="77777777" w:rsidTr="007353AA">
        <w:trPr>
          <w:trHeight w:val="80"/>
        </w:trPr>
        <w:tc>
          <w:tcPr>
            <w:tcW w:w="10632" w:type="dxa"/>
            <w:gridSpan w:val="8"/>
            <w:shd w:val="clear" w:color="auto" w:fill="auto"/>
          </w:tcPr>
          <w:p w14:paraId="6315952F" w14:textId="77777777" w:rsidR="00CF6679" w:rsidRPr="00903F89" w:rsidRDefault="00CF6679" w:rsidP="00903F89">
            <w:pPr>
              <w:jc w:val="both"/>
              <w:rPr>
                <w:rFonts w:cs="Arial"/>
                <w:sz w:val="20"/>
                <w:szCs w:val="20"/>
              </w:rPr>
            </w:pPr>
          </w:p>
        </w:tc>
      </w:tr>
      <w:tr w:rsidR="00DA7815" w:rsidRPr="00903F89" w14:paraId="060ECC40" w14:textId="77777777" w:rsidTr="007353AA">
        <w:trPr>
          <w:trHeight w:val="80"/>
        </w:trPr>
        <w:tc>
          <w:tcPr>
            <w:tcW w:w="10632" w:type="dxa"/>
            <w:gridSpan w:val="8"/>
            <w:shd w:val="clear" w:color="auto" w:fill="auto"/>
          </w:tcPr>
          <w:p w14:paraId="66A0CA03" w14:textId="731195E4" w:rsidR="00DA7815" w:rsidRPr="00903F89" w:rsidRDefault="00DA7815" w:rsidP="00903F89">
            <w:pPr>
              <w:jc w:val="both"/>
              <w:rPr>
                <w:rFonts w:eastAsia="Arial" w:cs="Arial"/>
                <w:sz w:val="20"/>
                <w:szCs w:val="20"/>
              </w:rPr>
            </w:pPr>
            <w:r w:rsidRPr="00903F89">
              <w:rPr>
                <w:rFonts w:cs="Arial"/>
                <w:sz w:val="20"/>
                <w:szCs w:val="20"/>
              </w:rPr>
              <w:t xml:space="preserve">Το άρθρο δύναται να καλύψει δαπάνες που σχετίζονται με τους ξένους φοιτητές/ ερευνητές/ ακαδημαϊκούς, που προέρχονται από χώρες εκτός ΕΕ, του Πανεπιστημίου Κύπρου. </w:t>
            </w:r>
          </w:p>
          <w:p w14:paraId="4172C110" w14:textId="77777777" w:rsidR="00DA7815" w:rsidRPr="00903F89" w:rsidRDefault="00DA7815" w:rsidP="00903F89">
            <w:pPr>
              <w:jc w:val="both"/>
              <w:rPr>
                <w:rFonts w:cs="Arial"/>
                <w:sz w:val="20"/>
                <w:szCs w:val="20"/>
              </w:rPr>
            </w:pPr>
          </w:p>
          <w:p w14:paraId="4C27B548" w14:textId="43C3D9D4" w:rsidR="00DA7815" w:rsidRPr="00903F89" w:rsidRDefault="00DA7815" w:rsidP="00903F89">
            <w:pPr>
              <w:jc w:val="both"/>
              <w:rPr>
                <w:rFonts w:eastAsia="Arial" w:cs="Arial"/>
                <w:sz w:val="20"/>
                <w:szCs w:val="20"/>
              </w:rPr>
            </w:pPr>
            <w:r w:rsidRPr="00903F89">
              <w:rPr>
                <w:rFonts w:cs="Arial"/>
                <w:sz w:val="20"/>
                <w:szCs w:val="20"/>
              </w:rPr>
              <w:t xml:space="preserve">Συγκεκριμένα, προς υποστήριξη των ξένων φοιτητών/ ερευνητών/ακαδημαϊκών του, το Πανεπιστήμιο Κύπρου προωθεί στο Τμήμα Αρχείου Πληθυσμού και Μετανάστευσης, αιτήσεις για εξασφάλιση άδειας εισόδου στην Κυπριακή Δημοκρατία. </w:t>
            </w:r>
          </w:p>
          <w:p w14:paraId="4B8868EA" w14:textId="77777777" w:rsidR="00DA7815" w:rsidRPr="00903F89" w:rsidRDefault="00DA7815" w:rsidP="00903F89">
            <w:pPr>
              <w:jc w:val="both"/>
              <w:rPr>
                <w:rFonts w:cs="Arial"/>
                <w:sz w:val="20"/>
                <w:szCs w:val="20"/>
              </w:rPr>
            </w:pPr>
          </w:p>
          <w:p w14:paraId="595DFF0F" w14:textId="00613EED" w:rsidR="00DA7815" w:rsidRPr="00903F89" w:rsidRDefault="00DA7815" w:rsidP="00903F89">
            <w:pPr>
              <w:jc w:val="both"/>
              <w:rPr>
                <w:rFonts w:eastAsia="Arial" w:cs="Arial"/>
                <w:sz w:val="20"/>
                <w:szCs w:val="20"/>
              </w:rPr>
            </w:pPr>
            <w:r w:rsidRPr="00903F89">
              <w:rPr>
                <w:rFonts w:cs="Arial"/>
                <w:sz w:val="20"/>
                <w:szCs w:val="20"/>
              </w:rPr>
              <w:t>Αναλυτικότερα, κάθε ξένος φοιτητής/ ερευνητής/ ακαδημαϊκός υποβάλλει στο Πανεπιστήμιο Κύπρου την αίτηση του με όλα τα απαραίτητα έγγραφα προς έκδοση της άδειας εισόδου του, καταβάλλοντας το σχετικό αντίτιμο μέσω εμβάσματος σε λογαριασμό του Πανεπιστημίου. Ακολούθως το Πανεπιστήμιο ετοιμάζει εντολή πληρωμής για έκδοση επιταγής προς τον Διευθυντή του Τμήματος Αρχείου Πληθυσμού και Μετανάστευσης, η οποία κατατίθεται μαζί με την αίτηση και τα απαιτούμενα έγγραφα προς εξασφάλιση της άδειας εισόδου για κάθε αιτητή</w:t>
            </w:r>
            <w:r w:rsidRPr="00903F89">
              <w:rPr>
                <w:rFonts w:eastAsia="Arial" w:cs="Arial"/>
                <w:sz w:val="20"/>
                <w:szCs w:val="20"/>
              </w:rPr>
              <w:t>.</w:t>
            </w:r>
          </w:p>
        </w:tc>
      </w:tr>
      <w:tr w:rsidR="00DA7815" w:rsidRPr="00903F89" w14:paraId="0E4B7EA3" w14:textId="77777777" w:rsidTr="00C63105">
        <w:trPr>
          <w:trHeight w:val="51"/>
        </w:trPr>
        <w:tc>
          <w:tcPr>
            <w:tcW w:w="3244" w:type="dxa"/>
            <w:gridSpan w:val="3"/>
            <w:shd w:val="clear" w:color="auto" w:fill="auto"/>
          </w:tcPr>
          <w:p w14:paraId="356A5AE8" w14:textId="77777777" w:rsidR="00DA7815" w:rsidRPr="00903F89" w:rsidRDefault="00DA7815" w:rsidP="00903F89">
            <w:pPr>
              <w:jc w:val="both"/>
              <w:rPr>
                <w:rFonts w:cs="Arial"/>
                <w:b/>
                <w:sz w:val="20"/>
                <w:szCs w:val="20"/>
                <w:u w:val="single"/>
              </w:rPr>
            </w:pPr>
          </w:p>
        </w:tc>
        <w:tc>
          <w:tcPr>
            <w:tcW w:w="3098" w:type="dxa"/>
            <w:gridSpan w:val="3"/>
            <w:shd w:val="clear" w:color="auto" w:fill="auto"/>
          </w:tcPr>
          <w:p w14:paraId="4C2E4A5A" w14:textId="77777777" w:rsidR="00DA7815" w:rsidRPr="00903F89" w:rsidRDefault="00DA7815" w:rsidP="00903F89">
            <w:pPr>
              <w:jc w:val="both"/>
              <w:rPr>
                <w:rFonts w:cs="Arial"/>
                <w:b/>
                <w:sz w:val="20"/>
                <w:szCs w:val="20"/>
                <w:u w:val="single"/>
              </w:rPr>
            </w:pPr>
          </w:p>
        </w:tc>
        <w:tc>
          <w:tcPr>
            <w:tcW w:w="4290" w:type="dxa"/>
            <w:gridSpan w:val="2"/>
          </w:tcPr>
          <w:p w14:paraId="26E730E5" w14:textId="77777777" w:rsidR="00DA7815" w:rsidRPr="00903F89" w:rsidRDefault="00DA7815" w:rsidP="00903F89">
            <w:pPr>
              <w:jc w:val="both"/>
              <w:rPr>
                <w:rFonts w:cs="Arial"/>
                <w:b/>
                <w:sz w:val="20"/>
                <w:szCs w:val="20"/>
                <w:u w:val="single"/>
              </w:rPr>
            </w:pPr>
          </w:p>
        </w:tc>
      </w:tr>
      <w:tr w:rsidR="00DA7815" w:rsidRPr="00903F89" w14:paraId="6852E7C3" w14:textId="77777777" w:rsidTr="007353AA">
        <w:tc>
          <w:tcPr>
            <w:tcW w:w="10632" w:type="dxa"/>
            <w:gridSpan w:val="8"/>
            <w:shd w:val="clear" w:color="auto" w:fill="auto"/>
          </w:tcPr>
          <w:p w14:paraId="742C735F" w14:textId="32828409" w:rsidR="00DA7815" w:rsidRPr="00903F89" w:rsidRDefault="00DA7815" w:rsidP="00903F89">
            <w:pPr>
              <w:jc w:val="both"/>
              <w:rPr>
                <w:rFonts w:eastAsia="Arial" w:cs="Arial"/>
                <w:b/>
                <w:bCs/>
                <w:sz w:val="20"/>
                <w:szCs w:val="20"/>
                <w:u w:val="single"/>
              </w:rPr>
            </w:pPr>
            <w:r w:rsidRPr="00903F89">
              <w:rPr>
                <w:rFonts w:cs="Arial"/>
                <w:b/>
                <w:bCs/>
                <w:sz w:val="20"/>
                <w:szCs w:val="20"/>
                <w:u w:val="single"/>
              </w:rPr>
              <w:t xml:space="preserve">Άρθρο 317 </w:t>
            </w:r>
            <w:r w:rsidRPr="00903F89">
              <w:rPr>
                <w:rFonts w:eastAsia="Arial" w:cs="Arial"/>
                <w:b/>
                <w:bCs/>
                <w:sz w:val="20"/>
                <w:szCs w:val="20"/>
                <w:u w:val="single"/>
              </w:rPr>
              <w:t>–</w:t>
            </w:r>
            <w:r w:rsidRPr="00903F89">
              <w:rPr>
                <w:rFonts w:cs="Arial"/>
                <w:b/>
                <w:bCs/>
                <w:sz w:val="20"/>
                <w:szCs w:val="20"/>
                <w:u w:val="single"/>
              </w:rPr>
              <w:t xml:space="preserve"> Συμμετοχή σε Προγράμματα και Πρωτοβουλίες της Ευρωπαϊκής Ένωσης </w:t>
            </w:r>
            <w:r w:rsidRPr="00903F89">
              <w:rPr>
                <w:rFonts w:eastAsia="Arial" w:cs="Arial"/>
                <w:b/>
                <w:bCs/>
                <w:sz w:val="20"/>
                <w:szCs w:val="20"/>
                <w:u w:val="single"/>
              </w:rPr>
              <w:t xml:space="preserve">–  </w:t>
            </w:r>
            <w:r w:rsidRPr="00903F89">
              <w:rPr>
                <w:rFonts w:cs="Arial"/>
                <w:b/>
                <w:bCs/>
                <w:sz w:val="20"/>
                <w:szCs w:val="20"/>
                <w:u w:val="single"/>
              </w:rPr>
              <w:t>€</w:t>
            </w:r>
            <w:r w:rsidR="00176DD5" w:rsidRPr="00903F89">
              <w:rPr>
                <w:rFonts w:cs="Arial"/>
                <w:b/>
                <w:bCs/>
                <w:sz w:val="20"/>
                <w:szCs w:val="20"/>
                <w:u w:val="single"/>
              </w:rPr>
              <w:t>74</w:t>
            </w:r>
            <w:r w:rsidR="00A51CCB" w:rsidRPr="00903F89">
              <w:rPr>
                <w:rFonts w:cs="Arial"/>
                <w:b/>
                <w:bCs/>
                <w:sz w:val="20"/>
                <w:szCs w:val="20"/>
                <w:u w:val="single"/>
              </w:rPr>
              <w:t>.000</w:t>
            </w:r>
          </w:p>
        </w:tc>
      </w:tr>
      <w:tr w:rsidR="00DA7815" w:rsidRPr="00903F89" w14:paraId="4AE3A623" w14:textId="77777777" w:rsidTr="007353AA">
        <w:tc>
          <w:tcPr>
            <w:tcW w:w="10632" w:type="dxa"/>
            <w:gridSpan w:val="8"/>
            <w:shd w:val="clear" w:color="auto" w:fill="auto"/>
          </w:tcPr>
          <w:p w14:paraId="42517ADF" w14:textId="77777777" w:rsidR="00DA7815" w:rsidRPr="00903F89" w:rsidRDefault="00DA7815" w:rsidP="00903F89">
            <w:pPr>
              <w:jc w:val="both"/>
              <w:rPr>
                <w:rFonts w:cs="Arial"/>
                <w:b/>
                <w:bCs/>
                <w:sz w:val="20"/>
                <w:szCs w:val="20"/>
                <w:u w:val="single"/>
              </w:rPr>
            </w:pPr>
          </w:p>
        </w:tc>
      </w:tr>
      <w:tr w:rsidR="00DA7815" w:rsidRPr="00903F89" w14:paraId="2BDCEE9A" w14:textId="77777777" w:rsidTr="007353AA">
        <w:tc>
          <w:tcPr>
            <w:tcW w:w="10632" w:type="dxa"/>
            <w:gridSpan w:val="8"/>
            <w:shd w:val="clear" w:color="auto" w:fill="auto"/>
          </w:tcPr>
          <w:p w14:paraId="0A3845DD" w14:textId="58F00191" w:rsidR="00DA7815" w:rsidRPr="00903F89" w:rsidRDefault="00DA7815" w:rsidP="00903F89">
            <w:pPr>
              <w:jc w:val="both"/>
              <w:rPr>
                <w:rFonts w:eastAsia="Arial" w:cs="Arial"/>
                <w:sz w:val="20"/>
                <w:szCs w:val="20"/>
                <w:u w:val="single"/>
              </w:rPr>
            </w:pPr>
            <w:bookmarkStart w:id="42" w:name="_Hlk37829615"/>
            <w:r w:rsidRPr="00903F89">
              <w:rPr>
                <w:rFonts w:cs="Arial"/>
                <w:sz w:val="20"/>
                <w:szCs w:val="20"/>
              </w:rPr>
              <w:t>Η πρόνοια προορίζεται να καλύψει ανάγκες συγχρηματοδότησης προγραμμάτων της ΕΕ που συμμετέχει το Πανεπιστήμιο Κύπρου.</w:t>
            </w:r>
          </w:p>
        </w:tc>
      </w:tr>
      <w:bookmarkEnd w:id="42"/>
      <w:tr w:rsidR="00DA7815" w:rsidRPr="00903F89" w14:paraId="0D35AE42" w14:textId="77777777" w:rsidTr="007353AA">
        <w:tc>
          <w:tcPr>
            <w:tcW w:w="3244" w:type="dxa"/>
            <w:gridSpan w:val="3"/>
            <w:shd w:val="clear" w:color="auto" w:fill="auto"/>
          </w:tcPr>
          <w:p w14:paraId="680AD132" w14:textId="77777777" w:rsidR="00DA7815" w:rsidRPr="00903F89" w:rsidRDefault="00DA7815" w:rsidP="00903F89">
            <w:pPr>
              <w:jc w:val="both"/>
              <w:rPr>
                <w:rFonts w:cs="Arial"/>
                <w:b/>
                <w:sz w:val="20"/>
                <w:szCs w:val="20"/>
                <w:u w:val="single"/>
              </w:rPr>
            </w:pPr>
          </w:p>
        </w:tc>
        <w:tc>
          <w:tcPr>
            <w:tcW w:w="3098" w:type="dxa"/>
            <w:gridSpan w:val="3"/>
            <w:shd w:val="clear" w:color="auto" w:fill="auto"/>
          </w:tcPr>
          <w:p w14:paraId="020862C1" w14:textId="77777777" w:rsidR="00DA7815" w:rsidRPr="00903F89" w:rsidRDefault="00DA7815" w:rsidP="00903F89">
            <w:pPr>
              <w:jc w:val="both"/>
              <w:rPr>
                <w:rFonts w:cs="Arial"/>
                <w:b/>
                <w:sz w:val="20"/>
                <w:szCs w:val="20"/>
                <w:u w:val="single"/>
              </w:rPr>
            </w:pPr>
          </w:p>
        </w:tc>
        <w:tc>
          <w:tcPr>
            <w:tcW w:w="4290" w:type="dxa"/>
            <w:gridSpan w:val="2"/>
          </w:tcPr>
          <w:p w14:paraId="16C135B2" w14:textId="77777777" w:rsidR="00DA7815" w:rsidRPr="00903F89" w:rsidRDefault="00DA7815" w:rsidP="00903F89">
            <w:pPr>
              <w:jc w:val="both"/>
              <w:rPr>
                <w:rFonts w:cs="Arial"/>
                <w:b/>
                <w:sz w:val="20"/>
                <w:szCs w:val="20"/>
                <w:u w:val="single"/>
              </w:rPr>
            </w:pPr>
          </w:p>
        </w:tc>
      </w:tr>
      <w:tr w:rsidR="00DA7815" w:rsidRPr="00903F89" w14:paraId="29F09036" w14:textId="77777777" w:rsidTr="007353AA">
        <w:tc>
          <w:tcPr>
            <w:tcW w:w="10632" w:type="dxa"/>
            <w:gridSpan w:val="8"/>
            <w:shd w:val="clear" w:color="auto" w:fill="auto"/>
          </w:tcPr>
          <w:p w14:paraId="66857BF0" w14:textId="3F066088" w:rsidR="00DA7815" w:rsidRPr="00903F89" w:rsidRDefault="00DA7815" w:rsidP="00903F89">
            <w:pPr>
              <w:jc w:val="both"/>
              <w:rPr>
                <w:rFonts w:eastAsia="Arial" w:cs="Arial"/>
                <w:b/>
                <w:bCs/>
                <w:sz w:val="20"/>
                <w:szCs w:val="20"/>
                <w:u w:val="single"/>
              </w:rPr>
            </w:pPr>
            <w:r w:rsidRPr="00903F89">
              <w:rPr>
                <w:rFonts w:cs="Arial"/>
                <w:sz w:val="20"/>
                <w:szCs w:val="20"/>
              </w:rPr>
              <w:t xml:space="preserve">Η πρόνοια θα καλύψει επίσης δαπάνες που αφορούν την προετοιμασία προτάσεων για υποβολή σε ευρωπαϊκά προγράμματα στα οποία το Πανεπιστήμιο δικαιούται να συμμετάσχει ως συντονιστής ή συνεργάτης, σύμφωνα με Κανόνες που εγκρίνει το Πανεπιστήμιο.  Εκτός από ερευνητικά προγράμματα η πρόνοια αυτή καλύπτει και άλλα προγράμματα της Ευρωπαϊκής Ένωσης όπως για παράδειγμα: </w:t>
            </w:r>
            <w:r w:rsidRPr="00903F89">
              <w:rPr>
                <w:rFonts w:cs="Arial"/>
                <w:sz w:val="20"/>
                <w:szCs w:val="20"/>
                <w:lang w:val="en-US"/>
              </w:rPr>
              <w:t>Life</w:t>
            </w:r>
            <w:r w:rsidRPr="00903F89">
              <w:rPr>
                <w:rFonts w:eastAsia="Arial" w:cs="Arial"/>
                <w:sz w:val="20"/>
                <w:szCs w:val="20"/>
              </w:rPr>
              <w:t xml:space="preserve"> </w:t>
            </w:r>
            <w:r w:rsidRPr="00903F89">
              <w:rPr>
                <w:rFonts w:cs="Arial"/>
                <w:sz w:val="20"/>
                <w:szCs w:val="20"/>
                <w:lang w:val="en-US"/>
              </w:rPr>
              <w:t>Long</w:t>
            </w:r>
            <w:r w:rsidRPr="00903F89">
              <w:rPr>
                <w:rFonts w:eastAsia="Arial" w:cs="Arial"/>
                <w:sz w:val="20"/>
                <w:szCs w:val="20"/>
              </w:rPr>
              <w:t xml:space="preserve"> </w:t>
            </w:r>
            <w:r w:rsidRPr="00903F89">
              <w:rPr>
                <w:rFonts w:cs="Arial"/>
                <w:sz w:val="20"/>
                <w:szCs w:val="20"/>
                <w:lang w:val="en-US"/>
              </w:rPr>
              <w:t>Learning</w:t>
            </w:r>
            <w:r w:rsidRPr="00903F89">
              <w:rPr>
                <w:rFonts w:cs="Arial"/>
                <w:sz w:val="20"/>
                <w:szCs w:val="20"/>
              </w:rPr>
              <w:t xml:space="preserve">, ΙΕΑ, </w:t>
            </w:r>
            <w:r w:rsidRPr="00903F89">
              <w:rPr>
                <w:rFonts w:cs="Arial"/>
                <w:sz w:val="20"/>
                <w:szCs w:val="20"/>
                <w:lang w:val="en-US"/>
              </w:rPr>
              <w:t>Erasmus</w:t>
            </w:r>
            <w:r w:rsidRPr="00903F89">
              <w:rPr>
                <w:rFonts w:eastAsia="Arial" w:cs="Arial"/>
                <w:sz w:val="20"/>
                <w:szCs w:val="20"/>
              </w:rPr>
              <w:t xml:space="preserve"> </w:t>
            </w:r>
            <w:r w:rsidRPr="00903F89">
              <w:rPr>
                <w:rFonts w:cs="Arial"/>
                <w:sz w:val="20"/>
                <w:szCs w:val="20"/>
                <w:lang w:val="en-US"/>
              </w:rPr>
              <w:t>Mundus</w:t>
            </w:r>
            <w:r w:rsidRPr="00903F89">
              <w:rPr>
                <w:rFonts w:eastAsia="Arial" w:cs="Arial"/>
                <w:sz w:val="20"/>
                <w:szCs w:val="20"/>
              </w:rPr>
              <w:t xml:space="preserve">, </w:t>
            </w:r>
            <w:r w:rsidRPr="00903F89">
              <w:rPr>
                <w:rFonts w:cs="Arial"/>
                <w:sz w:val="20"/>
                <w:szCs w:val="20"/>
                <w:lang w:val="en-US"/>
              </w:rPr>
              <w:t>Tempus</w:t>
            </w:r>
            <w:r w:rsidRPr="00903F89">
              <w:rPr>
                <w:rFonts w:eastAsia="Arial" w:cs="Arial"/>
                <w:sz w:val="20"/>
                <w:szCs w:val="20"/>
              </w:rPr>
              <w:t xml:space="preserve">, </w:t>
            </w:r>
            <w:r w:rsidRPr="00903F89">
              <w:rPr>
                <w:rFonts w:cs="Arial"/>
                <w:sz w:val="20"/>
                <w:szCs w:val="20"/>
                <w:lang w:val="en-US"/>
              </w:rPr>
              <w:t>EU</w:t>
            </w:r>
            <w:r w:rsidRPr="00903F89">
              <w:rPr>
                <w:rFonts w:eastAsia="Arial" w:cs="Arial"/>
                <w:sz w:val="20"/>
                <w:szCs w:val="20"/>
              </w:rPr>
              <w:t>-</w:t>
            </w:r>
            <w:r w:rsidRPr="00903F89">
              <w:rPr>
                <w:rFonts w:cs="Arial"/>
                <w:sz w:val="20"/>
                <w:szCs w:val="20"/>
                <w:lang w:val="en-US"/>
              </w:rPr>
              <w:t>Australia</w:t>
            </w:r>
            <w:r w:rsidRPr="00903F89">
              <w:rPr>
                <w:rFonts w:eastAsia="Arial" w:cs="Arial"/>
                <w:sz w:val="20"/>
                <w:szCs w:val="20"/>
              </w:rPr>
              <w:t xml:space="preserve">, </w:t>
            </w:r>
            <w:r w:rsidRPr="00903F89">
              <w:rPr>
                <w:rFonts w:cs="Arial"/>
                <w:sz w:val="20"/>
                <w:szCs w:val="20"/>
                <w:lang w:val="en-US"/>
              </w:rPr>
              <w:t>EU</w:t>
            </w:r>
            <w:r w:rsidRPr="00903F89">
              <w:rPr>
                <w:rFonts w:eastAsia="Arial" w:cs="Arial"/>
                <w:sz w:val="20"/>
                <w:szCs w:val="20"/>
              </w:rPr>
              <w:t>-</w:t>
            </w:r>
            <w:r w:rsidRPr="00903F89">
              <w:rPr>
                <w:rFonts w:cs="Arial"/>
                <w:sz w:val="20"/>
                <w:szCs w:val="20"/>
                <w:lang w:val="en-US"/>
              </w:rPr>
              <w:t>Latin</w:t>
            </w:r>
            <w:r w:rsidRPr="00903F89">
              <w:rPr>
                <w:rFonts w:eastAsia="Arial" w:cs="Arial"/>
                <w:sz w:val="20"/>
                <w:szCs w:val="20"/>
              </w:rPr>
              <w:t xml:space="preserve"> </w:t>
            </w:r>
            <w:r w:rsidRPr="00903F89">
              <w:rPr>
                <w:rFonts w:cs="Arial"/>
                <w:sz w:val="20"/>
                <w:szCs w:val="20"/>
                <w:lang w:val="en-US"/>
              </w:rPr>
              <w:t>America</w:t>
            </w:r>
            <w:r w:rsidRPr="00903F89">
              <w:rPr>
                <w:rFonts w:cs="Arial"/>
                <w:sz w:val="20"/>
                <w:szCs w:val="20"/>
              </w:rPr>
              <w:t xml:space="preserve"> και άλλα.  Τα έξοδα καλύπτουν συγχρηματοδοτήσεις, αποστολές για συμμετοχή σε συναντήσεις προετοιμασίας με πιθανούς συνεργάτες, καθώς και συνέδρια και σεμινάρια.</w:t>
            </w:r>
          </w:p>
        </w:tc>
      </w:tr>
      <w:tr w:rsidR="00DA7815" w:rsidRPr="00903F89" w14:paraId="248D2299" w14:textId="77777777" w:rsidTr="007353AA">
        <w:tc>
          <w:tcPr>
            <w:tcW w:w="10632" w:type="dxa"/>
            <w:gridSpan w:val="8"/>
            <w:shd w:val="clear" w:color="auto" w:fill="auto"/>
          </w:tcPr>
          <w:p w14:paraId="3F2FB705" w14:textId="77777777" w:rsidR="00DA7815" w:rsidRPr="00903F89" w:rsidRDefault="00DA7815" w:rsidP="00903F89">
            <w:pPr>
              <w:jc w:val="both"/>
              <w:rPr>
                <w:rFonts w:cs="Arial"/>
                <w:bCs/>
                <w:sz w:val="20"/>
                <w:szCs w:val="20"/>
              </w:rPr>
            </w:pPr>
          </w:p>
        </w:tc>
      </w:tr>
      <w:tr w:rsidR="00DA7815" w:rsidRPr="00903F89" w14:paraId="6BDA6ADF" w14:textId="77777777" w:rsidTr="007353AA">
        <w:tc>
          <w:tcPr>
            <w:tcW w:w="10632" w:type="dxa"/>
            <w:gridSpan w:val="8"/>
            <w:shd w:val="clear" w:color="auto" w:fill="auto"/>
          </w:tcPr>
          <w:p w14:paraId="5D38EC9F" w14:textId="7B556643" w:rsidR="00DA7815" w:rsidRPr="00903F89" w:rsidRDefault="00DA7815" w:rsidP="00903F89">
            <w:pPr>
              <w:pStyle w:val="CommentText"/>
              <w:jc w:val="both"/>
              <w:rPr>
                <w:rFonts w:eastAsia="Arial" w:cs="Arial"/>
                <w:b/>
                <w:bCs/>
                <w:u w:val="single"/>
              </w:rPr>
            </w:pPr>
            <w:r w:rsidRPr="00903F89">
              <w:rPr>
                <w:rFonts w:cs="Arial"/>
              </w:rPr>
              <w:t>Επίσης, το εν λόγω άρθρο συγχρηματοδοτεί δαπάνες που προκύπτουν για ευρωπαϊκά ερευνητικά προγράμματα, (π.χ. δαπάνες που αφορούν στην καταβολή Φόρου Προστιθέμενης Αξίας, έκδοση πιστοποιητικών ελέγχου, απόσβεση εξοπλισμού, νοουμένου ότι δεν προνοείται ως επιλέξιμη δαπάνη από το χρηματοδότη, αλλά είναι απαραίτητες για την ολοκλήρωση των προγραμμάτων</w:t>
            </w:r>
            <w:r w:rsidRPr="00903F89">
              <w:rPr>
                <w:rFonts w:eastAsia="Arial" w:cs="Arial"/>
              </w:rPr>
              <w:t>).</w:t>
            </w:r>
          </w:p>
        </w:tc>
      </w:tr>
      <w:tr w:rsidR="00DA7815" w:rsidRPr="00903F89" w14:paraId="54E21BA3" w14:textId="77777777" w:rsidTr="007353AA">
        <w:tc>
          <w:tcPr>
            <w:tcW w:w="3244" w:type="dxa"/>
            <w:gridSpan w:val="3"/>
            <w:shd w:val="clear" w:color="auto" w:fill="auto"/>
          </w:tcPr>
          <w:p w14:paraId="5D563296" w14:textId="77777777" w:rsidR="00DA7815" w:rsidRPr="00903F89" w:rsidRDefault="00DA7815" w:rsidP="00903F89">
            <w:pPr>
              <w:jc w:val="both"/>
              <w:rPr>
                <w:rFonts w:cs="Arial"/>
                <w:b/>
                <w:sz w:val="20"/>
                <w:szCs w:val="20"/>
                <w:u w:val="single"/>
              </w:rPr>
            </w:pPr>
          </w:p>
        </w:tc>
        <w:tc>
          <w:tcPr>
            <w:tcW w:w="3098" w:type="dxa"/>
            <w:gridSpan w:val="3"/>
            <w:shd w:val="clear" w:color="auto" w:fill="auto"/>
          </w:tcPr>
          <w:p w14:paraId="4EDF9230" w14:textId="77777777" w:rsidR="00DA7815" w:rsidRPr="00903F89" w:rsidRDefault="00DA7815" w:rsidP="00903F89">
            <w:pPr>
              <w:jc w:val="both"/>
              <w:rPr>
                <w:rFonts w:cs="Arial"/>
                <w:b/>
                <w:sz w:val="20"/>
                <w:szCs w:val="20"/>
                <w:u w:val="single"/>
              </w:rPr>
            </w:pPr>
          </w:p>
        </w:tc>
        <w:tc>
          <w:tcPr>
            <w:tcW w:w="4290" w:type="dxa"/>
            <w:gridSpan w:val="2"/>
            <w:shd w:val="clear" w:color="auto" w:fill="auto"/>
          </w:tcPr>
          <w:p w14:paraId="71F81247" w14:textId="77777777" w:rsidR="00DA7815" w:rsidRPr="00903F89" w:rsidRDefault="00DA7815" w:rsidP="00903F89">
            <w:pPr>
              <w:jc w:val="both"/>
              <w:rPr>
                <w:rFonts w:cs="Arial"/>
                <w:b/>
                <w:sz w:val="20"/>
                <w:szCs w:val="20"/>
                <w:u w:val="single"/>
              </w:rPr>
            </w:pPr>
          </w:p>
        </w:tc>
      </w:tr>
      <w:tr w:rsidR="00DA7815" w:rsidRPr="00903F89" w14:paraId="0BF49580" w14:textId="77777777" w:rsidTr="007353AA">
        <w:tc>
          <w:tcPr>
            <w:tcW w:w="10632" w:type="dxa"/>
            <w:gridSpan w:val="8"/>
            <w:shd w:val="clear" w:color="auto" w:fill="auto"/>
          </w:tcPr>
          <w:p w14:paraId="02C99F65" w14:textId="5C9129BA" w:rsidR="00DA7815" w:rsidRPr="00903F89" w:rsidRDefault="00DA7815" w:rsidP="00903F89">
            <w:pPr>
              <w:pStyle w:val="CommentText"/>
              <w:jc w:val="both"/>
              <w:rPr>
                <w:rFonts w:eastAsia="Arial" w:cs="Arial"/>
              </w:rPr>
            </w:pPr>
            <w:r w:rsidRPr="00903F89">
              <w:rPr>
                <w:rFonts w:cs="Arial"/>
              </w:rPr>
              <w:t>Μέρος της πρόνοιας μπορεί να καλύψει (α) δαπάνες που εμπίπτουν σε δράσεις δημοσιότητας αναφορικά με τη διαδικασία μεταφοράς γνώσης (προς και από ερευνητές/φοιτητές/βιομηχανία/επιχειρήσεις), και (β) τη συμμετοχή του Πανεπιστημίου Κύπρου σε διάφορες ευρωπαϊκές και άλλες επιτροπές</w:t>
            </w:r>
            <w:r w:rsidRPr="00903F89">
              <w:rPr>
                <w:rFonts w:eastAsia="Arial" w:cs="Arial"/>
              </w:rPr>
              <w:t>.</w:t>
            </w:r>
          </w:p>
        </w:tc>
      </w:tr>
      <w:tr w:rsidR="00DA7815" w:rsidRPr="00903F89" w14:paraId="2386C807" w14:textId="77777777" w:rsidTr="007353AA">
        <w:tc>
          <w:tcPr>
            <w:tcW w:w="10632" w:type="dxa"/>
            <w:gridSpan w:val="8"/>
            <w:shd w:val="clear" w:color="auto" w:fill="auto"/>
          </w:tcPr>
          <w:p w14:paraId="06C7369D" w14:textId="77777777" w:rsidR="00DA7815" w:rsidRPr="00903F89" w:rsidRDefault="00DA7815" w:rsidP="00903F89">
            <w:pPr>
              <w:pStyle w:val="CommentText"/>
              <w:jc w:val="both"/>
              <w:rPr>
                <w:rFonts w:cs="Arial"/>
              </w:rPr>
            </w:pPr>
          </w:p>
        </w:tc>
      </w:tr>
      <w:tr w:rsidR="00DA7815" w:rsidRPr="00903F89" w14:paraId="4EED701B" w14:textId="77777777" w:rsidTr="007353AA">
        <w:tc>
          <w:tcPr>
            <w:tcW w:w="10632" w:type="dxa"/>
            <w:gridSpan w:val="8"/>
            <w:shd w:val="clear" w:color="auto" w:fill="auto"/>
          </w:tcPr>
          <w:p w14:paraId="414353AA" w14:textId="12512E3F" w:rsidR="00DA7815" w:rsidRPr="00903F89" w:rsidRDefault="00DA7815" w:rsidP="00903F89">
            <w:pPr>
              <w:jc w:val="both"/>
              <w:rPr>
                <w:rFonts w:eastAsia="Arial" w:cs="Arial"/>
                <w:b/>
                <w:bCs/>
                <w:sz w:val="20"/>
                <w:szCs w:val="20"/>
                <w:u w:val="single"/>
              </w:rPr>
            </w:pPr>
            <w:r w:rsidRPr="00903F89">
              <w:rPr>
                <w:rFonts w:cs="Arial"/>
                <w:b/>
                <w:bCs/>
                <w:sz w:val="20"/>
                <w:szCs w:val="20"/>
                <w:u w:val="single"/>
              </w:rPr>
              <w:t xml:space="preserve">Άρθρο 318 </w:t>
            </w:r>
            <w:r w:rsidRPr="00903F89">
              <w:rPr>
                <w:rFonts w:eastAsia="Arial" w:cs="Arial"/>
                <w:b/>
                <w:bCs/>
                <w:sz w:val="20"/>
                <w:szCs w:val="20"/>
                <w:u w:val="single"/>
              </w:rPr>
              <w:t>–</w:t>
            </w:r>
            <w:r w:rsidRPr="00903F89">
              <w:rPr>
                <w:rFonts w:cs="Arial"/>
                <w:b/>
                <w:bCs/>
                <w:sz w:val="20"/>
                <w:szCs w:val="20"/>
                <w:u w:val="single"/>
              </w:rPr>
              <w:t xml:space="preserve"> Διαρθρωτικά Προγράμματα και Σχέδια </w:t>
            </w:r>
            <w:r w:rsidRPr="00903F89">
              <w:rPr>
                <w:rFonts w:eastAsia="Arial" w:cs="Arial"/>
                <w:b/>
                <w:bCs/>
                <w:sz w:val="20"/>
                <w:szCs w:val="20"/>
                <w:u w:val="single"/>
              </w:rPr>
              <w:t xml:space="preserve">– </w:t>
            </w:r>
            <w:r w:rsidRPr="00903F89">
              <w:rPr>
                <w:rFonts w:cs="Arial"/>
                <w:b/>
                <w:bCs/>
                <w:sz w:val="20"/>
                <w:szCs w:val="20"/>
                <w:u w:val="single"/>
              </w:rPr>
              <w:t>€</w:t>
            </w:r>
            <w:r w:rsidR="007555CD" w:rsidRPr="00903F89">
              <w:rPr>
                <w:rFonts w:cs="Arial"/>
                <w:b/>
                <w:bCs/>
                <w:sz w:val="20"/>
                <w:szCs w:val="20"/>
                <w:u w:val="single"/>
              </w:rPr>
              <w:t>0</w:t>
            </w:r>
          </w:p>
        </w:tc>
      </w:tr>
      <w:tr w:rsidR="00DA7815" w:rsidRPr="00903F89" w14:paraId="5D33A176" w14:textId="77777777" w:rsidTr="007353AA">
        <w:trPr>
          <w:trHeight w:val="80"/>
        </w:trPr>
        <w:tc>
          <w:tcPr>
            <w:tcW w:w="3244" w:type="dxa"/>
            <w:gridSpan w:val="3"/>
            <w:shd w:val="clear" w:color="auto" w:fill="auto"/>
          </w:tcPr>
          <w:p w14:paraId="74332CF2" w14:textId="77777777" w:rsidR="00DA7815" w:rsidRPr="00903F89" w:rsidRDefault="00DA7815" w:rsidP="00903F89">
            <w:pPr>
              <w:jc w:val="both"/>
              <w:rPr>
                <w:rFonts w:cs="Arial"/>
                <w:b/>
                <w:sz w:val="20"/>
                <w:szCs w:val="20"/>
                <w:u w:val="single"/>
              </w:rPr>
            </w:pPr>
          </w:p>
        </w:tc>
        <w:tc>
          <w:tcPr>
            <w:tcW w:w="3098" w:type="dxa"/>
            <w:gridSpan w:val="3"/>
            <w:shd w:val="clear" w:color="auto" w:fill="auto"/>
          </w:tcPr>
          <w:p w14:paraId="6A5039BF" w14:textId="77777777" w:rsidR="00DA7815" w:rsidRPr="00903F89" w:rsidRDefault="00DA7815" w:rsidP="00903F89">
            <w:pPr>
              <w:jc w:val="both"/>
              <w:rPr>
                <w:rFonts w:cs="Arial"/>
                <w:b/>
                <w:sz w:val="20"/>
                <w:szCs w:val="20"/>
                <w:u w:val="single"/>
              </w:rPr>
            </w:pPr>
          </w:p>
        </w:tc>
        <w:tc>
          <w:tcPr>
            <w:tcW w:w="4290" w:type="dxa"/>
            <w:gridSpan w:val="2"/>
          </w:tcPr>
          <w:p w14:paraId="22C43BB7" w14:textId="77777777" w:rsidR="00DA7815" w:rsidRPr="00903F89" w:rsidRDefault="00DA7815" w:rsidP="00903F89">
            <w:pPr>
              <w:jc w:val="both"/>
              <w:rPr>
                <w:rFonts w:cs="Arial"/>
                <w:b/>
                <w:sz w:val="20"/>
                <w:szCs w:val="20"/>
                <w:u w:val="single"/>
              </w:rPr>
            </w:pPr>
          </w:p>
        </w:tc>
      </w:tr>
      <w:tr w:rsidR="00DA7815" w:rsidRPr="00903F89" w14:paraId="7D7B149A" w14:textId="77777777" w:rsidTr="007353AA">
        <w:tc>
          <w:tcPr>
            <w:tcW w:w="10632" w:type="dxa"/>
            <w:gridSpan w:val="8"/>
            <w:shd w:val="clear" w:color="auto" w:fill="auto"/>
          </w:tcPr>
          <w:p w14:paraId="5A9ABE15" w14:textId="56FA82AF" w:rsidR="00302C94" w:rsidRPr="00903F89" w:rsidRDefault="0096769A" w:rsidP="00903F89">
            <w:pPr>
              <w:jc w:val="both"/>
              <w:rPr>
                <w:rFonts w:cs="Arial"/>
                <w:sz w:val="20"/>
                <w:szCs w:val="20"/>
              </w:rPr>
            </w:pPr>
            <w:r w:rsidRPr="0096769A">
              <w:rPr>
                <w:rFonts w:eastAsia="Arial" w:cs="Arial"/>
                <w:sz w:val="20"/>
                <w:szCs w:val="20"/>
                <w:u w:color="000000"/>
              </w:rPr>
              <w:t xml:space="preserve">Κατάργηση </w:t>
            </w:r>
            <w:r w:rsidR="00160872">
              <w:rPr>
                <w:rFonts w:eastAsia="Arial" w:cs="Arial"/>
                <w:sz w:val="20"/>
                <w:szCs w:val="20"/>
                <w:u w:color="000000"/>
              </w:rPr>
              <w:t>ά</w:t>
            </w:r>
            <w:r w:rsidRPr="0096769A">
              <w:rPr>
                <w:rFonts w:eastAsia="Arial" w:cs="Arial"/>
                <w:sz w:val="20"/>
                <w:szCs w:val="20"/>
                <w:u w:color="000000"/>
              </w:rPr>
              <w:t>ρθρου. Οι δαπάνες για το 2022 εμφανίζονται στο Άρθρο 602</w:t>
            </w:r>
            <w:r w:rsidR="00160872">
              <w:rPr>
                <w:rFonts w:eastAsia="Arial" w:cs="Arial"/>
                <w:sz w:val="20"/>
                <w:szCs w:val="20"/>
                <w:u w:color="000000"/>
              </w:rPr>
              <w:t>,</w:t>
            </w:r>
            <w:r w:rsidRPr="0096769A">
              <w:rPr>
                <w:rFonts w:eastAsia="Arial" w:cs="Arial"/>
                <w:sz w:val="20"/>
                <w:szCs w:val="20"/>
                <w:u w:color="000000"/>
              </w:rPr>
              <w:t xml:space="preserve"> με τίτλο «Διαρθρωτικά Προγράμματα και Σχέδια», στην Υποομάδα 601 «Δαπάνες Συγχρηματοδοτούμενες από Κοινοτικούς Πόρους»).</w:t>
            </w:r>
          </w:p>
        </w:tc>
      </w:tr>
      <w:tr w:rsidR="00404F37" w:rsidRPr="00903F89" w14:paraId="272B92F2" w14:textId="77777777" w:rsidTr="007353AA">
        <w:tc>
          <w:tcPr>
            <w:tcW w:w="3244" w:type="dxa"/>
            <w:gridSpan w:val="3"/>
            <w:shd w:val="clear" w:color="auto" w:fill="auto"/>
          </w:tcPr>
          <w:p w14:paraId="6D9A7ABD" w14:textId="77777777" w:rsidR="00404F37" w:rsidRPr="00903F89" w:rsidRDefault="00404F37" w:rsidP="00903F89">
            <w:pPr>
              <w:jc w:val="both"/>
              <w:rPr>
                <w:rFonts w:eastAsia="Arial" w:cs="Arial"/>
                <w:b/>
                <w:bCs/>
                <w:sz w:val="20"/>
                <w:szCs w:val="20"/>
                <w:u w:val="single"/>
              </w:rPr>
            </w:pPr>
          </w:p>
        </w:tc>
        <w:tc>
          <w:tcPr>
            <w:tcW w:w="3098" w:type="dxa"/>
            <w:gridSpan w:val="3"/>
            <w:shd w:val="clear" w:color="auto" w:fill="auto"/>
          </w:tcPr>
          <w:p w14:paraId="5A639760" w14:textId="77777777" w:rsidR="00404F37" w:rsidRPr="00903F89" w:rsidRDefault="00404F37" w:rsidP="00903F89">
            <w:pPr>
              <w:jc w:val="both"/>
              <w:rPr>
                <w:rFonts w:cs="Arial"/>
                <w:b/>
                <w:sz w:val="20"/>
                <w:szCs w:val="20"/>
                <w:u w:val="single"/>
              </w:rPr>
            </w:pPr>
          </w:p>
        </w:tc>
        <w:tc>
          <w:tcPr>
            <w:tcW w:w="4290" w:type="dxa"/>
            <w:gridSpan w:val="2"/>
          </w:tcPr>
          <w:p w14:paraId="39B31B50" w14:textId="77777777" w:rsidR="00404F37" w:rsidRPr="00903F89" w:rsidRDefault="00404F37" w:rsidP="00903F89">
            <w:pPr>
              <w:jc w:val="both"/>
              <w:rPr>
                <w:rFonts w:cs="Arial"/>
                <w:b/>
                <w:sz w:val="20"/>
                <w:szCs w:val="20"/>
                <w:u w:val="single"/>
              </w:rPr>
            </w:pPr>
          </w:p>
        </w:tc>
      </w:tr>
      <w:tr w:rsidR="00DA7815" w:rsidRPr="00903F89" w14:paraId="4CC65103" w14:textId="77777777" w:rsidTr="007353AA">
        <w:tc>
          <w:tcPr>
            <w:tcW w:w="10632" w:type="dxa"/>
            <w:gridSpan w:val="8"/>
            <w:shd w:val="clear" w:color="auto" w:fill="auto"/>
          </w:tcPr>
          <w:p w14:paraId="21C990D7" w14:textId="1603BF4F" w:rsidR="00DA7815" w:rsidRPr="00903F89" w:rsidRDefault="00DA7815" w:rsidP="00903F89">
            <w:pPr>
              <w:jc w:val="both"/>
              <w:rPr>
                <w:rFonts w:eastAsia="Arial" w:cs="Arial"/>
                <w:b/>
                <w:bCs/>
                <w:sz w:val="20"/>
                <w:szCs w:val="20"/>
                <w:u w:val="single"/>
              </w:rPr>
            </w:pPr>
            <w:r w:rsidRPr="00903F89">
              <w:rPr>
                <w:rFonts w:cs="Arial"/>
                <w:b/>
                <w:bCs/>
                <w:sz w:val="20"/>
                <w:szCs w:val="20"/>
                <w:u w:val="single"/>
              </w:rPr>
              <w:t xml:space="preserve">Άρθρο 319 – </w:t>
            </w:r>
            <w:r w:rsidR="00D37576" w:rsidRPr="00903F89">
              <w:rPr>
                <w:rFonts w:cs="Arial"/>
                <w:b/>
                <w:bCs/>
                <w:sz w:val="20"/>
                <w:szCs w:val="20"/>
                <w:u w:val="single"/>
              </w:rPr>
              <w:t>Διμερείς Συμφωνίες και Διεθνής Προσέλκυση</w:t>
            </w:r>
            <w:r w:rsidR="00D37576" w:rsidRPr="00903F89">
              <w:rPr>
                <w:rFonts w:eastAsia="Arial" w:cs="Arial"/>
                <w:b/>
                <w:bCs/>
                <w:sz w:val="20"/>
                <w:szCs w:val="20"/>
                <w:u w:val="single"/>
              </w:rPr>
              <w:t xml:space="preserve"> </w:t>
            </w:r>
            <w:r w:rsidRPr="00903F89">
              <w:rPr>
                <w:rFonts w:eastAsia="Arial" w:cs="Arial"/>
                <w:b/>
                <w:bCs/>
                <w:sz w:val="20"/>
                <w:szCs w:val="20"/>
                <w:u w:val="single"/>
              </w:rPr>
              <w:t xml:space="preserve">– </w:t>
            </w:r>
            <w:r w:rsidRPr="00903F89">
              <w:rPr>
                <w:rFonts w:cs="Arial"/>
                <w:b/>
                <w:bCs/>
                <w:sz w:val="20"/>
                <w:szCs w:val="20"/>
                <w:u w:val="single"/>
              </w:rPr>
              <w:t>€</w:t>
            </w:r>
            <w:r w:rsidR="007555CD" w:rsidRPr="00903F89">
              <w:rPr>
                <w:rFonts w:cs="Arial"/>
                <w:b/>
                <w:bCs/>
                <w:sz w:val="20"/>
                <w:szCs w:val="20"/>
                <w:u w:val="single"/>
              </w:rPr>
              <w:t>116.250</w:t>
            </w:r>
          </w:p>
        </w:tc>
      </w:tr>
      <w:tr w:rsidR="008F26E9" w:rsidRPr="00903F89" w14:paraId="0AFC00A1" w14:textId="77777777" w:rsidTr="007353AA">
        <w:tc>
          <w:tcPr>
            <w:tcW w:w="10632" w:type="dxa"/>
            <w:gridSpan w:val="8"/>
            <w:shd w:val="clear" w:color="auto" w:fill="auto"/>
          </w:tcPr>
          <w:p w14:paraId="18017541" w14:textId="77777777" w:rsidR="008F26E9" w:rsidRPr="00903F89" w:rsidRDefault="008F26E9" w:rsidP="00903F89">
            <w:pPr>
              <w:jc w:val="both"/>
              <w:rPr>
                <w:rFonts w:cs="Arial"/>
                <w:b/>
                <w:bCs/>
                <w:sz w:val="20"/>
                <w:szCs w:val="20"/>
                <w:u w:val="single"/>
              </w:rPr>
            </w:pPr>
          </w:p>
        </w:tc>
      </w:tr>
      <w:tr w:rsidR="00DD1E0D" w:rsidRPr="00903F89" w14:paraId="38C6E6CA" w14:textId="77777777" w:rsidTr="007353AA">
        <w:tc>
          <w:tcPr>
            <w:tcW w:w="10632" w:type="dxa"/>
            <w:gridSpan w:val="8"/>
            <w:shd w:val="clear" w:color="auto" w:fill="auto"/>
          </w:tcPr>
          <w:p w14:paraId="7081A5EA" w14:textId="000FAA14" w:rsidR="00564AAA" w:rsidRPr="00903F89" w:rsidRDefault="0096769A" w:rsidP="00903F89">
            <w:pPr>
              <w:jc w:val="both"/>
              <w:rPr>
                <w:rFonts w:cs="Arial"/>
                <w:b/>
                <w:bCs/>
                <w:sz w:val="20"/>
                <w:szCs w:val="20"/>
                <w:u w:val="single"/>
              </w:rPr>
            </w:pPr>
            <w:r w:rsidRPr="0096769A">
              <w:rPr>
                <w:rFonts w:eastAsia="Arial" w:cs="Arial"/>
                <w:sz w:val="20"/>
                <w:szCs w:val="20"/>
                <w:u w:color="000000"/>
              </w:rPr>
              <w:t xml:space="preserve">Μετονομασία </w:t>
            </w:r>
            <w:r w:rsidR="00160872">
              <w:rPr>
                <w:rFonts w:eastAsia="Arial" w:cs="Arial"/>
                <w:sz w:val="20"/>
                <w:szCs w:val="20"/>
                <w:u w:color="000000"/>
              </w:rPr>
              <w:t>ά</w:t>
            </w:r>
            <w:r w:rsidRPr="0096769A">
              <w:rPr>
                <w:rFonts w:eastAsia="Arial" w:cs="Arial"/>
                <w:sz w:val="20"/>
                <w:szCs w:val="20"/>
                <w:u w:color="000000"/>
              </w:rPr>
              <w:t>ρθρου από «Διμερείς Συμφωνίες» σε «Διμερείς Συμφωνίες και Διεθνή Προσέλκυση» καθώς το μεγαλύτερο μέρος της ετήσιας κατανομής της πρόνοιας αξιοποιείται σε δραστηριότητες προσέλκυσης φοιτητών από το διεθνή χώρο.</w:t>
            </w:r>
          </w:p>
        </w:tc>
      </w:tr>
      <w:tr w:rsidR="00564AAA" w:rsidRPr="00903F89" w14:paraId="2D2DFAB0" w14:textId="77777777" w:rsidTr="007353AA">
        <w:tc>
          <w:tcPr>
            <w:tcW w:w="10632" w:type="dxa"/>
            <w:gridSpan w:val="8"/>
            <w:shd w:val="clear" w:color="auto" w:fill="auto"/>
          </w:tcPr>
          <w:p w14:paraId="1AB50282" w14:textId="77777777" w:rsidR="00564AAA" w:rsidRPr="00903F89" w:rsidRDefault="00564AAA" w:rsidP="00903F89">
            <w:pPr>
              <w:jc w:val="both"/>
              <w:rPr>
                <w:rFonts w:cs="Arial"/>
                <w:b/>
                <w:bCs/>
                <w:sz w:val="20"/>
                <w:szCs w:val="20"/>
                <w:u w:val="single"/>
              </w:rPr>
            </w:pPr>
          </w:p>
        </w:tc>
      </w:tr>
      <w:tr w:rsidR="00DD1E0D" w:rsidRPr="00903F89" w14:paraId="7AD233F3" w14:textId="77777777" w:rsidTr="007353AA">
        <w:tc>
          <w:tcPr>
            <w:tcW w:w="10632" w:type="dxa"/>
            <w:gridSpan w:val="8"/>
            <w:shd w:val="clear" w:color="auto" w:fill="auto"/>
          </w:tcPr>
          <w:p w14:paraId="00F96632" w14:textId="4D582840" w:rsidR="00DD1E0D" w:rsidRPr="00903F89" w:rsidRDefault="00DD1E0D" w:rsidP="00903F89">
            <w:pPr>
              <w:jc w:val="both"/>
              <w:rPr>
                <w:rFonts w:cs="Arial"/>
                <w:sz w:val="20"/>
                <w:szCs w:val="20"/>
              </w:rPr>
            </w:pPr>
            <w:r w:rsidRPr="00903F89">
              <w:rPr>
                <w:rFonts w:cs="Arial"/>
                <w:sz w:val="20"/>
                <w:szCs w:val="20"/>
              </w:rPr>
              <w:t xml:space="preserve">Η πρόνοια προορίζεται να καλύψει δαπάνες που αφορούν στην προώθηση διμερών συμφωνιών συνεργασίας που υπογράφει το Πανεπιστήμιο Κύπρου με άλλα Πανεπιστήμια/Οργανισμούς, καθώς και δαπάνες που προκύπτουν από δραστηριότητες που προωθούν τις συνεργασίες του Πανεπιστημίου διεθνώς (π.χ.  προγράμματα με εκπαιδευτικά και ερευνητικά ιδρύματα, πρεσβείες και άλλους οργανισμούς στην Κύπρο και στο εξωτερικό). </w:t>
            </w:r>
          </w:p>
        </w:tc>
      </w:tr>
      <w:tr w:rsidR="00CA3A96" w:rsidRPr="00903F89" w14:paraId="7268414B" w14:textId="77777777" w:rsidTr="007353AA">
        <w:tc>
          <w:tcPr>
            <w:tcW w:w="10632" w:type="dxa"/>
            <w:gridSpan w:val="8"/>
            <w:shd w:val="clear" w:color="auto" w:fill="auto"/>
          </w:tcPr>
          <w:p w14:paraId="7057C688" w14:textId="77777777" w:rsidR="00CA3A96" w:rsidRPr="00903F89" w:rsidRDefault="00CA3A96" w:rsidP="00903F89">
            <w:pPr>
              <w:jc w:val="both"/>
              <w:rPr>
                <w:rFonts w:cs="Arial"/>
                <w:sz w:val="20"/>
                <w:szCs w:val="20"/>
              </w:rPr>
            </w:pPr>
          </w:p>
        </w:tc>
      </w:tr>
      <w:tr w:rsidR="00CA3A96" w:rsidRPr="00903F89" w14:paraId="11C271CB" w14:textId="77777777" w:rsidTr="007353AA">
        <w:tc>
          <w:tcPr>
            <w:tcW w:w="10632" w:type="dxa"/>
            <w:gridSpan w:val="8"/>
            <w:shd w:val="clear" w:color="auto" w:fill="auto"/>
          </w:tcPr>
          <w:p w14:paraId="5F4C6B6F" w14:textId="0444D1FC" w:rsidR="00CA3A96" w:rsidRPr="00903F89" w:rsidRDefault="00CA3A96" w:rsidP="00903F89">
            <w:pPr>
              <w:jc w:val="both"/>
              <w:rPr>
                <w:rFonts w:cs="Arial"/>
                <w:sz w:val="20"/>
                <w:szCs w:val="20"/>
              </w:rPr>
            </w:pPr>
            <w:r w:rsidRPr="00903F89">
              <w:rPr>
                <w:rFonts w:cs="Arial"/>
                <w:sz w:val="20"/>
                <w:szCs w:val="20"/>
              </w:rPr>
              <w:t>Παράλληλα, η πρόνοια προορίζεται να καλύψει δαπάνες που αφορούν τη συμμετοχή του Πανεπιστημίου Κύπρου σε εκπαιδευτικές εκθέσεις, ημερίδες ενημέρωσης, δραστηριότητες προβολής, αγορά υπηρεσιών και γενικότερα δαπάνες που αφορούν στην προώθηση της διεθνούς συνεργασίας, στο πλαίσιο των Σχεδίων Δράσης για την Διεθνοποίηση και την Προσέλκυση Φοιτητών από τον Διεθνή Χώρο.</w:t>
            </w:r>
          </w:p>
        </w:tc>
      </w:tr>
      <w:tr w:rsidR="00CA3A96" w:rsidRPr="00903F89" w14:paraId="48118DA9" w14:textId="77777777" w:rsidTr="007353AA">
        <w:tc>
          <w:tcPr>
            <w:tcW w:w="10632" w:type="dxa"/>
            <w:gridSpan w:val="8"/>
            <w:shd w:val="clear" w:color="auto" w:fill="auto"/>
          </w:tcPr>
          <w:p w14:paraId="697852E8" w14:textId="77777777" w:rsidR="00CA3A96" w:rsidRPr="00903F89" w:rsidRDefault="00CA3A96" w:rsidP="00903F89">
            <w:pPr>
              <w:jc w:val="both"/>
              <w:rPr>
                <w:rFonts w:cs="Arial"/>
                <w:sz w:val="20"/>
                <w:szCs w:val="20"/>
              </w:rPr>
            </w:pPr>
          </w:p>
        </w:tc>
      </w:tr>
      <w:tr w:rsidR="00CA3A96" w:rsidRPr="00903F89" w14:paraId="73B887D3" w14:textId="77777777" w:rsidTr="007353AA">
        <w:tc>
          <w:tcPr>
            <w:tcW w:w="10632" w:type="dxa"/>
            <w:gridSpan w:val="8"/>
            <w:shd w:val="clear" w:color="auto" w:fill="auto"/>
          </w:tcPr>
          <w:p w14:paraId="394A5556" w14:textId="3754DABC" w:rsidR="00CA3A96" w:rsidRPr="00903F89" w:rsidRDefault="00CA3A96" w:rsidP="00903F89">
            <w:pPr>
              <w:jc w:val="both"/>
              <w:rPr>
                <w:rFonts w:cs="Arial"/>
                <w:sz w:val="20"/>
                <w:szCs w:val="20"/>
              </w:rPr>
            </w:pPr>
            <w:r w:rsidRPr="00903F89">
              <w:rPr>
                <w:rFonts w:cs="Arial"/>
                <w:sz w:val="20"/>
                <w:szCs w:val="20"/>
              </w:rPr>
              <w:t>Το άρθρο δύναται επίσης να καλύψει δαπάνες που αφορούν στην προσπάθεια ενίσχυσης της κινητικότητας φοιτητών και προσωπικού.  Παράλληλα, η σχετική πρόνοια δύναται να καλύψει δαπάνες για δραστηριότητες που αφορούν στη συνεργασία με την Ομογένεια και στην ανάπτυξη πρωτοβουλίας για την προώθηση της συνεργασίας με τα πανεπιστήμια της Μέσης Ανατολής και της Μεσογείου, καθώς και της προσέλκυσης μη ελληνόφωνων προπτυχιακών φοιτητών.  Οι δαπάνες για υλοποίηση του στρατηγικού έργου του Πανεπιστημίου Κύπρου για ίδρυση Αραβικού Κέντρου, επίσης δύναται να καλυφθούν από το άρθρο αυτό.</w:t>
            </w:r>
          </w:p>
        </w:tc>
      </w:tr>
      <w:tr w:rsidR="00DD1E0D" w:rsidRPr="00903F89" w14:paraId="2A77327D" w14:textId="77777777" w:rsidTr="007353AA">
        <w:tc>
          <w:tcPr>
            <w:tcW w:w="3244" w:type="dxa"/>
            <w:gridSpan w:val="3"/>
            <w:shd w:val="clear" w:color="auto" w:fill="auto"/>
          </w:tcPr>
          <w:p w14:paraId="73765D31" w14:textId="77777777" w:rsidR="00DD1E0D" w:rsidRPr="00903F89" w:rsidRDefault="00DD1E0D" w:rsidP="00903F89">
            <w:pPr>
              <w:jc w:val="both"/>
              <w:rPr>
                <w:rFonts w:cs="Arial"/>
                <w:b/>
                <w:sz w:val="20"/>
                <w:szCs w:val="20"/>
                <w:u w:val="single"/>
              </w:rPr>
            </w:pPr>
          </w:p>
        </w:tc>
        <w:tc>
          <w:tcPr>
            <w:tcW w:w="3098" w:type="dxa"/>
            <w:gridSpan w:val="3"/>
            <w:shd w:val="clear" w:color="auto" w:fill="auto"/>
          </w:tcPr>
          <w:p w14:paraId="1EE2232E" w14:textId="77777777" w:rsidR="00DD1E0D" w:rsidRPr="00903F89" w:rsidRDefault="00DD1E0D" w:rsidP="00903F89">
            <w:pPr>
              <w:jc w:val="both"/>
              <w:rPr>
                <w:rFonts w:cs="Arial"/>
                <w:b/>
                <w:sz w:val="20"/>
                <w:szCs w:val="20"/>
                <w:u w:val="single"/>
              </w:rPr>
            </w:pPr>
          </w:p>
        </w:tc>
        <w:tc>
          <w:tcPr>
            <w:tcW w:w="4290" w:type="dxa"/>
            <w:gridSpan w:val="2"/>
          </w:tcPr>
          <w:p w14:paraId="646C5148" w14:textId="77777777" w:rsidR="00DD1E0D" w:rsidRPr="00903F89" w:rsidRDefault="00DD1E0D" w:rsidP="00903F89">
            <w:pPr>
              <w:jc w:val="both"/>
              <w:rPr>
                <w:rFonts w:cs="Arial"/>
                <w:b/>
                <w:sz w:val="20"/>
                <w:szCs w:val="20"/>
                <w:u w:val="single"/>
              </w:rPr>
            </w:pPr>
          </w:p>
        </w:tc>
      </w:tr>
      <w:tr w:rsidR="00DD1E0D" w:rsidRPr="00903F89" w14:paraId="0F7F3536" w14:textId="77777777" w:rsidTr="007353AA">
        <w:tc>
          <w:tcPr>
            <w:tcW w:w="10632" w:type="dxa"/>
            <w:gridSpan w:val="8"/>
            <w:shd w:val="clear" w:color="auto" w:fill="auto"/>
          </w:tcPr>
          <w:p w14:paraId="7A28EFAA" w14:textId="1EADB915" w:rsidR="00DD1E0D" w:rsidRPr="00903F89" w:rsidRDefault="00DD1E0D" w:rsidP="00903F89">
            <w:pPr>
              <w:jc w:val="both"/>
              <w:rPr>
                <w:rFonts w:eastAsia="Arial" w:cs="Arial"/>
                <w:b/>
                <w:bCs/>
                <w:sz w:val="20"/>
                <w:szCs w:val="20"/>
                <w:u w:val="single"/>
              </w:rPr>
            </w:pPr>
            <w:r w:rsidRPr="00903F89">
              <w:rPr>
                <w:rFonts w:cs="Arial"/>
                <w:sz w:val="20"/>
                <w:szCs w:val="20"/>
              </w:rPr>
              <w:t xml:space="preserve">Δαπάνες οικονομικής υποστήριξης νέων πρωτοβουλιών, για ανάπτυξη στρατηγικών συνεργασιών στο διεθνή χώρο,   δαπάνες για έκτακτες δραστηριότητες που προκύπτουν κάθε χρόνο, λόγω της επέκτασης της διεθνούς συνεργασίας, δύναται να καλύπτονται από την πρόνοια του άρθρου. </w:t>
            </w:r>
          </w:p>
        </w:tc>
      </w:tr>
      <w:tr w:rsidR="00DD1E0D" w:rsidRPr="00903F89" w14:paraId="43A94D58" w14:textId="77777777" w:rsidTr="007353AA">
        <w:tc>
          <w:tcPr>
            <w:tcW w:w="3244" w:type="dxa"/>
            <w:gridSpan w:val="3"/>
            <w:shd w:val="clear" w:color="auto" w:fill="auto"/>
          </w:tcPr>
          <w:p w14:paraId="6038CBF0" w14:textId="77777777" w:rsidR="00DD1E0D" w:rsidRPr="00903F89" w:rsidRDefault="00DD1E0D" w:rsidP="00903F89">
            <w:pPr>
              <w:jc w:val="both"/>
              <w:rPr>
                <w:rFonts w:cs="Arial"/>
                <w:b/>
                <w:sz w:val="20"/>
                <w:szCs w:val="20"/>
                <w:u w:val="single"/>
              </w:rPr>
            </w:pPr>
          </w:p>
        </w:tc>
        <w:tc>
          <w:tcPr>
            <w:tcW w:w="3382" w:type="dxa"/>
            <w:gridSpan w:val="4"/>
            <w:shd w:val="clear" w:color="auto" w:fill="auto"/>
          </w:tcPr>
          <w:p w14:paraId="7DF49844" w14:textId="77777777" w:rsidR="00DD1E0D" w:rsidRPr="00903F89" w:rsidRDefault="00DD1E0D" w:rsidP="00903F89">
            <w:pPr>
              <w:jc w:val="both"/>
              <w:rPr>
                <w:rFonts w:cs="Arial"/>
                <w:b/>
                <w:sz w:val="20"/>
                <w:szCs w:val="20"/>
                <w:u w:val="single"/>
              </w:rPr>
            </w:pPr>
          </w:p>
        </w:tc>
        <w:tc>
          <w:tcPr>
            <w:tcW w:w="4006" w:type="dxa"/>
            <w:shd w:val="clear" w:color="auto" w:fill="auto"/>
          </w:tcPr>
          <w:p w14:paraId="2B825FFE" w14:textId="77777777" w:rsidR="00DD1E0D" w:rsidRPr="00903F89" w:rsidRDefault="00DD1E0D" w:rsidP="00903F89">
            <w:pPr>
              <w:jc w:val="both"/>
              <w:rPr>
                <w:rFonts w:cs="Arial"/>
                <w:sz w:val="20"/>
                <w:szCs w:val="20"/>
              </w:rPr>
            </w:pPr>
          </w:p>
        </w:tc>
      </w:tr>
      <w:tr w:rsidR="00DD1E0D" w:rsidRPr="00903F89" w14:paraId="590C2158" w14:textId="77777777" w:rsidTr="007353AA">
        <w:tc>
          <w:tcPr>
            <w:tcW w:w="10632" w:type="dxa"/>
            <w:gridSpan w:val="8"/>
            <w:shd w:val="clear" w:color="auto" w:fill="auto"/>
          </w:tcPr>
          <w:p w14:paraId="43ACD8F6" w14:textId="2AD1435E" w:rsidR="00DD1E0D" w:rsidRPr="00903F89" w:rsidRDefault="00DD1E0D" w:rsidP="00903F89">
            <w:pPr>
              <w:jc w:val="both"/>
              <w:rPr>
                <w:rFonts w:eastAsia="Arial" w:cs="Arial"/>
                <w:b/>
                <w:bCs/>
                <w:sz w:val="20"/>
                <w:szCs w:val="20"/>
                <w:u w:val="single"/>
              </w:rPr>
            </w:pPr>
            <w:r w:rsidRPr="00903F89">
              <w:rPr>
                <w:rFonts w:cs="Arial"/>
                <w:b/>
                <w:bCs/>
                <w:sz w:val="20"/>
                <w:szCs w:val="20"/>
                <w:u w:val="single"/>
              </w:rPr>
              <w:t xml:space="preserve">Άρθρο 320 – Ωκεανογραφικό Κέντρο </w:t>
            </w:r>
            <w:r w:rsidR="008F26E9" w:rsidRPr="00903F89">
              <w:rPr>
                <w:rFonts w:cs="Arial"/>
                <w:b/>
                <w:bCs/>
                <w:sz w:val="20"/>
                <w:szCs w:val="20"/>
                <w:u w:val="single"/>
              </w:rPr>
              <w:t>– €0</w:t>
            </w:r>
          </w:p>
        </w:tc>
      </w:tr>
      <w:tr w:rsidR="00DD1E0D" w:rsidRPr="00903F89" w14:paraId="43AD70FB" w14:textId="77777777" w:rsidTr="007353AA">
        <w:tc>
          <w:tcPr>
            <w:tcW w:w="3244" w:type="dxa"/>
            <w:gridSpan w:val="3"/>
            <w:shd w:val="clear" w:color="auto" w:fill="auto"/>
          </w:tcPr>
          <w:p w14:paraId="692988B3" w14:textId="77777777" w:rsidR="00DD1E0D" w:rsidRPr="00903F89" w:rsidRDefault="00DD1E0D" w:rsidP="00903F89">
            <w:pPr>
              <w:jc w:val="both"/>
              <w:rPr>
                <w:rFonts w:cs="Arial"/>
                <w:b/>
                <w:sz w:val="20"/>
                <w:szCs w:val="20"/>
                <w:u w:val="single"/>
              </w:rPr>
            </w:pPr>
          </w:p>
        </w:tc>
        <w:tc>
          <w:tcPr>
            <w:tcW w:w="7388" w:type="dxa"/>
            <w:gridSpan w:val="5"/>
            <w:shd w:val="clear" w:color="auto" w:fill="auto"/>
          </w:tcPr>
          <w:p w14:paraId="14E8D7DA" w14:textId="29699F3E" w:rsidR="00DD1E0D" w:rsidRPr="00903F89" w:rsidRDefault="00DD1E0D" w:rsidP="00903F89">
            <w:pPr>
              <w:jc w:val="both"/>
              <w:rPr>
                <w:rFonts w:cs="Arial"/>
                <w:b/>
                <w:i/>
                <w:sz w:val="20"/>
                <w:szCs w:val="20"/>
                <w:u w:val="single"/>
              </w:rPr>
            </w:pPr>
          </w:p>
        </w:tc>
      </w:tr>
      <w:tr w:rsidR="00DD1E0D" w:rsidRPr="00903F89" w14:paraId="6B7A924D" w14:textId="77777777" w:rsidTr="008F26E9">
        <w:trPr>
          <w:trHeight w:val="302"/>
        </w:trPr>
        <w:tc>
          <w:tcPr>
            <w:tcW w:w="10632" w:type="dxa"/>
            <w:gridSpan w:val="8"/>
            <w:shd w:val="clear" w:color="auto" w:fill="auto"/>
          </w:tcPr>
          <w:p w14:paraId="5A18261A" w14:textId="3973138A" w:rsidR="00DD1E0D" w:rsidRPr="00903F89" w:rsidRDefault="0096769A" w:rsidP="00903F89">
            <w:pPr>
              <w:jc w:val="both"/>
              <w:rPr>
                <w:rFonts w:eastAsia="Arial" w:cs="Arial"/>
                <w:sz w:val="20"/>
                <w:szCs w:val="20"/>
              </w:rPr>
            </w:pPr>
            <w:r w:rsidRPr="0096769A">
              <w:rPr>
                <w:rFonts w:cs="Arial"/>
                <w:sz w:val="20"/>
                <w:szCs w:val="20"/>
              </w:rPr>
              <w:t xml:space="preserve">Κατάργηση </w:t>
            </w:r>
            <w:r w:rsidR="00160872">
              <w:rPr>
                <w:rFonts w:cs="Arial"/>
                <w:sz w:val="20"/>
                <w:szCs w:val="20"/>
              </w:rPr>
              <w:t>ά</w:t>
            </w:r>
            <w:r w:rsidRPr="0096769A">
              <w:rPr>
                <w:rFonts w:cs="Arial"/>
                <w:sz w:val="20"/>
                <w:szCs w:val="20"/>
              </w:rPr>
              <w:t>ρθρου. Δαπάνες του Ωκεανογραφικού Κέντρου καλύπτονται από τις πρόνοιες των επιμέρους άρθρων του Προϋπολογισμού του Πανεπιστημίου Κύπρου (Ομάδες 100 - 400), ανάλογα με τη φύση των δαπανών του.</w:t>
            </w:r>
          </w:p>
        </w:tc>
      </w:tr>
      <w:tr w:rsidR="00DD1E0D" w:rsidRPr="00903F89" w14:paraId="1FB3E478" w14:textId="77777777" w:rsidTr="007353AA">
        <w:trPr>
          <w:trHeight w:val="80"/>
        </w:trPr>
        <w:tc>
          <w:tcPr>
            <w:tcW w:w="10632" w:type="dxa"/>
            <w:gridSpan w:val="8"/>
            <w:shd w:val="clear" w:color="auto" w:fill="auto"/>
          </w:tcPr>
          <w:p w14:paraId="42004716" w14:textId="77777777" w:rsidR="00DD1E0D" w:rsidRPr="00903F89" w:rsidRDefault="00DD1E0D" w:rsidP="00903F89">
            <w:pPr>
              <w:jc w:val="both"/>
              <w:rPr>
                <w:rFonts w:cs="Arial"/>
                <w:sz w:val="20"/>
                <w:szCs w:val="20"/>
              </w:rPr>
            </w:pPr>
          </w:p>
        </w:tc>
      </w:tr>
      <w:tr w:rsidR="00DD1E0D" w:rsidRPr="00903F89" w14:paraId="629BBE0A" w14:textId="77777777" w:rsidTr="007353AA">
        <w:tc>
          <w:tcPr>
            <w:tcW w:w="10632" w:type="dxa"/>
            <w:gridSpan w:val="8"/>
            <w:shd w:val="clear" w:color="auto" w:fill="auto"/>
          </w:tcPr>
          <w:p w14:paraId="7B540DA0" w14:textId="10421CE3" w:rsidR="00DD1E0D" w:rsidRPr="00903F89" w:rsidRDefault="00DD1E0D" w:rsidP="00903F89">
            <w:pPr>
              <w:jc w:val="both"/>
              <w:rPr>
                <w:rFonts w:eastAsia="Arial" w:cs="Arial"/>
                <w:b/>
                <w:bCs/>
                <w:sz w:val="20"/>
                <w:szCs w:val="20"/>
                <w:u w:val="single"/>
              </w:rPr>
            </w:pPr>
            <w:bookmarkStart w:id="43" w:name="_Hlk86143238"/>
            <w:r w:rsidRPr="00903F89">
              <w:rPr>
                <w:rFonts w:cs="Arial"/>
                <w:b/>
                <w:bCs/>
                <w:sz w:val="20"/>
                <w:szCs w:val="20"/>
                <w:u w:val="single"/>
              </w:rPr>
              <w:t>Άρθρο 322 – Πρόγραμμα Σχολικής Εμπειρίας και Πρακτική Άσκηση των Φοιτητών του Πανεπιστημίου – €</w:t>
            </w:r>
            <w:r w:rsidR="00845999" w:rsidRPr="00903F89">
              <w:rPr>
                <w:rFonts w:cs="Arial"/>
                <w:b/>
                <w:bCs/>
                <w:sz w:val="20"/>
                <w:szCs w:val="20"/>
                <w:u w:val="single"/>
              </w:rPr>
              <w:t>147.790</w:t>
            </w:r>
          </w:p>
        </w:tc>
      </w:tr>
      <w:bookmarkEnd w:id="43"/>
      <w:tr w:rsidR="00DD1E0D" w:rsidRPr="00903F89" w14:paraId="0D7C437C" w14:textId="77777777" w:rsidTr="007353AA">
        <w:tc>
          <w:tcPr>
            <w:tcW w:w="10632" w:type="dxa"/>
            <w:gridSpan w:val="8"/>
            <w:shd w:val="clear" w:color="auto" w:fill="auto"/>
          </w:tcPr>
          <w:p w14:paraId="59C59F47" w14:textId="77777777" w:rsidR="00DD1E0D" w:rsidRPr="00903F89" w:rsidRDefault="00DD1E0D" w:rsidP="00903F89">
            <w:pPr>
              <w:jc w:val="both"/>
              <w:rPr>
                <w:rFonts w:cs="Arial"/>
                <w:b/>
                <w:sz w:val="20"/>
                <w:szCs w:val="20"/>
                <w:u w:val="single"/>
              </w:rPr>
            </w:pPr>
          </w:p>
        </w:tc>
      </w:tr>
      <w:tr w:rsidR="00DD1E0D" w:rsidRPr="00903F89" w14:paraId="23D46C13" w14:textId="77777777" w:rsidTr="007353AA">
        <w:tc>
          <w:tcPr>
            <w:tcW w:w="10632" w:type="dxa"/>
            <w:gridSpan w:val="8"/>
            <w:shd w:val="clear" w:color="auto" w:fill="auto"/>
          </w:tcPr>
          <w:p w14:paraId="2F7E8581" w14:textId="3C3CDD6B" w:rsidR="00DD1E0D" w:rsidRPr="00903F89" w:rsidRDefault="00DD1E0D" w:rsidP="00903F89">
            <w:pPr>
              <w:jc w:val="both"/>
              <w:rPr>
                <w:rFonts w:eastAsia="Arial" w:cs="Arial"/>
                <w:b/>
                <w:bCs/>
                <w:sz w:val="20"/>
                <w:szCs w:val="20"/>
                <w:u w:val="single"/>
              </w:rPr>
            </w:pPr>
            <w:r w:rsidRPr="00903F89">
              <w:rPr>
                <w:rFonts w:cs="Arial"/>
                <w:sz w:val="20"/>
                <w:szCs w:val="20"/>
              </w:rPr>
              <w:t>Η πρόνοια αφορά στο ποσό που θα καταβληθεί για την κάλυψη του κόστους της πρακτικής άσκησης των φοιτητών του Τμήματος Επιστημών της Αγωγής του Πανεπιστημίου σε σχολεία Δημοτικής Εκπαίδευσης (δημοτικά και νηπιαγωγεία), σύμφωνα με επιστολή του Υπουργείου Παιδείας, Πολιτισμού, Αθλητισμού και Νεολαίας, Διεύθυνση Δημοτικής Εκπαίδευσης, ημερ. 18/06/2009, κατά τη διάρκεια του έτους 202</w:t>
            </w:r>
            <w:r w:rsidR="00E41495" w:rsidRPr="00903F89">
              <w:rPr>
                <w:rFonts w:cs="Arial"/>
                <w:sz w:val="20"/>
                <w:szCs w:val="20"/>
              </w:rPr>
              <w:t>2</w:t>
            </w:r>
            <w:r w:rsidRPr="00903F89">
              <w:rPr>
                <w:rFonts w:cs="Arial"/>
                <w:sz w:val="20"/>
                <w:szCs w:val="20"/>
              </w:rPr>
              <w:t>, καθώς και του κόστους της πρακτικής άσκησης (</w:t>
            </w:r>
            <w:r w:rsidRPr="00903F89">
              <w:rPr>
                <w:rFonts w:cs="Arial"/>
                <w:sz w:val="20"/>
                <w:szCs w:val="20"/>
                <w:lang w:val="en-US"/>
              </w:rPr>
              <w:t>internships</w:t>
            </w:r>
            <w:r w:rsidRPr="00903F89">
              <w:rPr>
                <w:rFonts w:cs="Arial"/>
                <w:sz w:val="20"/>
                <w:szCs w:val="20"/>
              </w:rPr>
              <w:t>) των φοιτητών του αυτοχρηματοδοτούμενου προγράμματος ΤΙΜΕ ΜΒΕ στο εξωτερικό.</w:t>
            </w:r>
          </w:p>
        </w:tc>
      </w:tr>
      <w:tr w:rsidR="00DD1E0D" w:rsidRPr="00903F89" w14:paraId="12ED5C97" w14:textId="77777777" w:rsidTr="007353AA">
        <w:tc>
          <w:tcPr>
            <w:tcW w:w="10632" w:type="dxa"/>
            <w:gridSpan w:val="8"/>
            <w:shd w:val="clear" w:color="auto" w:fill="auto"/>
          </w:tcPr>
          <w:p w14:paraId="4DCED5D0" w14:textId="77777777" w:rsidR="00DD1E0D" w:rsidRPr="00903F89" w:rsidRDefault="00DD1E0D" w:rsidP="00903F89">
            <w:pPr>
              <w:jc w:val="both"/>
              <w:rPr>
                <w:rFonts w:cs="Arial"/>
                <w:b/>
                <w:bCs/>
                <w:sz w:val="20"/>
                <w:szCs w:val="20"/>
                <w:u w:val="single"/>
              </w:rPr>
            </w:pPr>
          </w:p>
        </w:tc>
      </w:tr>
      <w:tr w:rsidR="00F51536" w:rsidRPr="00903F89" w14:paraId="0D43FA7C" w14:textId="77777777" w:rsidTr="000F6D80">
        <w:tc>
          <w:tcPr>
            <w:tcW w:w="10632" w:type="dxa"/>
            <w:gridSpan w:val="8"/>
            <w:shd w:val="clear" w:color="auto" w:fill="auto"/>
          </w:tcPr>
          <w:p w14:paraId="0C900CB4" w14:textId="3E03F448" w:rsidR="00F51536" w:rsidRPr="00903F89" w:rsidRDefault="00F51536" w:rsidP="00903F89">
            <w:pPr>
              <w:jc w:val="both"/>
              <w:rPr>
                <w:rFonts w:cs="Arial"/>
                <w:b/>
                <w:bCs/>
                <w:sz w:val="20"/>
                <w:szCs w:val="20"/>
                <w:u w:val="single"/>
              </w:rPr>
            </w:pPr>
            <w:r w:rsidRPr="00903F89">
              <w:rPr>
                <w:rFonts w:cs="Arial"/>
                <w:b/>
                <w:bCs/>
                <w:sz w:val="20"/>
                <w:szCs w:val="20"/>
                <w:u w:val="single"/>
              </w:rPr>
              <w:t>Άρθρο 323 – Πρόγραμμα Κλινικής Εκπαίδευσης Φοιτητών Ιατρικής Σχολής – €250.000</w:t>
            </w:r>
          </w:p>
        </w:tc>
      </w:tr>
      <w:tr w:rsidR="00F51536" w:rsidRPr="00903F89" w14:paraId="72750823" w14:textId="77777777" w:rsidTr="007353AA">
        <w:tc>
          <w:tcPr>
            <w:tcW w:w="10632" w:type="dxa"/>
            <w:gridSpan w:val="8"/>
            <w:shd w:val="clear" w:color="auto" w:fill="auto"/>
          </w:tcPr>
          <w:p w14:paraId="340D0491" w14:textId="77777777" w:rsidR="00F51536" w:rsidRPr="00903F89" w:rsidRDefault="00F51536" w:rsidP="00903F89">
            <w:pPr>
              <w:jc w:val="both"/>
              <w:rPr>
                <w:rFonts w:cs="Arial"/>
                <w:b/>
                <w:bCs/>
                <w:sz w:val="20"/>
                <w:szCs w:val="20"/>
                <w:u w:val="single"/>
              </w:rPr>
            </w:pPr>
          </w:p>
        </w:tc>
      </w:tr>
      <w:tr w:rsidR="00903F89" w:rsidRPr="00903F89" w14:paraId="323EFC86" w14:textId="77777777" w:rsidTr="00380448">
        <w:tc>
          <w:tcPr>
            <w:tcW w:w="10632" w:type="dxa"/>
            <w:gridSpan w:val="8"/>
            <w:shd w:val="clear" w:color="auto" w:fill="auto"/>
          </w:tcPr>
          <w:p w14:paraId="203527A7" w14:textId="70BE9327" w:rsidR="00F51536" w:rsidRPr="00903F89" w:rsidRDefault="0096769A" w:rsidP="00903F89">
            <w:pPr>
              <w:jc w:val="both"/>
              <w:rPr>
                <w:rFonts w:eastAsia="Arial" w:cs="Arial"/>
                <w:sz w:val="20"/>
                <w:szCs w:val="20"/>
              </w:rPr>
            </w:pPr>
            <w:r w:rsidRPr="0096769A">
              <w:rPr>
                <w:rFonts w:cs="Arial"/>
                <w:sz w:val="20"/>
                <w:szCs w:val="20"/>
              </w:rPr>
              <w:t xml:space="preserve">Μετονομασία </w:t>
            </w:r>
            <w:r w:rsidR="00160872">
              <w:rPr>
                <w:rFonts w:cs="Arial"/>
                <w:sz w:val="20"/>
                <w:szCs w:val="20"/>
              </w:rPr>
              <w:t>ά</w:t>
            </w:r>
            <w:r w:rsidRPr="0096769A">
              <w:rPr>
                <w:rFonts w:cs="Arial"/>
                <w:sz w:val="20"/>
                <w:szCs w:val="20"/>
              </w:rPr>
              <w:t>ρθρου</w:t>
            </w:r>
            <w:r w:rsidR="00614B7B">
              <w:rPr>
                <w:rFonts w:cs="Arial"/>
                <w:sz w:val="20"/>
                <w:szCs w:val="20"/>
              </w:rPr>
              <w:t>,</w:t>
            </w:r>
            <w:r w:rsidRPr="0096769A">
              <w:rPr>
                <w:rFonts w:cs="Arial"/>
                <w:sz w:val="20"/>
                <w:szCs w:val="20"/>
              </w:rPr>
              <w:t xml:space="preserve"> από «Τέλη Παροχής Υπηρεσιών Κλινικής Άσκησης Φοιτητών Ιατρικής Σχολής» σε «Πρόγραμμα Κλινικής Εκπαίδευσης Φοιτητών Ιατρικής Σχολής».</w:t>
            </w:r>
          </w:p>
        </w:tc>
      </w:tr>
      <w:tr w:rsidR="00903F89" w:rsidRPr="00903F89" w14:paraId="1DF9D1BF" w14:textId="77777777" w:rsidTr="00380448">
        <w:tc>
          <w:tcPr>
            <w:tcW w:w="10632" w:type="dxa"/>
            <w:gridSpan w:val="8"/>
            <w:shd w:val="clear" w:color="auto" w:fill="auto"/>
          </w:tcPr>
          <w:p w14:paraId="599E0384" w14:textId="77777777" w:rsidR="00F51536" w:rsidRPr="00903F89" w:rsidRDefault="00F51536" w:rsidP="00903F89">
            <w:pPr>
              <w:jc w:val="both"/>
              <w:rPr>
                <w:rFonts w:cs="Arial"/>
                <w:sz w:val="20"/>
                <w:szCs w:val="20"/>
              </w:rPr>
            </w:pPr>
          </w:p>
        </w:tc>
      </w:tr>
      <w:tr w:rsidR="00DD1E0D" w:rsidRPr="00903F89" w14:paraId="650E0DD8" w14:textId="77777777" w:rsidTr="007353AA">
        <w:tc>
          <w:tcPr>
            <w:tcW w:w="10632" w:type="dxa"/>
            <w:gridSpan w:val="8"/>
            <w:shd w:val="clear" w:color="auto" w:fill="auto"/>
          </w:tcPr>
          <w:p w14:paraId="01D86101" w14:textId="7214BC75" w:rsidR="00DD1E0D" w:rsidRPr="00903F89" w:rsidRDefault="00F51536" w:rsidP="00903F89">
            <w:pPr>
              <w:jc w:val="both"/>
              <w:rPr>
                <w:rFonts w:cs="Arial"/>
                <w:sz w:val="20"/>
                <w:szCs w:val="20"/>
              </w:rPr>
            </w:pPr>
            <w:bookmarkStart w:id="44" w:name="_Hlk88123238"/>
            <w:r w:rsidRPr="00903F89">
              <w:rPr>
                <w:rFonts w:cs="Arial"/>
                <w:sz w:val="20"/>
                <w:szCs w:val="20"/>
              </w:rPr>
              <w:t>Το κόστος το οποίο αφορά στις αμοιβές  Νοσοκομειακών Ιατρών για Πανεπιστημιακή Διδασκαλία, στο πλαίσιο του Προγράμματος Κλινικής Εκπαίδευσης των Φοιτητών της Ιατρικής Σχολής του ΠΚ, τις οποίες καταβάλλει το Πανεπιστήμιο Κύπρου (ΠΚ) προς τον ΟΚΥπΥ βάσει του Συμφωνητικού Συνεργασίας μεταξύ του ΟΚΥπΥ και του ΠΚ ημερ.</w:t>
            </w:r>
            <w:r w:rsidR="00A85AF3">
              <w:rPr>
                <w:rFonts w:cs="Arial"/>
                <w:sz w:val="20"/>
                <w:szCs w:val="20"/>
              </w:rPr>
              <w:t xml:space="preserve"> </w:t>
            </w:r>
            <w:r w:rsidRPr="00903F89">
              <w:rPr>
                <w:rFonts w:cs="Arial"/>
                <w:sz w:val="20"/>
                <w:szCs w:val="20"/>
              </w:rPr>
              <w:t>27/10/2021, χρεώνεται έναντι των πιστώσεων του παρόντος άρθρου.</w:t>
            </w:r>
            <w:bookmarkEnd w:id="44"/>
          </w:p>
        </w:tc>
      </w:tr>
      <w:tr w:rsidR="00F51536" w:rsidRPr="00903F89" w14:paraId="5ECFF781" w14:textId="77777777" w:rsidTr="007353AA">
        <w:tc>
          <w:tcPr>
            <w:tcW w:w="10632" w:type="dxa"/>
            <w:gridSpan w:val="8"/>
            <w:shd w:val="clear" w:color="auto" w:fill="auto"/>
          </w:tcPr>
          <w:p w14:paraId="534024C8" w14:textId="77777777" w:rsidR="00F51536" w:rsidRPr="00903F89" w:rsidRDefault="00F51536" w:rsidP="00903F89">
            <w:pPr>
              <w:jc w:val="both"/>
              <w:rPr>
                <w:rFonts w:cs="Arial"/>
                <w:sz w:val="20"/>
                <w:szCs w:val="20"/>
              </w:rPr>
            </w:pPr>
          </w:p>
        </w:tc>
      </w:tr>
      <w:tr w:rsidR="00903F89" w:rsidRPr="00903F89" w14:paraId="77A8121B" w14:textId="77777777" w:rsidTr="007353AA">
        <w:tc>
          <w:tcPr>
            <w:tcW w:w="10632" w:type="dxa"/>
            <w:gridSpan w:val="8"/>
            <w:shd w:val="clear" w:color="auto" w:fill="auto"/>
          </w:tcPr>
          <w:p w14:paraId="1E72C6E2" w14:textId="3A58D209" w:rsidR="00F51536" w:rsidRPr="00903F89" w:rsidRDefault="00F51536" w:rsidP="00903F89">
            <w:pPr>
              <w:autoSpaceDE w:val="0"/>
              <w:autoSpaceDN w:val="0"/>
              <w:adjustRightInd w:val="0"/>
              <w:jc w:val="both"/>
              <w:rPr>
                <w:rFonts w:eastAsiaTheme="minorHAnsi" w:cs="Arial"/>
                <w:sz w:val="20"/>
                <w:szCs w:val="20"/>
              </w:rPr>
            </w:pPr>
            <w:r w:rsidRPr="00903F89">
              <w:rPr>
                <w:rFonts w:eastAsiaTheme="minorHAnsi" w:cs="Arial"/>
                <w:sz w:val="20"/>
                <w:szCs w:val="20"/>
              </w:rPr>
              <w:t xml:space="preserve">Για κάθε τρεις (3) ώρες εποπτείας φοιτητών (έμμεση διδασκαλία) κατά τη διάρκεια του συνήθους χρόνου εργασίας του Νοσοκομειακού Ιατρού, ο ΟΚΥπΥ θα αποζημιώνεται για μία (1) ώρα άμεσης διδασκαλίας απασχόλησης Ειδικού Επιστήμονα. Ο χρόνος της </w:t>
            </w:r>
            <w:r w:rsidR="003303AF">
              <w:rPr>
                <w:rFonts w:eastAsiaTheme="minorHAnsi" w:cs="Arial"/>
                <w:sz w:val="20"/>
                <w:szCs w:val="20"/>
              </w:rPr>
              <w:t>μίας (1)</w:t>
            </w:r>
            <w:r w:rsidRPr="00903F89">
              <w:rPr>
                <w:rFonts w:eastAsiaTheme="minorHAnsi" w:cs="Arial"/>
                <w:sz w:val="20"/>
                <w:szCs w:val="20"/>
              </w:rPr>
              <w:t xml:space="preserve"> ώρας υπολογίζεται με βάση την απαιτούμενη προετοιμασία του Νοσοκομειακού Ιατρού εκτός ωρών εργασίας.  Για κάθε ώρα διάλεξης είτε στο ΠΚ είτε εντός του Νοσηλευτηρίου σε χρόνο εκτός ωρών εργασίας του εμπλεκόμενου Νοσοκομειακού Ιατρού, ο ΟΚΥπΥ θα αποζημιώνεται για μία (1) ώρα απασχόλησης Ειδικού Επιστήμονα.  Το ωριαίο τέλος αμοιβής για Ειδικούς Επιστήμονες ανέρχεται στα €60 και μεταβάλλεται με βάση τους κανόνες αποζημίωσης Ειδικών Επιστημόνων του ΠΚ. </w:t>
            </w:r>
          </w:p>
          <w:p w14:paraId="446BD097" w14:textId="77777777" w:rsidR="00F51536" w:rsidRPr="00903F89" w:rsidRDefault="00F51536" w:rsidP="00903F89">
            <w:pPr>
              <w:autoSpaceDE w:val="0"/>
              <w:autoSpaceDN w:val="0"/>
              <w:adjustRightInd w:val="0"/>
              <w:jc w:val="both"/>
              <w:rPr>
                <w:rFonts w:eastAsiaTheme="minorHAnsi" w:cs="Arial"/>
                <w:sz w:val="20"/>
                <w:szCs w:val="20"/>
              </w:rPr>
            </w:pPr>
          </w:p>
          <w:p w14:paraId="006D2EC6" w14:textId="5F38572C" w:rsidR="00F51536" w:rsidRPr="00903F89" w:rsidRDefault="00F51536" w:rsidP="00903F89">
            <w:pPr>
              <w:autoSpaceDE w:val="0"/>
              <w:autoSpaceDN w:val="0"/>
              <w:adjustRightInd w:val="0"/>
              <w:jc w:val="both"/>
              <w:rPr>
                <w:rFonts w:eastAsiaTheme="minorHAnsi" w:cs="Arial"/>
                <w:sz w:val="20"/>
                <w:szCs w:val="20"/>
              </w:rPr>
            </w:pPr>
            <w:r w:rsidRPr="00903F89">
              <w:rPr>
                <w:rFonts w:eastAsiaTheme="minorHAnsi" w:cs="Arial"/>
                <w:sz w:val="20"/>
                <w:szCs w:val="20"/>
              </w:rPr>
              <w:t>Το ωριαίο τέλος θα χρησιμοποιείται για σκοπούς υπολογισμού της συνολικής αποζημίωσης του ΟΚΥπΥ.</w:t>
            </w:r>
          </w:p>
        </w:tc>
      </w:tr>
      <w:tr w:rsidR="00DD1E0D" w:rsidRPr="00903F89" w14:paraId="6F879D0E" w14:textId="77777777" w:rsidTr="007353AA">
        <w:tc>
          <w:tcPr>
            <w:tcW w:w="10632" w:type="dxa"/>
            <w:gridSpan w:val="8"/>
            <w:shd w:val="clear" w:color="auto" w:fill="auto"/>
          </w:tcPr>
          <w:p w14:paraId="7B43B51A" w14:textId="77777777" w:rsidR="00DD1E0D" w:rsidRPr="00903F89" w:rsidRDefault="00DD1E0D" w:rsidP="00903F89">
            <w:pPr>
              <w:tabs>
                <w:tab w:val="left" w:pos="2280"/>
              </w:tabs>
              <w:jc w:val="both"/>
              <w:rPr>
                <w:rFonts w:cs="Arial"/>
                <w:sz w:val="20"/>
                <w:szCs w:val="20"/>
              </w:rPr>
            </w:pPr>
          </w:p>
        </w:tc>
      </w:tr>
      <w:tr w:rsidR="00DD1E0D" w:rsidRPr="00903F89" w14:paraId="4799CE89" w14:textId="77777777" w:rsidTr="007353AA">
        <w:trPr>
          <w:trHeight w:val="124"/>
        </w:trPr>
        <w:tc>
          <w:tcPr>
            <w:tcW w:w="10632" w:type="dxa"/>
            <w:gridSpan w:val="8"/>
            <w:shd w:val="clear" w:color="auto" w:fill="auto"/>
          </w:tcPr>
          <w:p w14:paraId="33290461" w14:textId="6EB20314"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324 – Έργα και Σχέδια Συγχρηματοδοτούμενα από Κοινοτικούς Πόρους (Δαπάνες από Χρηματοδότηση Πανεπιστημίου) – €</w:t>
            </w:r>
            <w:r w:rsidR="008F26E9" w:rsidRPr="00903F89">
              <w:rPr>
                <w:rFonts w:cs="Arial"/>
                <w:b/>
                <w:bCs/>
                <w:sz w:val="20"/>
                <w:szCs w:val="20"/>
                <w:u w:val="single"/>
              </w:rPr>
              <w:t>0</w:t>
            </w:r>
          </w:p>
        </w:tc>
      </w:tr>
      <w:tr w:rsidR="00DD1E0D" w:rsidRPr="00903F89" w14:paraId="0311A60F" w14:textId="77777777" w:rsidTr="007353AA">
        <w:trPr>
          <w:trHeight w:val="124"/>
        </w:trPr>
        <w:tc>
          <w:tcPr>
            <w:tcW w:w="10632" w:type="dxa"/>
            <w:gridSpan w:val="8"/>
            <w:shd w:val="clear" w:color="auto" w:fill="auto"/>
          </w:tcPr>
          <w:p w14:paraId="47C8F2A6" w14:textId="77777777" w:rsidR="00DD1E0D" w:rsidRPr="00903F89" w:rsidRDefault="00DD1E0D" w:rsidP="00903F89">
            <w:pPr>
              <w:jc w:val="both"/>
              <w:rPr>
                <w:rFonts w:cs="Arial"/>
                <w:b/>
                <w:sz w:val="20"/>
                <w:szCs w:val="20"/>
                <w:u w:val="single"/>
              </w:rPr>
            </w:pPr>
          </w:p>
        </w:tc>
      </w:tr>
      <w:tr w:rsidR="00DD1E0D" w:rsidRPr="00903F89" w14:paraId="3157F1DD" w14:textId="77777777" w:rsidTr="007353AA">
        <w:trPr>
          <w:trHeight w:val="124"/>
        </w:trPr>
        <w:tc>
          <w:tcPr>
            <w:tcW w:w="10632" w:type="dxa"/>
            <w:gridSpan w:val="8"/>
            <w:shd w:val="clear" w:color="auto" w:fill="auto"/>
          </w:tcPr>
          <w:p w14:paraId="02988CA3" w14:textId="75491339" w:rsidR="00DD1E0D" w:rsidRPr="00903F89" w:rsidRDefault="0096769A" w:rsidP="00903F89">
            <w:pPr>
              <w:jc w:val="both"/>
              <w:rPr>
                <w:rFonts w:eastAsia="Arial" w:cs="Arial"/>
                <w:sz w:val="20"/>
                <w:szCs w:val="20"/>
              </w:rPr>
            </w:pPr>
            <w:r w:rsidRPr="0096769A">
              <w:rPr>
                <w:rFonts w:cs="Arial"/>
                <w:sz w:val="20"/>
                <w:szCs w:val="20"/>
              </w:rPr>
              <w:t xml:space="preserve">Κατάργηση </w:t>
            </w:r>
            <w:r w:rsidR="00614B7B">
              <w:rPr>
                <w:rFonts w:cs="Arial"/>
                <w:sz w:val="20"/>
                <w:szCs w:val="20"/>
              </w:rPr>
              <w:t>ά</w:t>
            </w:r>
            <w:r w:rsidRPr="0096769A">
              <w:rPr>
                <w:rFonts w:cs="Arial"/>
                <w:sz w:val="20"/>
                <w:szCs w:val="20"/>
              </w:rPr>
              <w:t>ρθρου. Οι δαπάνες για το 2022 εμφανίζονται στο Άρθρο 621</w:t>
            </w:r>
            <w:r w:rsidR="00614B7B">
              <w:rPr>
                <w:rFonts w:cs="Arial"/>
                <w:sz w:val="20"/>
                <w:szCs w:val="20"/>
              </w:rPr>
              <w:t>,</w:t>
            </w:r>
            <w:r w:rsidRPr="0096769A">
              <w:rPr>
                <w:rFonts w:cs="Arial"/>
                <w:sz w:val="20"/>
                <w:szCs w:val="20"/>
              </w:rPr>
              <w:t xml:space="preserve"> με τίτλο «Έργα και Σχέδια Συγχρηματοδοτούμενα από Πανεπιστήμιο Κύπρου) - ΚΟΙΟΣ», στην Υποομάδα 620 «Δαπάνες Συγχρηματοδοτούμενες από Πανεπιστήμιο Κύπρου»).</w:t>
            </w:r>
          </w:p>
        </w:tc>
      </w:tr>
      <w:tr w:rsidR="00DD1E0D" w:rsidRPr="00903F89" w14:paraId="6D842F25" w14:textId="77777777" w:rsidTr="007353AA">
        <w:trPr>
          <w:trHeight w:val="212"/>
        </w:trPr>
        <w:tc>
          <w:tcPr>
            <w:tcW w:w="10632" w:type="dxa"/>
            <w:gridSpan w:val="8"/>
            <w:shd w:val="clear" w:color="auto" w:fill="auto"/>
          </w:tcPr>
          <w:p w14:paraId="77A77018" w14:textId="1701F5ED" w:rsidR="00DD1E0D" w:rsidRPr="00903F89" w:rsidRDefault="00DD1E0D" w:rsidP="00903F89">
            <w:pPr>
              <w:jc w:val="both"/>
              <w:rPr>
                <w:rFonts w:eastAsia="Arial" w:cs="Arial"/>
                <w:b/>
                <w:bCs/>
                <w:sz w:val="20"/>
                <w:szCs w:val="20"/>
                <w:u w:val="single"/>
              </w:rPr>
            </w:pPr>
          </w:p>
        </w:tc>
      </w:tr>
      <w:tr w:rsidR="00DD1E0D" w:rsidRPr="00903F89" w14:paraId="50246AB1" w14:textId="77777777" w:rsidTr="007353AA">
        <w:trPr>
          <w:trHeight w:val="124"/>
        </w:trPr>
        <w:tc>
          <w:tcPr>
            <w:tcW w:w="10632" w:type="dxa"/>
            <w:gridSpan w:val="8"/>
            <w:shd w:val="clear" w:color="auto" w:fill="auto"/>
          </w:tcPr>
          <w:p w14:paraId="0068D0F1" w14:textId="68596B79" w:rsidR="00DD1E0D" w:rsidRPr="00903F89" w:rsidRDefault="00DD1E0D" w:rsidP="00903F89">
            <w:pPr>
              <w:jc w:val="both"/>
              <w:rPr>
                <w:rFonts w:cs="Arial"/>
                <w:b/>
                <w:bCs/>
                <w:sz w:val="20"/>
                <w:szCs w:val="20"/>
                <w:u w:val="single"/>
              </w:rPr>
            </w:pPr>
            <w:bookmarkStart w:id="45" w:name="_Hlk62827710"/>
            <w:r w:rsidRPr="00903F89">
              <w:rPr>
                <w:rFonts w:cs="Arial"/>
                <w:b/>
                <w:bCs/>
                <w:sz w:val="20"/>
                <w:szCs w:val="20"/>
                <w:u w:val="single"/>
              </w:rPr>
              <w:t>Άρθρο 325 – Χορηγίες προς Άλλες Ανεξάρτητες Οντότητες/</w:t>
            </w:r>
            <w:r w:rsidRPr="00903F89">
              <w:rPr>
                <w:rFonts w:eastAsia="Arial" w:cs="Arial"/>
                <w:b/>
                <w:bCs/>
                <w:sz w:val="20"/>
                <w:szCs w:val="20"/>
                <w:u w:val="single"/>
              </w:rPr>
              <w:t xml:space="preserve"> </w:t>
            </w:r>
            <w:r w:rsidRPr="00903F89">
              <w:rPr>
                <w:rFonts w:cs="Arial"/>
                <w:b/>
                <w:bCs/>
                <w:sz w:val="20"/>
                <w:szCs w:val="20"/>
                <w:u w:val="single"/>
              </w:rPr>
              <w:t>Σωματεία</w:t>
            </w:r>
            <w:r w:rsidRPr="00903F89">
              <w:rPr>
                <w:rFonts w:eastAsia="Arial" w:cs="Arial"/>
                <w:b/>
                <w:bCs/>
                <w:sz w:val="20"/>
                <w:szCs w:val="20"/>
                <w:u w:val="single"/>
              </w:rPr>
              <w:t xml:space="preserve">/ </w:t>
            </w:r>
            <w:r w:rsidRPr="00903F89">
              <w:rPr>
                <w:rFonts w:cs="Arial"/>
                <w:b/>
                <w:bCs/>
                <w:sz w:val="20"/>
                <w:szCs w:val="20"/>
                <w:u w:val="single"/>
              </w:rPr>
              <w:t>Ιδρύματα – €</w:t>
            </w:r>
            <w:r w:rsidR="008F26E9" w:rsidRPr="00903F89">
              <w:rPr>
                <w:rFonts w:cs="Arial"/>
                <w:b/>
                <w:bCs/>
                <w:sz w:val="20"/>
                <w:szCs w:val="20"/>
                <w:u w:val="single"/>
              </w:rPr>
              <w:t>1.187.318</w:t>
            </w:r>
          </w:p>
        </w:tc>
      </w:tr>
      <w:tr w:rsidR="00DD1E0D" w:rsidRPr="00903F89" w14:paraId="3E3DC77D" w14:textId="77777777" w:rsidTr="007353AA">
        <w:tc>
          <w:tcPr>
            <w:tcW w:w="2721" w:type="dxa"/>
            <w:gridSpan w:val="2"/>
            <w:shd w:val="clear" w:color="auto" w:fill="auto"/>
          </w:tcPr>
          <w:p w14:paraId="1854BE71" w14:textId="77777777" w:rsidR="00DD1E0D" w:rsidRPr="00903F89" w:rsidRDefault="00DD1E0D" w:rsidP="00903F89">
            <w:pPr>
              <w:jc w:val="both"/>
              <w:rPr>
                <w:rFonts w:cs="Arial"/>
                <w:b/>
                <w:sz w:val="20"/>
                <w:szCs w:val="20"/>
                <w:u w:val="single"/>
              </w:rPr>
            </w:pPr>
          </w:p>
        </w:tc>
        <w:tc>
          <w:tcPr>
            <w:tcW w:w="2559" w:type="dxa"/>
            <w:gridSpan w:val="2"/>
            <w:shd w:val="clear" w:color="auto" w:fill="auto"/>
          </w:tcPr>
          <w:p w14:paraId="061AB93D" w14:textId="77777777" w:rsidR="00DD1E0D" w:rsidRPr="00903F89" w:rsidRDefault="00DD1E0D" w:rsidP="00903F89">
            <w:pPr>
              <w:jc w:val="both"/>
              <w:rPr>
                <w:rFonts w:cs="Arial"/>
                <w:bCs/>
                <w:sz w:val="20"/>
                <w:szCs w:val="20"/>
              </w:rPr>
            </w:pPr>
          </w:p>
        </w:tc>
        <w:tc>
          <w:tcPr>
            <w:tcW w:w="5352" w:type="dxa"/>
            <w:gridSpan w:val="4"/>
          </w:tcPr>
          <w:p w14:paraId="4A4117E0" w14:textId="77777777" w:rsidR="00DD1E0D" w:rsidRPr="00903F89" w:rsidRDefault="00DD1E0D" w:rsidP="00903F89">
            <w:pPr>
              <w:jc w:val="both"/>
              <w:rPr>
                <w:rFonts w:cs="Arial"/>
                <w:b/>
                <w:sz w:val="20"/>
                <w:szCs w:val="20"/>
                <w:u w:val="single"/>
              </w:rPr>
            </w:pPr>
          </w:p>
        </w:tc>
      </w:tr>
      <w:tr w:rsidR="00DD1E0D" w:rsidRPr="00903F89" w14:paraId="027D0E56" w14:textId="77777777" w:rsidTr="007353AA">
        <w:tc>
          <w:tcPr>
            <w:tcW w:w="10632" w:type="dxa"/>
            <w:gridSpan w:val="8"/>
            <w:shd w:val="clear" w:color="auto" w:fill="auto"/>
          </w:tcPr>
          <w:p w14:paraId="6EA0FBF0" w14:textId="58DA7CAE" w:rsidR="00DD1E0D" w:rsidRPr="00903F89" w:rsidRDefault="00DD1E0D" w:rsidP="00903F89">
            <w:pPr>
              <w:jc w:val="both"/>
              <w:rPr>
                <w:rFonts w:cs="Arial"/>
                <w:sz w:val="20"/>
                <w:szCs w:val="20"/>
              </w:rPr>
            </w:pPr>
            <w:r w:rsidRPr="00903F89">
              <w:rPr>
                <w:rFonts w:cs="Arial"/>
                <w:sz w:val="20"/>
                <w:szCs w:val="20"/>
              </w:rPr>
              <w:t>Ο Προϋπολογισμός του Πανεπιστημίου Κύπρου για το 202</w:t>
            </w:r>
            <w:r w:rsidR="00E41495" w:rsidRPr="00903F89">
              <w:rPr>
                <w:rFonts w:cs="Arial"/>
                <w:sz w:val="20"/>
                <w:szCs w:val="20"/>
              </w:rPr>
              <w:t>2</w:t>
            </w:r>
            <w:r w:rsidRPr="00903F89">
              <w:rPr>
                <w:rFonts w:cs="Arial"/>
                <w:sz w:val="20"/>
                <w:szCs w:val="20"/>
              </w:rPr>
              <w:t xml:space="preserve"> περιλαμβάνει πρόνοιες για τη διάθεση χρηματικών χορηγιών από έσοδα εκτός κρατικής χορηγίας προς τις εξής ανεξάρτητες οντότητες: </w:t>
            </w:r>
          </w:p>
          <w:p w14:paraId="30EE0A38" w14:textId="77777777" w:rsidR="00DD1E0D" w:rsidRPr="00903F89" w:rsidRDefault="00DD1E0D" w:rsidP="00903F89">
            <w:pPr>
              <w:jc w:val="both"/>
              <w:rPr>
                <w:rFonts w:cs="Arial"/>
                <w:sz w:val="20"/>
                <w:szCs w:val="20"/>
              </w:rPr>
            </w:pPr>
          </w:p>
          <w:p w14:paraId="370ACCB4" w14:textId="77777777" w:rsidR="00DD1E0D" w:rsidRPr="00903F89" w:rsidRDefault="00DD1E0D" w:rsidP="00903F89">
            <w:pPr>
              <w:pStyle w:val="ListParagraph"/>
              <w:numPr>
                <w:ilvl w:val="0"/>
                <w:numId w:val="33"/>
              </w:numPr>
              <w:jc w:val="both"/>
              <w:rPr>
                <w:rFonts w:cs="Arial"/>
                <w:sz w:val="20"/>
                <w:szCs w:val="20"/>
              </w:rPr>
            </w:pPr>
            <w:r w:rsidRPr="00903F89">
              <w:rPr>
                <w:rFonts w:cs="Arial"/>
                <w:sz w:val="20"/>
                <w:szCs w:val="20"/>
              </w:rPr>
              <w:t xml:space="preserve">Ραδιοφωνικό Σταθμό του Πανεπιστημίου Κύπρου, </w:t>
            </w:r>
          </w:p>
          <w:p w14:paraId="345BDE5F" w14:textId="77777777" w:rsidR="00DD1E0D" w:rsidRPr="00903F89" w:rsidRDefault="00DD1E0D" w:rsidP="00903F89">
            <w:pPr>
              <w:pStyle w:val="ListParagraph"/>
              <w:numPr>
                <w:ilvl w:val="0"/>
                <w:numId w:val="33"/>
              </w:numPr>
              <w:jc w:val="both"/>
              <w:rPr>
                <w:rFonts w:cs="Arial"/>
                <w:sz w:val="20"/>
                <w:szCs w:val="20"/>
              </w:rPr>
            </w:pPr>
            <w:r w:rsidRPr="00903F89">
              <w:rPr>
                <w:rFonts w:cs="Arial"/>
                <w:sz w:val="20"/>
                <w:szCs w:val="20"/>
              </w:rPr>
              <w:t xml:space="preserve">Ευρωπαϊκό Γραφείο Κύπρου, </w:t>
            </w:r>
          </w:p>
          <w:p w14:paraId="436EB934" w14:textId="67906373" w:rsidR="00DD1E0D" w:rsidRPr="00903F89" w:rsidRDefault="00DD1E0D" w:rsidP="00903F89">
            <w:pPr>
              <w:pStyle w:val="ListParagraph"/>
              <w:numPr>
                <w:ilvl w:val="0"/>
                <w:numId w:val="33"/>
              </w:numPr>
              <w:jc w:val="both"/>
              <w:rPr>
                <w:rFonts w:cs="Arial"/>
                <w:sz w:val="20"/>
                <w:szCs w:val="20"/>
              </w:rPr>
            </w:pPr>
            <w:r w:rsidRPr="00903F89">
              <w:rPr>
                <w:rFonts w:cs="Arial"/>
                <w:sz w:val="20"/>
                <w:szCs w:val="20"/>
              </w:rPr>
              <w:t>Σωματείο Ευημερίας Φοιτητών</w:t>
            </w:r>
            <w:r w:rsidR="00CA51D3" w:rsidRPr="00903F89">
              <w:rPr>
                <w:rFonts w:cs="Arial"/>
                <w:sz w:val="20"/>
                <w:szCs w:val="20"/>
              </w:rPr>
              <w:t xml:space="preserve"> (το Π.Κ στηρίζει οικονομικά το Σωματείο κάθε έτος από έσοδ</w:t>
            </w:r>
            <w:r w:rsidR="008F26E9" w:rsidRPr="00903F89">
              <w:rPr>
                <w:rFonts w:cs="Arial"/>
                <w:sz w:val="20"/>
                <w:szCs w:val="20"/>
              </w:rPr>
              <w:t>ά</w:t>
            </w:r>
            <w:r w:rsidR="00CA51D3" w:rsidRPr="00903F89">
              <w:rPr>
                <w:rFonts w:cs="Arial"/>
                <w:sz w:val="20"/>
                <w:szCs w:val="20"/>
              </w:rPr>
              <w:t xml:space="preserve"> του πέραν της κρατικής χορηγίας, ανάλογα με τις οικονομικές του δυνατότητες και τις οικονομικές ανάγκες του Σωματείου)</w:t>
            </w:r>
            <w:r w:rsidR="008F26E9" w:rsidRPr="00903F89">
              <w:rPr>
                <w:rFonts w:cs="Arial"/>
                <w:sz w:val="20"/>
                <w:szCs w:val="20"/>
              </w:rPr>
              <w:t>,</w:t>
            </w:r>
            <w:r w:rsidRPr="00903F89">
              <w:rPr>
                <w:rFonts w:cs="Arial"/>
                <w:sz w:val="20"/>
                <w:szCs w:val="20"/>
              </w:rPr>
              <w:t xml:space="preserve"> </w:t>
            </w:r>
          </w:p>
          <w:p w14:paraId="09C3DFCD" w14:textId="77777777" w:rsidR="00DD1E0D" w:rsidRPr="00903F89" w:rsidRDefault="00DD1E0D" w:rsidP="00903F89">
            <w:pPr>
              <w:pStyle w:val="ListParagraph"/>
              <w:numPr>
                <w:ilvl w:val="0"/>
                <w:numId w:val="33"/>
              </w:numPr>
              <w:jc w:val="both"/>
              <w:rPr>
                <w:rFonts w:cs="Arial"/>
                <w:sz w:val="20"/>
                <w:szCs w:val="20"/>
                <w:lang w:val="en-GB"/>
              </w:rPr>
            </w:pPr>
            <w:r w:rsidRPr="00903F89">
              <w:rPr>
                <w:rFonts w:cs="Arial"/>
                <w:sz w:val="20"/>
                <w:szCs w:val="20"/>
              </w:rPr>
              <w:t>Ινστιτούτο</w:t>
            </w:r>
            <w:r w:rsidRPr="00903F89">
              <w:rPr>
                <w:rFonts w:cs="Arial"/>
                <w:sz w:val="20"/>
                <w:szCs w:val="20"/>
                <w:lang w:val="en-GB"/>
              </w:rPr>
              <w:t xml:space="preserve"> </w:t>
            </w:r>
            <w:r w:rsidRPr="00903F89">
              <w:rPr>
                <w:rFonts w:cs="Arial"/>
                <w:sz w:val="20"/>
                <w:szCs w:val="20"/>
              </w:rPr>
              <w:t>Έρευνας</w:t>
            </w:r>
            <w:r w:rsidRPr="00903F89">
              <w:rPr>
                <w:rFonts w:cs="Arial"/>
                <w:sz w:val="20"/>
                <w:szCs w:val="20"/>
                <w:lang w:val="en-GB"/>
              </w:rPr>
              <w:t xml:space="preserve"> </w:t>
            </w:r>
            <w:r w:rsidRPr="00903F89">
              <w:rPr>
                <w:rFonts w:cs="Arial"/>
                <w:sz w:val="20"/>
                <w:szCs w:val="20"/>
              </w:rPr>
              <w:t>Καρκίνου</w:t>
            </w:r>
            <w:r w:rsidRPr="00903F89">
              <w:rPr>
                <w:rFonts w:cs="Arial"/>
                <w:sz w:val="20"/>
                <w:szCs w:val="20"/>
                <w:lang w:val="en-GB"/>
              </w:rPr>
              <w:t xml:space="preserve"> </w:t>
            </w:r>
            <w:r w:rsidRPr="00903F89">
              <w:rPr>
                <w:rFonts w:cs="Arial"/>
                <w:sz w:val="20"/>
                <w:szCs w:val="20"/>
              </w:rPr>
              <w:t>Κύπρου</w:t>
            </w:r>
            <w:r w:rsidRPr="00903F89">
              <w:rPr>
                <w:rFonts w:cs="Arial"/>
                <w:sz w:val="20"/>
                <w:szCs w:val="20"/>
                <w:lang w:val="en-GB"/>
              </w:rPr>
              <w:t xml:space="preserve">, </w:t>
            </w:r>
          </w:p>
          <w:p w14:paraId="3A6D8221" w14:textId="0E990F95" w:rsidR="00DD1E0D" w:rsidRPr="00903F89" w:rsidRDefault="00DD1E0D" w:rsidP="00903F89">
            <w:pPr>
              <w:pStyle w:val="ListParagraph"/>
              <w:numPr>
                <w:ilvl w:val="0"/>
                <w:numId w:val="33"/>
              </w:numPr>
              <w:jc w:val="both"/>
              <w:rPr>
                <w:rFonts w:cs="Arial"/>
                <w:sz w:val="20"/>
                <w:szCs w:val="20"/>
                <w:lang w:val="en-GB"/>
              </w:rPr>
            </w:pPr>
            <w:r w:rsidRPr="00903F89">
              <w:rPr>
                <w:rFonts w:cs="Arial"/>
                <w:sz w:val="20"/>
                <w:szCs w:val="20"/>
                <w:lang w:val="en-GB"/>
              </w:rPr>
              <w:t>Research and Innovation Centre on Interactive Media, Smart System and Emerging Technologies – CYENS Centre of Excellence.</w:t>
            </w:r>
          </w:p>
          <w:p w14:paraId="162610D8" w14:textId="77777777" w:rsidR="00DD1E0D" w:rsidRPr="00903F89" w:rsidRDefault="00DD1E0D" w:rsidP="00903F89">
            <w:pPr>
              <w:jc w:val="both"/>
              <w:rPr>
                <w:rFonts w:cs="Arial"/>
                <w:sz w:val="20"/>
                <w:szCs w:val="20"/>
                <w:lang w:val="en-GB"/>
              </w:rPr>
            </w:pPr>
          </w:p>
          <w:p w14:paraId="17A07A35" w14:textId="1B977242" w:rsidR="00DD1E0D" w:rsidRPr="00903F89" w:rsidRDefault="00DD1E0D" w:rsidP="00903F89">
            <w:pPr>
              <w:jc w:val="both"/>
              <w:rPr>
                <w:rFonts w:eastAsia="Arial" w:cs="Arial"/>
                <w:b/>
                <w:bCs/>
                <w:sz w:val="20"/>
                <w:szCs w:val="20"/>
                <w:u w:val="single"/>
              </w:rPr>
            </w:pPr>
            <w:r w:rsidRPr="00903F89">
              <w:rPr>
                <w:rFonts w:cs="Arial"/>
                <w:sz w:val="20"/>
                <w:szCs w:val="20"/>
              </w:rPr>
              <w:t>Η διάθεση των σχετικών χορηγιών προς τις προαναφερόμενες ή άλλες οντότητες πραγματοποιείται με την εξασφάλιση αντίστοιχης απόφασης από το Συμβούλιο σύμφωνα και με τις πρόνοιες της σχετικής Νομοθεσίας.</w:t>
            </w:r>
          </w:p>
        </w:tc>
      </w:tr>
      <w:tr w:rsidR="00DD1E0D" w:rsidRPr="00903F89" w14:paraId="36A8B382" w14:textId="77777777" w:rsidTr="007353AA">
        <w:tc>
          <w:tcPr>
            <w:tcW w:w="10632" w:type="dxa"/>
            <w:gridSpan w:val="8"/>
            <w:shd w:val="clear" w:color="auto" w:fill="auto"/>
          </w:tcPr>
          <w:p w14:paraId="6743FF5E" w14:textId="77777777" w:rsidR="00DD1E0D" w:rsidRPr="00903F89" w:rsidRDefault="00DD1E0D" w:rsidP="00903F89">
            <w:pPr>
              <w:jc w:val="both"/>
              <w:rPr>
                <w:rFonts w:cs="Arial"/>
                <w:bCs/>
                <w:sz w:val="20"/>
                <w:szCs w:val="20"/>
              </w:rPr>
            </w:pPr>
          </w:p>
        </w:tc>
      </w:tr>
      <w:tr w:rsidR="00DD1E0D" w:rsidRPr="00903F89" w14:paraId="2B11BE97" w14:textId="77777777" w:rsidTr="007353AA">
        <w:tc>
          <w:tcPr>
            <w:tcW w:w="10632" w:type="dxa"/>
            <w:gridSpan w:val="8"/>
            <w:shd w:val="clear" w:color="auto" w:fill="auto"/>
          </w:tcPr>
          <w:p w14:paraId="7420D82A" w14:textId="55CA698C" w:rsidR="00DD1E0D" w:rsidRPr="00B1212B" w:rsidRDefault="00DD1E0D" w:rsidP="00903F89">
            <w:pPr>
              <w:jc w:val="both"/>
              <w:rPr>
                <w:rFonts w:cs="Arial"/>
                <w:sz w:val="20"/>
                <w:szCs w:val="20"/>
              </w:rPr>
            </w:pPr>
            <w:r w:rsidRPr="00903F89">
              <w:rPr>
                <w:rFonts w:cs="Arial"/>
                <w:sz w:val="20"/>
                <w:szCs w:val="20"/>
              </w:rPr>
              <w:t>Η πρόνοια προορίζεται να καλύψει και τη χορηγία του Πανεπιστημίου Κύπρου (€200.000) προς το Ερευνητικό Κέντρο Αριστείας και Καινοτομίας «</w:t>
            </w:r>
            <w:r w:rsidRPr="00903F89">
              <w:rPr>
                <w:rFonts w:cs="Arial"/>
                <w:sz w:val="20"/>
                <w:szCs w:val="20"/>
                <w:lang w:val="en-GB"/>
              </w:rPr>
              <w:t>Research</w:t>
            </w:r>
            <w:r w:rsidRPr="00903F89">
              <w:rPr>
                <w:rFonts w:cs="Arial"/>
                <w:sz w:val="20"/>
                <w:szCs w:val="20"/>
              </w:rPr>
              <w:t xml:space="preserve"> </w:t>
            </w:r>
            <w:r w:rsidRPr="00903F89">
              <w:rPr>
                <w:rFonts w:cs="Arial"/>
                <w:sz w:val="20"/>
                <w:szCs w:val="20"/>
                <w:lang w:val="en-GB"/>
              </w:rPr>
              <w:t>and</w:t>
            </w:r>
            <w:r w:rsidRPr="00903F89">
              <w:rPr>
                <w:rFonts w:cs="Arial"/>
                <w:sz w:val="20"/>
                <w:szCs w:val="20"/>
              </w:rPr>
              <w:t xml:space="preserve"> </w:t>
            </w:r>
            <w:r w:rsidRPr="00903F89">
              <w:rPr>
                <w:rFonts w:cs="Arial"/>
                <w:sz w:val="20"/>
                <w:szCs w:val="20"/>
                <w:lang w:val="en-GB"/>
              </w:rPr>
              <w:t>Innovation</w:t>
            </w:r>
            <w:r w:rsidRPr="00903F89">
              <w:rPr>
                <w:rFonts w:cs="Arial"/>
                <w:sz w:val="20"/>
                <w:szCs w:val="20"/>
              </w:rPr>
              <w:t xml:space="preserve"> </w:t>
            </w:r>
            <w:r w:rsidRPr="00903F89">
              <w:rPr>
                <w:rFonts w:cs="Arial"/>
                <w:sz w:val="20"/>
                <w:szCs w:val="20"/>
                <w:lang w:val="en-GB"/>
              </w:rPr>
              <w:t>Centre</w:t>
            </w:r>
            <w:r w:rsidRPr="00903F89">
              <w:rPr>
                <w:rFonts w:cs="Arial"/>
                <w:sz w:val="20"/>
                <w:szCs w:val="20"/>
              </w:rPr>
              <w:t xml:space="preserve"> </w:t>
            </w:r>
            <w:r w:rsidRPr="00903F89">
              <w:rPr>
                <w:rFonts w:cs="Arial"/>
                <w:sz w:val="20"/>
                <w:szCs w:val="20"/>
                <w:lang w:val="en-GB"/>
              </w:rPr>
              <w:t>on</w:t>
            </w:r>
            <w:r w:rsidRPr="00903F89">
              <w:rPr>
                <w:rFonts w:cs="Arial"/>
                <w:sz w:val="20"/>
                <w:szCs w:val="20"/>
              </w:rPr>
              <w:t xml:space="preserve"> </w:t>
            </w:r>
            <w:r w:rsidRPr="00903F89">
              <w:rPr>
                <w:rFonts w:cs="Arial"/>
                <w:sz w:val="20"/>
                <w:szCs w:val="20"/>
                <w:lang w:val="en-GB"/>
              </w:rPr>
              <w:t>Interactive</w:t>
            </w:r>
            <w:r w:rsidRPr="00903F89">
              <w:rPr>
                <w:rFonts w:cs="Arial"/>
                <w:sz w:val="20"/>
                <w:szCs w:val="20"/>
              </w:rPr>
              <w:t xml:space="preserve"> </w:t>
            </w:r>
            <w:r w:rsidRPr="00903F89">
              <w:rPr>
                <w:rFonts w:cs="Arial"/>
                <w:sz w:val="20"/>
                <w:szCs w:val="20"/>
                <w:lang w:val="en-GB"/>
              </w:rPr>
              <w:t>Media</w:t>
            </w:r>
            <w:r w:rsidRPr="00903F89">
              <w:rPr>
                <w:rFonts w:cs="Arial"/>
                <w:sz w:val="20"/>
                <w:szCs w:val="20"/>
              </w:rPr>
              <w:t xml:space="preserve">, </w:t>
            </w:r>
            <w:r w:rsidRPr="00903F89">
              <w:rPr>
                <w:rFonts w:cs="Arial"/>
                <w:sz w:val="20"/>
                <w:szCs w:val="20"/>
                <w:lang w:val="en-GB"/>
              </w:rPr>
              <w:t>Smart</w:t>
            </w:r>
            <w:r w:rsidRPr="00903F89">
              <w:rPr>
                <w:rFonts w:cs="Arial"/>
                <w:sz w:val="20"/>
                <w:szCs w:val="20"/>
              </w:rPr>
              <w:t xml:space="preserve"> </w:t>
            </w:r>
            <w:r w:rsidRPr="00903F89">
              <w:rPr>
                <w:rFonts w:cs="Arial"/>
                <w:sz w:val="20"/>
                <w:szCs w:val="20"/>
                <w:lang w:val="en-GB"/>
              </w:rPr>
              <w:t>System</w:t>
            </w:r>
            <w:r w:rsidRPr="00903F89">
              <w:rPr>
                <w:rFonts w:cs="Arial"/>
                <w:sz w:val="20"/>
                <w:szCs w:val="20"/>
              </w:rPr>
              <w:t xml:space="preserve"> </w:t>
            </w:r>
            <w:r w:rsidRPr="00903F89">
              <w:rPr>
                <w:rFonts w:cs="Arial"/>
                <w:sz w:val="20"/>
                <w:szCs w:val="20"/>
                <w:lang w:val="en-GB"/>
              </w:rPr>
              <w:t>and</w:t>
            </w:r>
            <w:r w:rsidRPr="00903F89">
              <w:rPr>
                <w:rFonts w:cs="Arial"/>
                <w:sz w:val="20"/>
                <w:szCs w:val="20"/>
              </w:rPr>
              <w:t xml:space="preserve"> </w:t>
            </w:r>
            <w:r w:rsidRPr="00903F89">
              <w:rPr>
                <w:rFonts w:cs="Arial"/>
                <w:sz w:val="20"/>
                <w:szCs w:val="20"/>
                <w:lang w:val="en-GB"/>
              </w:rPr>
              <w:t>Emerging</w:t>
            </w:r>
            <w:r w:rsidRPr="00903F89">
              <w:rPr>
                <w:rFonts w:cs="Arial"/>
                <w:sz w:val="20"/>
                <w:szCs w:val="20"/>
              </w:rPr>
              <w:t xml:space="preserve"> </w:t>
            </w:r>
            <w:r w:rsidRPr="00903F89">
              <w:rPr>
                <w:rFonts w:cs="Arial"/>
                <w:sz w:val="20"/>
                <w:szCs w:val="20"/>
                <w:lang w:val="en-GB"/>
              </w:rPr>
              <w:t>Technologies</w:t>
            </w:r>
            <w:r w:rsidRPr="00903F89">
              <w:rPr>
                <w:rFonts w:cs="Arial"/>
                <w:sz w:val="20"/>
                <w:szCs w:val="20"/>
              </w:rPr>
              <w:t xml:space="preserve"> – </w:t>
            </w:r>
            <w:r w:rsidRPr="00903F89">
              <w:rPr>
                <w:rFonts w:cs="Arial"/>
                <w:sz w:val="20"/>
                <w:szCs w:val="20"/>
                <w:lang w:val="en-GB"/>
              </w:rPr>
              <w:t>CYENS</w:t>
            </w:r>
            <w:r w:rsidRPr="00903F89">
              <w:rPr>
                <w:rFonts w:cs="Arial"/>
                <w:sz w:val="20"/>
                <w:szCs w:val="20"/>
              </w:rPr>
              <w:t xml:space="preserve"> </w:t>
            </w:r>
            <w:r w:rsidRPr="00903F89">
              <w:rPr>
                <w:rFonts w:cs="Arial"/>
                <w:sz w:val="20"/>
                <w:szCs w:val="20"/>
                <w:lang w:val="en-GB"/>
              </w:rPr>
              <w:t>Centre</w:t>
            </w:r>
            <w:r w:rsidRPr="00903F89">
              <w:rPr>
                <w:rFonts w:cs="Arial"/>
                <w:sz w:val="20"/>
                <w:szCs w:val="20"/>
              </w:rPr>
              <w:t xml:space="preserve"> </w:t>
            </w:r>
            <w:r w:rsidRPr="00903F89">
              <w:rPr>
                <w:rFonts w:cs="Arial"/>
                <w:sz w:val="20"/>
                <w:szCs w:val="20"/>
                <w:lang w:val="en-GB"/>
              </w:rPr>
              <w:t>of</w:t>
            </w:r>
            <w:r w:rsidRPr="00903F89">
              <w:rPr>
                <w:rFonts w:cs="Arial"/>
                <w:sz w:val="20"/>
                <w:szCs w:val="20"/>
              </w:rPr>
              <w:t xml:space="preserve"> </w:t>
            </w:r>
            <w:r w:rsidRPr="00903F89">
              <w:rPr>
                <w:rFonts w:cs="Arial"/>
                <w:sz w:val="20"/>
                <w:szCs w:val="20"/>
                <w:lang w:val="en-GB"/>
              </w:rPr>
              <w:t>Excellence</w:t>
            </w:r>
            <w:r w:rsidRPr="00903F89">
              <w:rPr>
                <w:rFonts w:cs="Arial"/>
                <w:sz w:val="20"/>
                <w:szCs w:val="20"/>
              </w:rPr>
              <w:t xml:space="preserve">».  Το εν λόγω Κέντρο δημιουργήθηκε στο πλαίσιο του Προγράμματος «Teaming for Excellence», ως αποτέλεσμα της συνεργασίας του Δήμου Λευκωσίας, του Πανεπιστημίου Κύπρου, του Τεχνολογικού Πανεπιστήμιου Κύπρου, του Ανοικτού Πανεπιστημίου Κύπρου, του </w:t>
            </w:r>
            <w:proofErr w:type="spellStart"/>
            <w:r w:rsidRPr="00903F89">
              <w:rPr>
                <w:rFonts w:cs="Arial"/>
                <w:sz w:val="20"/>
                <w:szCs w:val="20"/>
              </w:rPr>
              <w:t>Max</w:t>
            </w:r>
            <w:proofErr w:type="spellEnd"/>
            <w:r w:rsidRPr="00903F89">
              <w:rPr>
                <w:rFonts w:cs="Arial"/>
                <w:sz w:val="20"/>
                <w:szCs w:val="20"/>
              </w:rPr>
              <w:t xml:space="preserve"> </w:t>
            </w:r>
            <w:proofErr w:type="spellStart"/>
            <w:r w:rsidRPr="00903F89">
              <w:rPr>
                <w:rFonts w:cs="Arial"/>
                <w:sz w:val="20"/>
                <w:szCs w:val="20"/>
              </w:rPr>
              <w:t>Planck</w:t>
            </w:r>
            <w:proofErr w:type="spellEnd"/>
            <w:r w:rsidRPr="00903F89">
              <w:rPr>
                <w:rFonts w:cs="Arial"/>
                <w:sz w:val="20"/>
                <w:szCs w:val="20"/>
              </w:rPr>
              <w:t xml:space="preserve"> </w:t>
            </w:r>
            <w:proofErr w:type="spellStart"/>
            <w:r w:rsidRPr="00903F89">
              <w:rPr>
                <w:rFonts w:cs="Arial"/>
                <w:sz w:val="20"/>
                <w:szCs w:val="20"/>
              </w:rPr>
              <w:t>Institute</w:t>
            </w:r>
            <w:proofErr w:type="spellEnd"/>
            <w:r w:rsidRPr="00903F89">
              <w:rPr>
                <w:rFonts w:cs="Arial"/>
                <w:sz w:val="20"/>
                <w:szCs w:val="20"/>
              </w:rPr>
              <w:t xml:space="preserve"> της Γερμανίας και του University </w:t>
            </w:r>
            <w:proofErr w:type="spellStart"/>
            <w:r w:rsidRPr="00903F89">
              <w:rPr>
                <w:rFonts w:cs="Arial"/>
                <w:sz w:val="20"/>
                <w:szCs w:val="20"/>
              </w:rPr>
              <w:t>College</w:t>
            </w:r>
            <w:proofErr w:type="spellEnd"/>
            <w:r w:rsidRPr="00903F89">
              <w:rPr>
                <w:rFonts w:cs="Arial"/>
                <w:sz w:val="20"/>
                <w:szCs w:val="20"/>
              </w:rPr>
              <w:t xml:space="preserve"> </w:t>
            </w:r>
            <w:proofErr w:type="spellStart"/>
            <w:r w:rsidRPr="00903F89">
              <w:rPr>
                <w:rFonts w:cs="Arial"/>
                <w:sz w:val="20"/>
                <w:szCs w:val="20"/>
              </w:rPr>
              <w:t>London</w:t>
            </w:r>
            <w:proofErr w:type="spellEnd"/>
            <w:r w:rsidRPr="00903F89">
              <w:rPr>
                <w:rFonts w:cs="Arial"/>
                <w:sz w:val="20"/>
                <w:szCs w:val="20"/>
              </w:rPr>
              <w:t xml:space="preserve"> του Ηνωμένου Βασιλείου. </w:t>
            </w:r>
          </w:p>
        </w:tc>
      </w:tr>
      <w:tr w:rsidR="00B1212B" w:rsidRPr="00903F89" w14:paraId="29FBC297" w14:textId="77777777" w:rsidTr="007353AA">
        <w:tc>
          <w:tcPr>
            <w:tcW w:w="10632" w:type="dxa"/>
            <w:gridSpan w:val="8"/>
            <w:shd w:val="clear" w:color="auto" w:fill="auto"/>
          </w:tcPr>
          <w:p w14:paraId="1E07BD74" w14:textId="77777777" w:rsidR="00B1212B" w:rsidRPr="00903F89" w:rsidRDefault="00B1212B" w:rsidP="00903F89">
            <w:pPr>
              <w:jc w:val="both"/>
              <w:rPr>
                <w:rFonts w:cs="Arial"/>
                <w:sz w:val="20"/>
                <w:szCs w:val="20"/>
              </w:rPr>
            </w:pPr>
          </w:p>
        </w:tc>
      </w:tr>
      <w:tr w:rsidR="0096769A" w:rsidRPr="00903F89" w14:paraId="26AD01E8" w14:textId="77777777" w:rsidTr="007353AA">
        <w:tc>
          <w:tcPr>
            <w:tcW w:w="10632" w:type="dxa"/>
            <w:gridSpan w:val="8"/>
            <w:shd w:val="clear" w:color="auto" w:fill="auto"/>
          </w:tcPr>
          <w:p w14:paraId="2C5A7E53" w14:textId="1B6F00BA" w:rsidR="0096769A" w:rsidRPr="00903F89" w:rsidRDefault="0096769A" w:rsidP="00903F89">
            <w:pPr>
              <w:jc w:val="both"/>
              <w:rPr>
                <w:rFonts w:cs="Arial"/>
                <w:sz w:val="20"/>
                <w:szCs w:val="20"/>
              </w:rPr>
            </w:pPr>
            <w:r w:rsidRPr="00903F89">
              <w:rPr>
                <w:rFonts w:cs="Arial"/>
                <w:sz w:val="20"/>
                <w:szCs w:val="20"/>
              </w:rPr>
              <w:t>Η χρηματική χορηγία του Πανεπιστημίου Κύπρου προς το εν λόγω Ερευνητικό Κέντρο θα ανέλθει συνολικά στο ποσό των €1.500.000, σε μία περίοδο 7 χρόνων (με έναρξη από το 2018) και θα διατεθεί εξ’ ολοκλήρου από έσοδα του Πανεπιστημίου εκτός της κρατικής χορηγίας.</w:t>
            </w:r>
          </w:p>
        </w:tc>
      </w:tr>
      <w:tr w:rsidR="00DD1E0D" w:rsidRPr="00903F89" w14:paraId="1AFE40CC" w14:textId="77777777" w:rsidTr="007353AA">
        <w:tc>
          <w:tcPr>
            <w:tcW w:w="10632" w:type="dxa"/>
            <w:gridSpan w:val="8"/>
            <w:shd w:val="clear" w:color="auto" w:fill="auto"/>
          </w:tcPr>
          <w:p w14:paraId="64C9563D" w14:textId="77777777" w:rsidR="00DD1E0D" w:rsidRPr="00903F89" w:rsidRDefault="00DD1E0D" w:rsidP="00903F89">
            <w:pPr>
              <w:jc w:val="both"/>
              <w:rPr>
                <w:rFonts w:cs="Arial"/>
                <w:bCs/>
                <w:sz w:val="20"/>
                <w:szCs w:val="20"/>
              </w:rPr>
            </w:pPr>
          </w:p>
        </w:tc>
      </w:tr>
      <w:tr w:rsidR="00DD1E0D" w:rsidRPr="00903F89" w14:paraId="51910C4A" w14:textId="77777777" w:rsidTr="007353AA">
        <w:tc>
          <w:tcPr>
            <w:tcW w:w="10632" w:type="dxa"/>
            <w:gridSpan w:val="8"/>
            <w:shd w:val="clear" w:color="auto" w:fill="auto"/>
          </w:tcPr>
          <w:p w14:paraId="135F7ED2" w14:textId="1157563C" w:rsidR="00DD1E0D" w:rsidRPr="00903F89" w:rsidRDefault="00DD1E0D" w:rsidP="00903F89">
            <w:pPr>
              <w:jc w:val="both"/>
              <w:rPr>
                <w:rFonts w:cs="Arial"/>
                <w:bCs/>
                <w:sz w:val="20"/>
                <w:szCs w:val="20"/>
              </w:rPr>
            </w:pPr>
            <w:r w:rsidRPr="00903F89">
              <w:rPr>
                <w:rFonts w:cs="Arial"/>
                <w:sz w:val="20"/>
                <w:szCs w:val="20"/>
              </w:rPr>
              <w:t>Η πρόνοια προορίζεται να καλύψει και την ετήσια χορηγία του Πανεπιστημίου Κύπρου (€500.000) προς το Ινστιτούτο Έρευνας Καρκίνου Κύπρου, με βάση το περιεχόμενο (α) του Πρωτοκόλλου Συνεργασίας μεταξύ του Καραϊσκάκειου Ιδρύματος, του Πανεπιστημίου Κύπρου και του Ογκολογικού Κέντρου Τράπεζας Κύπρου και (β) τ</w:t>
            </w:r>
            <w:r w:rsidR="00B64187" w:rsidRPr="00903F89">
              <w:rPr>
                <w:rFonts w:cs="Arial"/>
                <w:sz w:val="20"/>
                <w:szCs w:val="20"/>
              </w:rPr>
              <w:t xml:space="preserve">ων σχετικών εσωτερικών αποφάσεων </w:t>
            </w:r>
            <w:bookmarkStart w:id="46" w:name="_Hlk87949552"/>
            <w:r w:rsidRPr="00903F89">
              <w:rPr>
                <w:rFonts w:cs="Arial"/>
                <w:sz w:val="20"/>
                <w:szCs w:val="20"/>
              </w:rPr>
              <w:t>(</w:t>
            </w:r>
            <w:r w:rsidR="00B64187" w:rsidRPr="00903F89">
              <w:rPr>
                <w:rFonts w:cs="Arial"/>
                <w:sz w:val="20"/>
                <w:szCs w:val="20"/>
              </w:rPr>
              <w:t xml:space="preserve">Αποφάσεις Συμβουλίου, </w:t>
            </w:r>
            <w:r w:rsidRPr="00903F89">
              <w:rPr>
                <w:rFonts w:cs="Arial"/>
                <w:sz w:val="20"/>
                <w:szCs w:val="20"/>
              </w:rPr>
              <w:t>Συνεδρία Αρ. 24/2018</w:t>
            </w:r>
            <w:r w:rsidR="00131BBD" w:rsidRPr="00903F89">
              <w:rPr>
                <w:rFonts w:cs="Arial"/>
                <w:sz w:val="20"/>
                <w:szCs w:val="20"/>
              </w:rPr>
              <w:t xml:space="preserve">, ημερ. 05/11/2018 </w:t>
            </w:r>
            <w:r w:rsidRPr="00903F89">
              <w:rPr>
                <w:rFonts w:cs="Arial"/>
                <w:sz w:val="20"/>
                <w:szCs w:val="20"/>
              </w:rPr>
              <w:t>και 08/2020</w:t>
            </w:r>
            <w:r w:rsidR="00131BBD" w:rsidRPr="00903F89">
              <w:rPr>
                <w:rFonts w:cs="Arial"/>
                <w:sz w:val="20"/>
                <w:szCs w:val="20"/>
              </w:rPr>
              <w:t>, ημερ. 06/07/2020</w:t>
            </w:r>
            <w:r w:rsidRPr="00903F89">
              <w:rPr>
                <w:rFonts w:cs="Arial"/>
                <w:sz w:val="20"/>
                <w:szCs w:val="20"/>
              </w:rPr>
              <w:t xml:space="preserve">).  </w:t>
            </w:r>
            <w:bookmarkEnd w:id="46"/>
            <w:r w:rsidRPr="00903F89">
              <w:rPr>
                <w:rFonts w:cs="Arial"/>
                <w:sz w:val="20"/>
                <w:szCs w:val="20"/>
              </w:rPr>
              <w:t>Η καταβολή της χρηματοδότησης άρχισε με την εγγραφή του Ινστιτούτου ως νομική οντότητα.</w:t>
            </w:r>
          </w:p>
        </w:tc>
      </w:tr>
      <w:tr w:rsidR="00DD1E0D" w:rsidRPr="00903F89" w14:paraId="30A9829D" w14:textId="77777777" w:rsidTr="007353AA">
        <w:tc>
          <w:tcPr>
            <w:tcW w:w="10632" w:type="dxa"/>
            <w:gridSpan w:val="8"/>
            <w:shd w:val="clear" w:color="auto" w:fill="auto"/>
          </w:tcPr>
          <w:p w14:paraId="47D0CF32" w14:textId="77777777" w:rsidR="00DD1E0D" w:rsidRPr="00903F89" w:rsidRDefault="00DD1E0D" w:rsidP="00903F89">
            <w:pPr>
              <w:jc w:val="both"/>
              <w:rPr>
                <w:rFonts w:cs="Arial"/>
                <w:bCs/>
                <w:sz w:val="20"/>
                <w:szCs w:val="20"/>
              </w:rPr>
            </w:pPr>
          </w:p>
        </w:tc>
      </w:tr>
      <w:tr w:rsidR="00DD1E0D" w:rsidRPr="00903F89" w14:paraId="59C06C75" w14:textId="77777777" w:rsidTr="007353AA">
        <w:tc>
          <w:tcPr>
            <w:tcW w:w="10632" w:type="dxa"/>
            <w:gridSpan w:val="8"/>
            <w:shd w:val="clear" w:color="auto" w:fill="auto"/>
          </w:tcPr>
          <w:p w14:paraId="766D4A18" w14:textId="250B7DAA" w:rsidR="00DD1E0D" w:rsidRPr="00903F89" w:rsidRDefault="00DD1E0D" w:rsidP="00903F89">
            <w:pPr>
              <w:jc w:val="both"/>
              <w:rPr>
                <w:rFonts w:eastAsia="Arial" w:cs="Arial"/>
                <w:sz w:val="20"/>
                <w:szCs w:val="20"/>
              </w:rPr>
            </w:pPr>
            <w:r w:rsidRPr="00903F89">
              <w:rPr>
                <w:rFonts w:cs="Arial"/>
                <w:sz w:val="20"/>
                <w:szCs w:val="20"/>
              </w:rPr>
              <w:t>Τυχόν χορηγία του Πανεπιστημίου Κύπρου προς το Κυπριακό Ερευνητικό και Ακαδημαϊκό Δίκτυο θα χρεωθεί έναντι πιστώσεων του παρόντος άρθρου.</w:t>
            </w:r>
          </w:p>
        </w:tc>
      </w:tr>
      <w:bookmarkEnd w:id="45"/>
      <w:tr w:rsidR="00DD1E0D" w:rsidRPr="00903F89" w14:paraId="7064BC78" w14:textId="77777777" w:rsidTr="007353AA">
        <w:tc>
          <w:tcPr>
            <w:tcW w:w="10632" w:type="dxa"/>
            <w:gridSpan w:val="8"/>
            <w:shd w:val="clear" w:color="auto" w:fill="auto"/>
          </w:tcPr>
          <w:p w14:paraId="62519F9A" w14:textId="77777777" w:rsidR="00DD1E0D" w:rsidRPr="00903F89" w:rsidRDefault="00DD1E0D" w:rsidP="00903F89">
            <w:pPr>
              <w:jc w:val="both"/>
              <w:rPr>
                <w:rFonts w:cs="Arial"/>
                <w:sz w:val="20"/>
                <w:szCs w:val="20"/>
              </w:rPr>
            </w:pPr>
          </w:p>
        </w:tc>
      </w:tr>
      <w:tr w:rsidR="00DD1E0D" w:rsidRPr="00903F89" w14:paraId="6265FCDD" w14:textId="77777777" w:rsidTr="007353AA">
        <w:tc>
          <w:tcPr>
            <w:tcW w:w="10632" w:type="dxa"/>
            <w:gridSpan w:val="8"/>
            <w:shd w:val="clear" w:color="auto" w:fill="auto"/>
          </w:tcPr>
          <w:p w14:paraId="103528AC" w14:textId="35BB5782"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326 – Κέντρο Επιχειρηματικότητας – €</w:t>
            </w:r>
            <w:r w:rsidR="008F26E9" w:rsidRPr="00903F89">
              <w:rPr>
                <w:rFonts w:cs="Arial"/>
                <w:b/>
                <w:bCs/>
                <w:sz w:val="20"/>
                <w:szCs w:val="20"/>
                <w:u w:val="single"/>
              </w:rPr>
              <w:t>0</w:t>
            </w:r>
          </w:p>
        </w:tc>
      </w:tr>
      <w:tr w:rsidR="00DD1E0D" w:rsidRPr="00903F89" w14:paraId="5E60292F" w14:textId="77777777" w:rsidTr="007353AA">
        <w:tc>
          <w:tcPr>
            <w:tcW w:w="2721" w:type="dxa"/>
            <w:gridSpan w:val="2"/>
            <w:shd w:val="clear" w:color="auto" w:fill="auto"/>
          </w:tcPr>
          <w:p w14:paraId="076F8D51" w14:textId="17150E12" w:rsidR="00DD1E0D" w:rsidRPr="00903F89" w:rsidRDefault="00DD1E0D" w:rsidP="00903F89">
            <w:pPr>
              <w:jc w:val="both"/>
              <w:rPr>
                <w:rFonts w:cs="Arial"/>
                <w:b/>
                <w:sz w:val="20"/>
                <w:szCs w:val="20"/>
                <w:u w:val="single"/>
              </w:rPr>
            </w:pPr>
          </w:p>
        </w:tc>
        <w:tc>
          <w:tcPr>
            <w:tcW w:w="2559" w:type="dxa"/>
            <w:gridSpan w:val="2"/>
            <w:shd w:val="clear" w:color="auto" w:fill="auto"/>
          </w:tcPr>
          <w:p w14:paraId="5D8D11FF" w14:textId="77777777" w:rsidR="00DD1E0D" w:rsidRPr="00903F89" w:rsidRDefault="00DD1E0D" w:rsidP="00903F89">
            <w:pPr>
              <w:jc w:val="both"/>
              <w:rPr>
                <w:rFonts w:cs="Arial"/>
                <w:bCs/>
                <w:sz w:val="20"/>
                <w:szCs w:val="20"/>
              </w:rPr>
            </w:pPr>
          </w:p>
        </w:tc>
        <w:tc>
          <w:tcPr>
            <w:tcW w:w="5352" w:type="dxa"/>
            <w:gridSpan w:val="4"/>
          </w:tcPr>
          <w:p w14:paraId="07F85EF9" w14:textId="77777777" w:rsidR="00DD1E0D" w:rsidRPr="00903F89" w:rsidRDefault="00DD1E0D" w:rsidP="00903F89">
            <w:pPr>
              <w:jc w:val="both"/>
              <w:rPr>
                <w:rFonts w:cs="Arial"/>
                <w:b/>
                <w:sz w:val="20"/>
                <w:szCs w:val="20"/>
                <w:u w:val="single"/>
              </w:rPr>
            </w:pPr>
          </w:p>
        </w:tc>
      </w:tr>
      <w:tr w:rsidR="00DD1E0D" w:rsidRPr="00903F89" w14:paraId="381BE128" w14:textId="77777777" w:rsidTr="008F26E9">
        <w:trPr>
          <w:trHeight w:val="357"/>
        </w:trPr>
        <w:tc>
          <w:tcPr>
            <w:tcW w:w="10632" w:type="dxa"/>
            <w:gridSpan w:val="8"/>
            <w:shd w:val="clear" w:color="auto" w:fill="auto"/>
          </w:tcPr>
          <w:p w14:paraId="6EC5DF7E" w14:textId="5AEB8922" w:rsidR="00DD1E0D" w:rsidRPr="00903F89" w:rsidRDefault="0096769A" w:rsidP="00903F89">
            <w:pPr>
              <w:jc w:val="both"/>
              <w:rPr>
                <w:rFonts w:eastAsia="Arial" w:cs="Arial"/>
                <w:sz w:val="20"/>
                <w:szCs w:val="20"/>
              </w:rPr>
            </w:pPr>
            <w:r w:rsidRPr="0096769A">
              <w:rPr>
                <w:rFonts w:cs="Arial"/>
                <w:sz w:val="20"/>
                <w:szCs w:val="20"/>
              </w:rPr>
              <w:t xml:space="preserve">Κατάργηση </w:t>
            </w:r>
            <w:r w:rsidR="00614B7B">
              <w:rPr>
                <w:rFonts w:cs="Arial"/>
                <w:sz w:val="20"/>
                <w:szCs w:val="20"/>
              </w:rPr>
              <w:t>ά</w:t>
            </w:r>
            <w:r w:rsidRPr="0096769A">
              <w:rPr>
                <w:rFonts w:cs="Arial"/>
                <w:sz w:val="20"/>
                <w:szCs w:val="20"/>
              </w:rPr>
              <w:t>ρθρου.  Δαπάνες του Κέντρου Επιχειρηματικότητας καλύπτονται από τις πρόνοιες των επιμέρους άρθρων του Προϋπολογισμού του Πανεπιστημίου Κύπρου (Ομάδες 100 -400), ανάλογα με τη φύση των δαπανών του.</w:t>
            </w:r>
          </w:p>
        </w:tc>
      </w:tr>
      <w:tr w:rsidR="00DD1E0D" w:rsidRPr="00903F89" w14:paraId="1BB3AF90" w14:textId="77777777" w:rsidTr="007353AA">
        <w:tc>
          <w:tcPr>
            <w:tcW w:w="10632" w:type="dxa"/>
            <w:gridSpan w:val="8"/>
            <w:shd w:val="clear" w:color="auto" w:fill="auto"/>
          </w:tcPr>
          <w:p w14:paraId="17AE7B0F" w14:textId="77777777" w:rsidR="00DD1E0D" w:rsidRPr="00903F89" w:rsidRDefault="00DD1E0D" w:rsidP="00903F89">
            <w:pPr>
              <w:jc w:val="both"/>
              <w:rPr>
                <w:rFonts w:cs="Arial"/>
                <w:bCs/>
                <w:sz w:val="20"/>
                <w:szCs w:val="20"/>
              </w:rPr>
            </w:pPr>
          </w:p>
        </w:tc>
      </w:tr>
      <w:tr w:rsidR="00DD1E0D" w:rsidRPr="00903F89" w14:paraId="07D983F0" w14:textId="77777777" w:rsidTr="007353AA">
        <w:tc>
          <w:tcPr>
            <w:tcW w:w="10632" w:type="dxa"/>
            <w:gridSpan w:val="8"/>
            <w:shd w:val="clear" w:color="auto" w:fill="auto"/>
          </w:tcPr>
          <w:p w14:paraId="2999AEF4" w14:textId="16E1EF47"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327 –</w:t>
            </w:r>
            <w:r w:rsidRPr="00903F89">
              <w:rPr>
                <w:rFonts w:eastAsia="Arial" w:cs="Arial"/>
                <w:b/>
                <w:bCs/>
                <w:sz w:val="20"/>
                <w:szCs w:val="20"/>
                <w:u w:val="single"/>
              </w:rPr>
              <w:t xml:space="preserve"> </w:t>
            </w:r>
            <w:r w:rsidRPr="00903F89">
              <w:rPr>
                <w:rFonts w:cs="Arial"/>
                <w:b/>
                <w:bCs/>
                <w:sz w:val="20"/>
                <w:szCs w:val="20"/>
                <w:u w:val="single"/>
              </w:rPr>
              <w:t>Πανεπιστήμιο της Διασποράς – €</w:t>
            </w:r>
            <w:r w:rsidR="00845999" w:rsidRPr="00903F89">
              <w:rPr>
                <w:rFonts w:cs="Arial"/>
                <w:b/>
                <w:bCs/>
                <w:sz w:val="20"/>
                <w:szCs w:val="20"/>
                <w:u w:val="single"/>
              </w:rPr>
              <w:t>58.250</w:t>
            </w:r>
          </w:p>
        </w:tc>
      </w:tr>
      <w:tr w:rsidR="00DD1E0D" w:rsidRPr="00903F89" w14:paraId="617BF0CB" w14:textId="77777777" w:rsidTr="007353AA">
        <w:tc>
          <w:tcPr>
            <w:tcW w:w="2721" w:type="dxa"/>
            <w:gridSpan w:val="2"/>
            <w:shd w:val="clear" w:color="auto" w:fill="auto"/>
          </w:tcPr>
          <w:p w14:paraId="10114888" w14:textId="77777777" w:rsidR="00DD1E0D" w:rsidRPr="00903F89" w:rsidRDefault="00DD1E0D" w:rsidP="00903F89">
            <w:pPr>
              <w:jc w:val="both"/>
              <w:rPr>
                <w:rFonts w:cs="Arial"/>
                <w:b/>
                <w:sz w:val="20"/>
                <w:szCs w:val="20"/>
                <w:u w:val="single"/>
              </w:rPr>
            </w:pPr>
          </w:p>
        </w:tc>
        <w:tc>
          <w:tcPr>
            <w:tcW w:w="7911" w:type="dxa"/>
            <w:gridSpan w:val="6"/>
            <w:shd w:val="clear" w:color="auto" w:fill="auto"/>
          </w:tcPr>
          <w:p w14:paraId="787CA968" w14:textId="7C3030E2" w:rsidR="00DD1E0D" w:rsidRPr="00903F89" w:rsidRDefault="00DD1E0D" w:rsidP="00903F89">
            <w:pPr>
              <w:jc w:val="both"/>
              <w:rPr>
                <w:rFonts w:cs="Arial"/>
                <w:b/>
                <w:i/>
                <w:sz w:val="20"/>
                <w:szCs w:val="20"/>
              </w:rPr>
            </w:pPr>
          </w:p>
        </w:tc>
      </w:tr>
      <w:tr w:rsidR="00DD1E0D" w:rsidRPr="00903F89" w14:paraId="2F1E19F5" w14:textId="77777777" w:rsidTr="007353AA">
        <w:tc>
          <w:tcPr>
            <w:tcW w:w="10632" w:type="dxa"/>
            <w:gridSpan w:val="8"/>
            <w:shd w:val="clear" w:color="auto" w:fill="auto"/>
          </w:tcPr>
          <w:p w14:paraId="11637221" w14:textId="1C2CDA6A" w:rsidR="00DD1E0D" w:rsidRPr="00903F89" w:rsidRDefault="00DD1E0D" w:rsidP="00903F89">
            <w:pPr>
              <w:jc w:val="both"/>
              <w:rPr>
                <w:rFonts w:eastAsia="Arial" w:cs="Arial"/>
                <w:sz w:val="20"/>
                <w:szCs w:val="20"/>
                <w:u w:val="single"/>
              </w:rPr>
            </w:pPr>
            <w:r w:rsidRPr="00903F89">
              <w:rPr>
                <w:rFonts w:cs="Arial"/>
                <w:sz w:val="20"/>
                <w:szCs w:val="20"/>
              </w:rPr>
              <w:t>Η πρόνοια προορίζεται να καλύψει την προσέλκυση αξιόλογων Ακαδημαϊκών κυπριακής ή ελληνικής καταγωγής από Πανεπιστήμια του εξωτερικού</w:t>
            </w:r>
            <w:r w:rsidRPr="00903F89">
              <w:rPr>
                <w:rFonts w:eastAsia="Arial" w:cs="Arial"/>
                <w:sz w:val="20"/>
                <w:szCs w:val="20"/>
              </w:rPr>
              <w:t>.</w:t>
            </w:r>
            <w:r w:rsidRPr="00903F89">
              <w:rPr>
                <w:rFonts w:cs="Arial"/>
                <w:sz w:val="20"/>
                <w:szCs w:val="20"/>
              </w:rPr>
              <w:t xml:space="preserve">  Στόχος είναι να εξευρεθούν τρόποι για την αναβάθμιση της ποιότητας διδασκαλίας,</w:t>
            </w:r>
            <w:r w:rsidRPr="00903F89">
              <w:rPr>
                <w:rFonts w:eastAsia="Arial" w:cs="Arial"/>
                <w:strike/>
                <w:sz w:val="20"/>
                <w:szCs w:val="20"/>
              </w:rPr>
              <w:t xml:space="preserve"> </w:t>
            </w:r>
            <w:r w:rsidRPr="00903F89">
              <w:rPr>
                <w:rFonts w:cs="Arial"/>
                <w:sz w:val="20"/>
                <w:szCs w:val="20"/>
              </w:rPr>
              <w:t>τη διεύρυνση της ερευνητικής δικτύωσης και τον επαναπατρισμό αξιόλογων Κυπρίων ακαδημαϊκών στην Κύπρο.</w:t>
            </w:r>
          </w:p>
        </w:tc>
      </w:tr>
      <w:tr w:rsidR="00DD1E0D" w:rsidRPr="00903F89" w14:paraId="06646A9F" w14:textId="77777777" w:rsidTr="007353AA">
        <w:tc>
          <w:tcPr>
            <w:tcW w:w="10632" w:type="dxa"/>
            <w:gridSpan w:val="8"/>
            <w:shd w:val="clear" w:color="auto" w:fill="auto"/>
          </w:tcPr>
          <w:p w14:paraId="5FBA3A88" w14:textId="77777777" w:rsidR="00DD1E0D" w:rsidRPr="00903F89" w:rsidRDefault="00DD1E0D" w:rsidP="00903F89">
            <w:pPr>
              <w:jc w:val="both"/>
              <w:rPr>
                <w:rFonts w:cs="Arial"/>
                <w:sz w:val="20"/>
                <w:szCs w:val="20"/>
              </w:rPr>
            </w:pPr>
          </w:p>
        </w:tc>
      </w:tr>
      <w:tr w:rsidR="00DD1E0D" w:rsidRPr="00903F89" w14:paraId="354D4E66" w14:textId="77777777" w:rsidTr="007353AA">
        <w:tc>
          <w:tcPr>
            <w:tcW w:w="10632" w:type="dxa"/>
            <w:gridSpan w:val="8"/>
            <w:shd w:val="clear" w:color="auto" w:fill="auto"/>
          </w:tcPr>
          <w:p w14:paraId="79AE7862" w14:textId="604F8EDB"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 xml:space="preserve">Το Πανεπιστήμιο καταβάλει σε κάθε άτομο που θα προσκληθεί, για ένα μήνα, το ποσό που παρουσιάζεται πιο κάτω πίνακα, ανάλογα με τη θέση που κατέχει. </w:t>
            </w:r>
            <w:r w:rsidRPr="00903F89">
              <w:rPr>
                <w:rFonts w:eastAsia="Arial" w:cs="Arial"/>
                <w:sz w:val="20"/>
                <w:szCs w:val="20"/>
              </w:rPr>
              <w:t xml:space="preserve"> </w:t>
            </w:r>
          </w:p>
        </w:tc>
      </w:tr>
      <w:tr w:rsidR="00DD1E0D" w:rsidRPr="00903F89" w14:paraId="51FCDD49" w14:textId="77777777" w:rsidTr="007353AA">
        <w:tc>
          <w:tcPr>
            <w:tcW w:w="6096" w:type="dxa"/>
            <w:gridSpan w:val="5"/>
            <w:shd w:val="clear" w:color="auto" w:fill="auto"/>
          </w:tcPr>
          <w:p w14:paraId="59C8BFCA" w14:textId="77777777" w:rsidR="00DD1E0D" w:rsidRPr="00903F89" w:rsidRDefault="00DD1E0D" w:rsidP="00903F89">
            <w:pPr>
              <w:autoSpaceDE w:val="0"/>
              <w:autoSpaceDN w:val="0"/>
              <w:adjustRightInd w:val="0"/>
              <w:jc w:val="both"/>
              <w:rPr>
                <w:rFonts w:cs="Arial"/>
                <w:sz w:val="20"/>
                <w:szCs w:val="20"/>
              </w:rPr>
            </w:pPr>
          </w:p>
        </w:tc>
        <w:tc>
          <w:tcPr>
            <w:tcW w:w="4536" w:type="dxa"/>
            <w:gridSpan w:val="3"/>
            <w:shd w:val="clear" w:color="auto" w:fill="auto"/>
          </w:tcPr>
          <w:p w14:paraId="220FC4C7" w14:textId="1E8D2199"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 xml:space="preserve">       €</w:t>
            </w:r>
          </w:p>
        </w:tc>
      </w:tr>
      <w:tr w:rsidR="00DD1E0D" w:rsidRPr="00903F89" w14:paraId="08F580C8" w14:textId="77777777" w:rsidTr="007353AA">
        <w:tc>
          <w:tcPr>
            <w:tcW w:w="6096" w:type="dxa"/>
            <w:gridSpan w:val="5"/>
            <w:shd w:val="clear" w:color="auto" w:fill="auto"/>
          </w:tcPr>
          <w:p w14:paraId="7F21BFD9" w14:textId="1515176D"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Καθηγητή</w:t>
            </w:r>
            <w:r w:rsidRPr="00903F89">
              <w:rPr>
                <w:rFonts w:cs="Arial"/>
                <w:sz w:val="20"/>
                <w:szCs w:val="20"/>
              </w:rPr>
              <w:tab/>
            </w:r>
            <w:r w:rsidRPr="00903F89">
              <w:rPr>
                <w:rFonts w:cs="Arial"/>
                <w:sz w:val="20"/>
                <w:szCs w:val="20"/>
              </w:rPr>
              <w:tab/>
            </w:r>
            <w:r w:rsidRPr="00903F89">
              <w:rPr>
                <w:rFonts w:cs="Arial"/>
                <w:sz w:val="20"/>
                <w:szCs w:val="20"/>
              </w:rPr>
              <w:tab/>
            </w:r>
            <w:r w:rsidRPr="00903F89">
              <w:rPr>
                <w:rFonts w:cs="Arial"/>
                <w:sz w:val="20"/>
                <w:szCs w:val="20"/>
              </w:rPr>
              <w:tab/>
            </w:r>
            <w:r w:rsidRPr="00903F89">
              <w:rPr>
                <w:rFonts w:cs="Arial"/>
                <w:sz w:val="20"/>
                <w:szCs w:val="20"/>
              </w:rPr>
              <w:tab/>
            </w:r>
          </w:p>
          <w:p w14:paraId="4CC9ED94" w14:textId="0ECC23F0"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Αναπληρωτή Καθηγητή</w:t>
            </w:r>
            <w:r w:rsidRPr="00903F89">
              <w:rPr>
                <w:rFonts w:cs="Arial"/>
                <w:sz w:val="20"/>
                <w:szCs w:val="20"/>
              </w:rPr>
              <w:tab/>
            </w:r>
            <w:r w:rsidRPr="00903F89">
              <w:rPr>
                <w:rFonts w:cs="Arial"/>
                <w:sz w:val="20"/>
                <w:szCs w:val="20"/>
              </w:rPr>
              <w:tab/>
            </w:r>
            <w:r w:rsidRPr="00903F89">
              <w:rPr>
                <w:rFonts w:cs="Arial"/>
                <w:sz w:val="20"/>
                <w:szCs w:val="20"/>
              </w:rPr>
              <w:tab/>
            </w:r>
            <w:r w:rsidRPr="00903F89">
              <w:rPr>
                <w:rFonts w:cs="Arial"/>
                <w:sz w:val="20"/>
                <w:szCs w:val="20"/>
              </w:rPr>
              <w:tab/>
            </w:r>
          </w:p>
          <w:p w14:paraId="79AC2971" w14:textId="255F91BE"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Επίκουρου Καθηγητή</w:t>
            </w:r>
            <w:r w:rsidRPr="00903F89">
              <w:rPr>
                <w:rFonts w:cs="Arial"/>
                <w:sz w:val="20"/>
                <w:szCs w:val="20"/>
              </w:rPr>
              <w:tab/>
            </w:r>
            <w:r w:rsidRPr="00903F89">
              <w:rPr>
                <w:rFonts w:cs="Arial"/>
                <w:sz w:val="20"/>
                <w:szCs w:val="20"/>
              </w:rPr>
              <w:tab/>
            </w:r>
            <w:r w:rsidRPr="00903F89">
              <w:rPr>
                <w:rFonts w:cs="Arial"/>
                <w:sz w:val="20"/>
                <w:szCs w:val="20"/>
              </w:rPr>
              <w:tab/>
            </w:r>
            <w:r w:rsidRPr="00903F89">
              <w:rPr>
                <w:rFonts w:cs="Arial"/>
                <w:sz w:val="20"/>
                <w:szCs w:val="20"/>
              </w:rPr>
              <w:tab/>
            </w:r>
          </w:p>
          <w:p w14:paraId="5CBEDCB8" w14:textId="2EDA6553" w:rsidR="00DD1E0D" w:rsidRPr="00903F89" w:rsidRDefault="00DD1E0D" w:rsidP="00903F89">
            <w:pPr>
              <w:autoSpaceDE w:val="0"/>
              <w:autoSpaceDN w:val="0"/>
              <w:adjustRightInd w:val="0"/>
              <w:jc w:val="both"/>
              <w:rPr>
                <w:rFonts w:eastAsia="Arial" w:cs="Arial"/>
                <w:sz w:val="20"/>
                <w:szCs w:val="20"/>
                <w:lang w:val="en-US"/>
              </w:rPr>
            </w:pPr>
            <w:r w:rsidRPr="00903F89">
              <w:rPr>
                <w:rFonts w:cs="Arial"/>
                <w:sz w:val="20"/>
                <w:szCs w:val="20"/>
              </w:rPr>
              <w:t>Λέκτορα</w:t>
            </w:r>
            <w:r w:rsidRPr="00903F89">
              <w:rPr>
                <w:rFonts w:cs="Arial"/>
                <w:sz w:val="20"/>
                <w:szCs w:val="20"/>
                <w:lang w:val="en-US"/>
              </w:rPr>
              <w:tab/>
            </w:r>
            <w:r w:rsidRPr="00903F89">
              <w:rPr>
                <w:rFonts w:cs="Arial"/>
                <w:sz w:val="20"/>
                <w:szCs w:val="20"/>
                <w:lang w:val="en-US"/>
              </w:rPr>
              <w:tab/>
            </w:r>
            <w:r w:rsidRPr="00903F89">
              <w:rPr>
                <w:rFonts w:cs="Arial"/>
                <w:sz w:val="20"/>
                <w:szCs w:val="20"/>
                <w:lang w:val="en-US"/>
              </w:rPr>
              <w:tab/>
            </w:r>
            <w:r w:rsidRPr="00903F89">
              <w:rPr>
                <w:rFonts w:cs="Arial"/>
                <w:sz w:val="20"/>
                <w:szCs w:val="20"/>
                <w:lang w:val="en-US"/>
              </w:rPr>
              <w:tab/>
            </w:r>
            <w:r w:rsidRPr="00903F89">
              <w:rPr>
                <w:rFonts w:cs="Arial"/>
                <w:sz w:val="20"/>
                <w:szCs w:val="20"/>
                <w:lang w:val="en-US"/>
              </w:rPr>
              <w:tab/>
            </w:r>
          </w:p>
          <w:p w14:paraId="73131AEC" w14:textId="017DA49D" w:rsidR="00DD1E0D" w:rsidRPr="00903F89" w:rsidRDefault="00DD1E0D" w:rsidP="00903F89">
            <w:pPr>
              <w:autoSpaceDE w:val="0"/>
              <w:autoSpaceDN w:val="0"/>
              <w:adjustRightInd w:val="0"/>
              <w:jc w:val="both"/>
              <w:rPr>
                <w:rFonts w:eastAsia="Arial" w:cs="Arial"/>
                <w:sz w:val="20"/>
                <w:szCs w:val="20"/>
                <w:lang w:val="en-US"/>
              </w:rPr>
            </w:pPr>
            <w:r w:rsidRPr="00903F89">
              <w:rPr>
                <w:rFonts w:cs="Arial"/>
                <w:sz w:val="20"/>
                <w:szCs w:val="20"/>
              </w:rPr>
              <w:t>Ερευνητή</w:t>
            </w:r>
            <w:r w:rsidRPr="00903F89">
              <w:rPr>
                <w:rFonts w:cs="Arial"/>
                <w:sz w:val="20"/>
                <w:szCs w:val="20"/>
                <w:lang w:val="en-US"/>
              </w:rPr>
              <w:t xml:space="preserve"> (Post-Doctoral Fellow, Research Associate, Scientist)</w:t>
            </w:r>
          </w:p>
        </w:tc>
        <w:tc>
          <w:tcPr>
            <w:tcW w:w="4536" w:type="dxa"/>
            <w:gridSpan w:val="3"/>
            <w:shd w:val="clear" w:color="auto" w:fill="auto"/>
          </w:tcPr>
          <w:p w14:paraId="4C20CA3D" w14:textId="77777777"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5.000</w:t>
            </w:r>
          </w:p>
          <w:p w14:paraId="691CE06C" w14:textId="77777777"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4.500</w:t>
            </w:r>
          </w:p>
          <w:p w14:paraId="4258F1E3" w14:textId="77777777"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4.000</w:t>
            </w:r>
          </w:p>
          <w:p w14:paraId="7F6291B0" w14:textId="77777777" w:rsidR="00DD1E0D" w:rsidRPr="00903F89" w:rsidRDefault="00DD1E0D" w:rsidP="00903F89">
            <w:pPr>
              <w:autoSpaceDE w:val="0"/>
              <w:autoSpaceDN w:val="0"/>
              <w:adjustRightInd w:val="0"/>
              <w:jc w:val="both"/>
              <w:rPr>
                <w:rFonts w:eastAsia="Arial" w:cs="Arial"/>
                <w:sz w:val="20"/>
                <w:szCs w:val="20"/>
                <w:lang w:val="en-US"/>
              </w:rPr>
            </w:pPr>
            <w:r w:rsidRPr="00903F89">
              <w:rPr>
                <w:rFonts w:cs="Arial"/>
                <w:sz w:val="20"/>
                <w:szCs w:val="20"/>
                <w:lang w:val="en-US"/>
              </w:rPr>
              <w:t>3.500</w:t>
            </w:r>
          </w:p>
          <w:p w14:paraId="7E43C550" w14:textId="037C0739"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lang w:val="en-US"/>
              </w:rPr>
              <w:t>3.000</w:t>
            </w:r>
          </w:p>
        </w:tc>
      </w:tr>
      <w:tr w:rsidR="00DD1E0D" w:rsidRPr="00903F89" w14:paraId="774FFFF9" w14:textId="77777777" w:rsidTr="007353AA">
        <w:tc>
          <w:tcPr>
            <w:tcW w:w="10632" w:type="dxa"/>
            <w:gridSpan w:val="8"/>
            <w:shd w:val="clear" w:color="auto" w:fill="auto"/>
          </w:tcPr>
          <w:p w14:paraId="12663D72" w14:textId="77777777" w:rsidR="00DD1E0D" w:rsidRPr="00903F89" w:rsidRDefault="00DD1E0D" w:rsidP="00903F89">
            <w:pPr>
              <w:autoSpaceDE w:val="0"/>
              <w:autoSpaceDN w:val="0"/>
              <w:adjustRightInd w:val="0"/>
              <w:jc w:val="both"/>
              <w:rPr>
                <w:rFonts w:cs="Arial"/>
                <w:sz w:val="20"/>
                <w:szCs w:val="20"/>
              </w:rPr>
            </w:pPr>
          </w:p>
        </w:tc>
      </w:tr>
      <w:tr w:rsidR="00DD1E0D" w:rsidRPr="00903F89" w14:paraId="011FFAEE" w14:textId="77777777" w:rsidTr="00693D96">
        <w:trPr>
          <w:trHeight w:val="521"/>
        </w:trPr>
        <w:tc>
          <w:tcPr>
            <w:tcW w:w="10632" w:type="dxa"/>
            <w:gridSpan w:val="8"/>
            <w:shd w:val="clear" w:color="auto" w:fill="auto"/>
          </w:tcPr>
          <w:p w14:paraId="3E73F237" w14:textId="0BC86E19" w:rsidR="00DD1E0D" w:rsidRPr="00903F89" w:rsidRDefault="00DD1E0D" w:rsidP="00903F89">
            <w:pPr>
              <w:autoSpaceDE w:val="0"/>
              <w:autoSpaceDN w:val="0"/>
              <w:adjustRightInd w:val="0"/>
              <w:jc w:val="both"/>
              <w:rPr>
                <w:rFonts w:eastAsia="Arial" w:cs="Arial"/>
                <w:sz w:val="20"/>
                <w:szCs w:val="20"/>
              </w:rPr>
            </w:pPr>
            <w:r w:rsidRPr="00903F89">
              <w:rPr>
                <w:rFonts w:cs="Arial"/>
                <w:sz w:val="20"/>
                <w:szCs w:val="20"/>
              </w:rPr>
              <w:t>Στο ποσό αυτό συμπεριλαμβάνεται η αγορά αεροπορικού εισιτηρίου καθώς και τα έξοδα διαμονής, σίτισης και μετακίνησης. Νοείται ότι σε περίπτωση που άτομα προσκληθούν για λιγότερο από ένα μήνα, το ποσό μειώνεται ανάλογα.  Σε άτομα που προέρχονται από τη Βόρειο Αμερική, τον Καναδά, την Αυστραλία ή την Άπω Ανατολή καταβάλλεται επιπρόσθετο ποσό ύψους €500 για την αγορά του εισιτηρίου.</w:t>
            </w:r>
          </w:p>
        </w:tc>
      </w:tr>
      <w:tr w:rsidR="00DD1E0D" w:rsidRPr="00903F89" w14:paraId="553FBC67" w14:textId="77777777" w:rsidTr="007353AA">
        <w:tc>
          <w:tcPr>
            <w:tcW w:w="2721" w:type="dxa"/>
            <w:gridSpan w:val="2"/>
            <w:shd w:val="clear" w:color="auto" w:fill="auto"/>
          </w:tcPr>
          <w:p w14:paraId="226D9783" w14:textId="77777777" w:rsidR="00DD1E0D" w:rsidRPr="00903F89" w:rsidRDefault="00DD1E0D" w:rsidP="00903F89">
            <w:pPr>
              <w:jc w:val="both"/>
              <w:rPr>
                <w:rFonts w:cs="Arial"/>
                <w:b/>
                <w:sz w:val="20"/>
                <w:szCs w:val="20"/>
                <w:u w:val="single"/>
              </w:rPr>
            </w:pPr>
          </w:p>
        </w:tc>
        <w:tc>
          <w:tcPr>
            <w:tcW w:w="2559" w:type="dxa"/>
            <w:gridSpan w:val="2"/>
            <w:shd w:val="clear" w:color="auto" w:fill="auto"/>
          </w:tcPr>
          <w:p w14:paraId="615A4113" w14:textId="77777777" w:rsidR="00DD1E0D" w:rsidRPr="00903F89" w:rsidRDefault="00DD1E0D" w:rsidP="00903F89">
            <w:pPr>
              <w:jc w:val="both"/>
              <w:rPr>
                <w:rFonts w:cs="Arial"/>
                <w:bCs/>
                <w:sz w:val="20"/>
                <w:szCs w:val="20"/>
              </w:rPr>
            </w:pPr>
          </w:p>
        </w:tc>
        <w:tc>
          <w:tcPr>
            <w:tcW w:w="5352" w:type="dxa"/>
            <w:gridSpan w:val="4"/>
          </w:tcPr>
          <w:p w14:paraId="5E7F507D" w14:textId="77777777" w:rsidR="00DD1E0D" w:rsidRPr="00903F89" w:rsidRDefault="00DD1E0D" w:rsidP="00903F89">
            <w:pPr>
              <w:jc w:val="both"/>
              <w:rPr>
                <w:rFonts w:cs="Arial"/>
                <w:b/>
                <w:sz w:val="20"/>
                <w:szCs w:val="20"/>
                <w:u w:val="single"/>
              </w:rPr>
            </w:pPr>
          </w:p>
        </w:tc>
      </w:tr>
      <w:tr w:rsidR="00DD1E0D" w:rsidRPr="00903F89" w14:paraId="3A119C26" w14:textId="77777777" w:rsidTr="007353AA">
        <w:tc>
          <w:tcPr>
            <w:tcW w:w="10632" w:type="dxa"/>
            <w:gridSpan w:val="8"/>
            <w:shd w:val="clear" w:color="auto" w:fill="auto"/>
          </w:tcPr>
          <w:p w14:paraId="25F81A31" w14:textId="4DE66936" w:rsidR="00DD1E0D" w:rsidRPr="00903F89" w:rsidRDefault="00DD1E0D" w:rsidP="00903F89">
            <w:pPr>
              <w:jc w:val="both"/>
              <w:rPr>
                <w:rFonts w:eastAsia="Arial" w:cs="Arial"/>
                <w:sz w:val="20"/>
                <w:szCs w:val="20"/>
              </w:rPr>
            </w:pPr>
            <w:r w:rsidRPr="00903F89">
              <w:rPr>
                <w:rFonts w:cs="Arial"/>
                <w:b/>
                <w:bCs/>
                <w:sz w:val="20"/>
                <w:szCs w:val="20"/>
                <w:u w:val="single"/>
              </w:rPr>
              <w:t>Άρθρο 328 – Τέλη Πιστοποίησης Προγραμμάτων Σπουδών – €</w:t>
            </w:r>
            <w:r w:rsidR="00845999" w:rsidRPr="00903F89">
              <w:rPr>
                <w:rFonts w:cs="Arial"/>
                <w:b/>
                <w:bCs/>
                <w:sz w:val="20"/>
                <w:szCs w:val="20"/>
                <w:u w:val="single"/>
              </w:rPr>
              <w:t>229.720</w:t>
            </w:r>
          </w:p>
        </w:tc>
      </w:tr>
      <w:tr w:rsidR="00DD1E0D" w:rsidRPr="00903F89" w14:paraId="6CA518F7" w14:textId="77777777" w:rsidTr="007353AA">
        <w:tc>
          <w:tcPr>
            <w:tcW w:w="2721" w:type="dxa"/>
            <w:gridSpan w:val="2"/>
            <w:shd w:val="clear" w:color="auto" w:fill="auto"/>
          </w:tcPr>
          <w:p w14:paraId="25C1F0F1" w14:textId="77777777" w:rsidR="00DD1E0D" w:rsidRPr="00903F89" w:rsidRDefault="00DD1E0D" w:rsidP="00903F89">
            <w:pPr>
              <w:jc w:val="both"/>
              <w:rPr>
                <w:rFonts w:cs="Arial"/>
                <w:b/>
                <w:sz w:val="20"/>
                <w:szCs w:val="20"/>
                <w:u w:val="single"/>
              </w:rPr>
            </w:pPr>
          </w:p>
        </w:tc>
        <w:tc>
          <w:tcPr>
            <w:tcW w:w="2559" w:type="dxa"/>
            <w:gridSpan w:val="2"/>
            <w:shd w:val="clear" w:color="auto" w:fill="auto"/>
          </w:tcPr>
          <w:p w14:paraId="1C450779" w14:textId="77777777" w:rsidR="00DD1E0D" w:rsidRPr="00903F89" w:rsidRDefault="00DD1E0D" w:rsidP="00903F89">
            <w:pPr>
              <w:jc w:val="both"/>
              <w:rPr>
                <w:rFonts w:cs="Arial"/>
                <w:bCs/>
                <w:sz w:val="20"/>
                <w:szCs w:val="20"/>
              </w:rPr>
            </w:pPr>
          </w:p>
        </w:tc>
        <w:tc>
          <w:tcPr>
            <w:tcW w:w="5352" w:type="dxa"/>
            <w:gridSpan w:val="4"/>
          </w:tcPr>
          <w:p w14:paraId="1F3C7018" w14:textId="77777777" w:rsidR="00DD1E0D" w:rsidRPr="00903F89" w:rsidRDefault="00DD1E0D" w:rsidP="00903F89">
            <w:pPr>
              <w:jc w:val="both"/>
              <w:rPr>
                <w:rFonts w:cs="Arial"/>
                <w:b/>
                <w:sz w:val="20"/>
                <w:szCs w:val="20"/>
                <w:u w:val="single"/>
              </w:rPr>
            </w:pPr>
          </w:p>
        </w:tc>
      </w:tr>
      <w:tr w:rsidR="00DD1E0D" w:rsidRPr="00903F89" w14:paraId="6D840EA8" w14:textId="77777777" w:rsidTr="007353AA">
        <w:tc>
          <w:tcPr>
            <w:tcW w:w="10632" w:type="dxa"/>
            <w:gridSpan w:val="8"/>
            <w:shd w:val="clear" w:color="auto" w:fill="auto"/>
          </w:tcPr>
          <w:p w14:paraId="7F2E6DB6" w14:textId="6E4E60E8" w:rsidR="00DD1E0D" w:rsidRPr="00903F89" w:rsidRDefault="00DD1E0D" w:rsidP="00903F89">
            <w:pPr>
              <w:jc w:val="both"/>
              <w:rPr>
                <w:rFonts w:eastAsia="Arial" w:cs="Arial"/>
                <w:b/>
                <w:bCs/>
                <w:sz w:val="20"/>
                <w:szCs w:val="20"/>
                <w:u w:val="single"/>
              </w:rPr>
            </w:pPr>
            <w:r w:rsidRPr="00903F89">
              <w:rPr>
                <w:rFonts w:cs="Arial"/>
                <w:sz w:val="20"/>
                <w:szCs w:val="20"/>
              </w:rPr>
              <w:t>Η πρόνοια προορίζεται να καλύψει την καταβολή τελών αξιολόγησης και πιστοποίησης των Προγραμμάτων Σπουδών, των Τμημάτων και του Πανεπιστημίου από το Φορέα Διασφάλισης και Πιστοποίησης Ποιότητας Ανώτατης Εκπαίδευσης, βάσει του Νόμου Ν. 136(Ι)/2015 περί της Διασφάλισης και Πιστοποίησης της Ποιότητας της Ανώτερης Εκπαίδευσης και της Ίδρυσης και Λειτουργίας Φορέα για Συναφή Θέματα.</w:t>
            </w:r>
          </w:p>
        </w:tc>
      </w:tr>
      <w:tr w:rsidR="00DD1E0D" w:rsidRPr="00903F89" w14:paraId="283EFC0F" w14:textId="77777777" w:rsidTr="007353AA">
        <w:tc>
          <w:tcPr>
            <w:tcW w:w="10632" w:type="dxa"/>
            <w:gridSpan w:val="8"/>
            <w:shd w:val="clear" w:color="auto" w:fill="auto"/>
          </w:tcPr>
          <w:p w14:paraId="1E7FCF43" w14:textId="13589734" w:rsidR="00DD1E0D" w:rsidRPr="00903F89" w:rsidRDefault="00DD1E0D" w:rsidP="00903F89">
            <w:pPr>
              <w:jc w:val="both"/>
              <w:rPr>
                <w:rFonts w:cs="Arial"/>
                <w:sz w:val="20"/>
                <w:szCs w:val="20"/>
              </w:rPr>
            </w:pPr>
          </w:p>
        </w:tc>
      </w:tr>
      <w:tr w:rsidR="00DD1E0D" w:rsidRPr="00903F89" w14:paraId="7655DCBD" w14:textId="77777777" w:rsidTr="007353AA">
        <w:tc>
          <w:tcPr>
            <w:tcW w:w="10632" w:type="dxa"/>
            <w:gridSpan w:val="8"/>
            <w:shd w:val="clear" w:color="auto" w:fill="auto"/>
          </w:tcPr>
          <w:p w14:paraId="3FFD5FED" w14:textId="02ADB2A3" w:rsidR="00DD1E0D" w:rsidRPr="00903F89" w:rsidRDefault="00232E14" w:rsidP="00903F89">
            <w:pPr>
              <w:jc w:val="both"/>
              <w:rPr>
                <w:rFonts w:cs="Arial"/>
                <w:sz w:val="20"/>
                <w:szCs w:val="20"/>
              </w:rPr>
            </w:pPr>
            <w:r w:rsidRPr="00903F89">
              <w:rPr>
                <w:rFonts w:cs="Arial"/>
                <w:sz w:val="20"/>
                <w:szCs w:val="20"/>
              </w:rPr>
              <w:t>Η πρόνοια του άρθρου δύναται επίσης να καλύψει δαπάνες διεθνών πιστοποιήσεων του Πανεπιστημίου συμπεριλαμβανομένου των Σχολών, Τμημάτων και των Προγραμμάτων Σπουδών από Φορείς του εξωτερικού, όπως επίσης και δαπάνες που αφορούν στην εξασφάλιση διαγνωστικών εξετάσεων από Διεθνούς Φορείς για πιστοποίηση του επιπέδου ξένων γλωσσών με το οποίο οι φοιτητές εισέρχονται στο ΠΚ.</w:t>
            </w:r>
          </w:p>
        </w:tc>
      </w:tr>
      <w:tr w:rsidR="00DD1E0D" w:rsidRPr="00903F89" w14:paraId="1E2105D2" w14:textId="77777777" w:rsidTr="007353AA">
        <w:tc>
          <w:tcPr>
            <w:tcW w:w="2721" w:type="dxa"/>
            <w:gridSpan w:val="2"/>
            <w:shd w:val="clear" w:color="auto" w:fill="auto"/>
          </w:tcPr>
          <w:p w14:paraId="6F44C2C9" w14:textId="77777777" w:rsidR="00DD1E0D" w:rsidRPr="00903F89" w:rsidRDefault="00DD1E0D" w:rsidP="00903F89">
            <w:pPr>
              <w:jc w:val="both"/>
              <w:rPr>
                <w:rFonts w:cs="Arial"/>
                <w:b/>
                <w:sz w:val="20"/>
                <w:szCs w:val="20"/>
                <w:u w:val="single"/>
              </w:rPr>
            </w:pPr>
          </w:p>
        </w:tc>
        <w:tc>
          <w:tcPr>
            <w:tcW w:w="2559" w:type="dxa"/>
            <w:gridSpan w:val="2"/>
            <w:shd w:val="clear" w:color="auto" w:fill="auto"/>
          </w:tcPr>
          <w:p w14:paraId="3BF1806C" w14:textId="77777777" w:rsidR="00DD1E0D" w:rsidRPr="00903F89" w:rsidRDefault="00DD1E0D" w:rsidP="00903F89">
            <w:pPr>
              <w:jc w:val="both"/>
              <w:rPr>
                <w:rFonts w:cs="Arial"/>
                <w:bCs/>
                <w:sz w:val="20"/>
                <w:szCs w:val="20"/>
              </w:rPr>
            </w:pPr>
          </w:p>
        </w:tc>
        <w:tc>
          <w:tcPr>
            <w:tcW w:w="5352" w:type="dxa"/>
            <w:gridSpan w:val="4"/>
          </w:tcPr>
          <w:p w14:paraId="3AD87C30" w14:textId="77777777" w:rsidR="00DD1E0D" w:rsidRPr="00903F89" w:rsidRDefault="00DD1E0D" w:rsidP="00903F89">
            <w:pPr>
              <w:jc w:val="both"/>
              <w:rPr>
                <w:rFonts w:cs="Arial"/>
                <w:b/>
                <w:sz w:val="20"/>
                <w:szCs w:val="20"/>
                <w:u w:val="single"/>
              </w:rPr>
            </w:pPr>
          </w:p>
        </w:tc>
      </w:tr>
      <w:tr w:rsidR="00DD1E0D" w:rsidRPr="00903F89" w14:paraId="48A95246" w14:textId="77777777" w:rsidTr="007353AA">
        <w:tc>
          <w:tcPr>
            <w:tcW w:w="10632" w:type="dxa"/>
            <w:gridSpan w:val="8"/>
            <w:shd w:val="clear" w:color="auto" w:fill="auto"/>
          </w:tcPr>
          <w:p w14:paraId="659CBA70" w14:textId="5C8A57E4" w:rsidR="00DD1E0D" w:rsidRPr="00903F89" w:rsidRDefault="00DD1E0D" w:rsidP="00903F89">
            <w:pPr>
              <w:jc w:val="both"/>
              <w:rPr>
                <w:rFonts w:cs="Arial"/>
                <w:b/>
                <w:sz w:val="20"/>
                <w:szCs w:val="20"/>
                <w:u w:val="single"/>
              </w:rPr>
            </w:pPr>
            <w:r w:rsidRPr="00903F89">
              <w:rPr>
                <w:rFonts w:cs="Arial"/>
                <w:b/>
                <w:bCs/>
                <w:sz w:val="20"/>
                <w:szCs w:val="20"/>
                <w:u w:val="single"/>
              </w:rPr>
              <w:t xml:space="preserve">Άρθρο 329 </w:t>
            </w:r>
            <w:r w:rsidRPr="00903F89">
              <w:rPr>
                <w:rFonts w:eastAsia="Arial" w:cs="Arial"/>
                <w:b/>
                <w:bCs/>
                <w:sz w:val="20"/>
                <w:szCs w:val="20"/>
                <w:u w:val="single"/>
              </w:rPr>
              <w:t xml:space="preserve">– </w:t>
            </w:r>
            <w:r w:rsidRPr="00903F89">
              <w:rPr>
                <w:rFonts w:cs="Arial"/>
                <w:b/>
                <w:bCs/>
                <w:sz w:val="20"/>
                <w:szCs w:val="20"/>
                <w:u w:val="single"/>
              </w:rPr>
              <w:t>Έργα και Σχέδια Συγχρηματοδοτούμενα από Κοινοτικούς Πόρους (Δαπάνες από Χρηματοδότηση Πανεπιστημίου) - BIOBANK - Biobanking and the Cyprus Human Genome Project</w:t>
            </w:r>
            <w:r w:rsidRPr="00903F89">
              <w:rPr>
                <w:rFonts w:eastAsia="Arial" w:cs="Arial"/>
                <w:b/>
                <w:bCs/>
                <w:sz w:val="20"/>
                <w:szCs w:val="20"/>
                <w:u w:val="single"/>
                <w:shd w:val="clear" w:color="auto" w:fill="FFFFFF" w:themeFill="background1"/>
              </w:rPr>
              <w:t>–</w:t>
            </w:r>
            <w:r w:rsidRPr="00903F89">
              <w:rPr>
                <w:rFonts w:cs="Arial"/>
                <w:b/>
                <w:bCs/>
                <w:sz w:val="20"/>
                <w:szCs w:val="20"/>
                <w:u w:val="single"/>
                <w:shd w:val="clear" w:color="auto" w:fill="FFFFFF" w:themeFill="background1"/>
              </w:rPr>
              <w:t xml:space="preserve"> €</w:t>
            </w:r>
            <w:r w:rsidR="008F26E9" w:rsidRPr="00903F89">
              <w:rPr>
                <w:rFonts w:cs="Arial"/>
                <w:b/>
                <w:bCs/>
                <w:sz w:val="20"/>
                <w:szCs w:val="20"/>
                <w:u w:val="single"/>
                <w:shd w:val="clear" w:color="auto" w:fill="FFFFFF" w:themeFill="background1"/>
              </w:rPr>
              <w:t>0</w:t>
            </w:r>
          </w:p>
        </w:tc>
      </w:tr>
      <w:tr w:rsidR="00DD1E0D" w:rsidRPr="00903F89" w14:paraId="4EA80641" w14:textId="77777777" w:rsidTr="007353AA">
        <w:tc>
          <w:tcPr>
            <w:tcW w:w="10632" w:type="dxa"/>
            <w:gridSpan w:val="8"/>
            <w:shd w:val="clear" w:color="auto" w:fill="auto"/>
          </w:tcPr>
          <w:p w14:paraId="59528AEA" w14:textId="77777777" w:rsidR="00DD1E0D" w:rsidRPr="00903F89" w:rsidRDefault="00DD1E0D" w:rsidP="00903F89">
            <w:pPr>
              <w:jc w:val="both"/>
              <w:rPr>
                <w:rFonts w:cs="Arial"/>
                <w:b/>
                <w:sz w:val="20"/>
                <w:szCs w:val="20"/>
                <w:u w:val="single"/>
              </w:rPr>
            </w:pPr>
          </w:p>
        </w:tc>
      </w:tr>
      <w:tr w:rsidR="00DD1E0D" w:rsidRPr="00903F89" w14:paraId="3AE42FB2" w14:textId="77777777" w:rsidTr="007353AA">
        <w:tc>
          <w:tcPr>
            <w:tcW w:w="10632" w:type="dxa"/>
            <w:gridSpan w:val="8"/>
            <w:shd w:val="clear" w:color="auto" w:fill="auto"/>
          </w:tcPr>
          <w:p w14:paraId="18060B17" w14:textId="18F8B578" w:rsidR="00DD1E0D" w:rsidRPr="00903F89" w:rsidRDefault="0096769A" w:rsidP="00903F89">
            <w:pPr>
              <w:jc w:val="both"/>
              <w:rPr>
                <w:rFonts w:eastAsia="Arial" w:cs="Arial"/>
                <w:strike/>
                <w:sz w:val="20"/>
                <w:szCs w:val="20"/>
              </w:rPr>
            </w:pPr>
            <w:r w:rsidRPr="0096769A">
              <w:rPr>
                <w:rFonts w:cs="Arial"/>
                <w:sz w:val="20"/>
                <w:szCs w:val="20"/>
              </w:rPr>
              <w:t>Κατάργηση Άρθρου. Οι δαπάνες για το 2022 εμφανίζονται στο Άρθρο 622</w:t>
            </w:r>
            <w:r w:rsidR="00614B7B">
              <w:rPr>
                <w:rFonts w:cs="Arial"/>
                <w:sz w:val="20"/>
                <w:szCs w:val="20"/>
              </w:rPr>
              <w:t>,</w:t>
            </w:r>
            <w:r w:rsidRPr="0096769A">
              <w:rPr>
                <w:rFonts w:cs="Arial"/>
                <w:sz w:val="20"/>
                <w:szCs w:val="20"/>
              </w:rPr>
              <w:t xml:space="preserve"> με τίτλο «Έργα και Σχέδια Συγχρηματοδοτούμενα από Πανεπιστήμιο Κύπρου) - BIOBANK - Biobanking and the Cyprus Human Genome Project», στην Υποομάδα 620 «Δαπάνες Συγχρηματοδοτούμενες από Πανεπιστήμιο Κύπρου»).</w:t>
            </w:r>
          </w:p>
        </w:tc>
      </w:tr>
      <w:tr w:rsidR="00DD1E0D" w:rsidRPr="00903F89" w14:paraId="3537AFF2" w14:textId="77777777" w:rsidTr="007353AA">
        <w:tc>
          <w:tcPr>
            <w:tcW w:w="10632" w:type="dxa"/>
            <w:gridSpan w:val="8"/>
            <w:shd w:val="clear" w:color="auto" w:fill="auto"/>
          </w:tcPr>
          <w:p w14:paraId="10C373A1" w14:textId="3E1EABCA" w:rsidR="00DD1E0D" w:rsidRPr="00903F89" w:rsidRDefault="00DD1E0D" w:rsidP="00903F89">
            <w:pPr>
              <w:ind w:left="34"/>
              <w:jc w:val="both"/>
              <w:rPr>
                <w:rFonts w:eastAsia="Arial" w:cs="Arial"/>
                <w:sz w:val="20"/>
                <w:szCs w:val="20"/>
              </w:rPr>
            </w:pPr>
          </w:p>
        </w:tc>
      </w:tr>
      <w:tr w:rsidR="00DD1E0D" w:rsidRPr="00903F89" w14:paraId="7613350B" w14:textId="77777777" w:rsidTr="007353AA">
        <w:tc>
          <w:tcPr>
            <w:tcW w:w="10632" w:type="dxa"/>
            <w:gridSpan w:val="8"/>
            <w:shd w:val="clear" w:color="auto" w:fill="auto"/>
          </w:tcPr>
          <w:p w14:paraId="1F9A1B3A" w14:textId="73268AC3" w:rsidR="00DD1E0D" w:rsidRPr="00903F89" w:rsidRDefault="00FF2718" w:rsidP="00903F89">
            <w:pPr>
              <w:jc w:val="both"/>
              <w:rPr>
                <w:rFonts w:eastAsia="Arial" w:cs="Arial"/>
                <w:b/>
                <w:bCs/>
                <w:sz w:val="20"/>
                <w:szCs w:val="20"/>
                <w:u w:val="single"/>
              </w:rPr>
            </w:pPr>
            <w:r w:rsidRPr="00903F89">
              <w:rPr>
                <w:rFonts w:cs="Arial"/>
                <w:b/>
                <w:bCs/>
                <w:sz w:val="20"/>
                <w:szCs w:val="20"/>
                <w:u w:val="single"/>
              </w:rPr>
              <w:t xml:space="preserve">Υποομάδα </w:t>
            </w:r>
            <w:r w:rsidR="00DD1E0D" w:rsidRPr="00903F89">
              <w:rPr>
                <w:rFonts w:cs="Arial"/>
                <w:b/>
                <w:bCs/>
                <w:sz w:val="20"/>
                <w:szCs w:val="20"/>
                <w:u w:val="single"/>
              </w:rPr>
              <w:t>330 – Συντήρηση</w:t>
            </w:r>
          </w:p>
        </w:tc>
      </w:tr>
      <w:tr w:rsidR="00DD1E0D" w:rsidRPr="00903F89" w14:paraId="04BAEDEE" w14:textId="77777777" w:rsidTr="007353AA">
        <w:tc>
          <w:tcPr>
            <w:tcW w:w="2721" w:type="dxa"/>
            <w:gridSpan w:val="2"/>
            <w:shd w:val="clear" w:color="auto" w:fill="auto"/>
          </w:tcPr>
          <w:p w14:paraId="785C5F27" w14:textId="77777777" w:rsidR="00DD1E0D" w:rsidRPr="00903F89" w:rsidRDefault="00DD1E0D" w:rsidP="00903F89">
            <w:pPr>
              <w:jc w:val="both"/>
              <w:rPr>
                <w:rFonts w:cs="Arial"/>
                <w:b/>
                <w:sz w:val="20"/>
                <w:szCs w:val="20"/>
                <w:u w:val="single"/>
              </w:rPr>
            </w:pPr>
          </w:p>
        </w:tc>
        <w:tc>
          <w:tcPr>
            <w:tcW w:w="2559" w:type="dxa"/>
            <w:gridSpan w:val="2"/>
            <w:shd w:val="clear" w:color="auto" w:fill="auto"/>
          </w:tcPr>
          <w:p w14:paraId="0ABB583A" w14:textId="77777777" w:rsidR="00DD1E0D" w:rsidRPr="00903F89" w:rsidRDefault="00DD1E0D" w:rsidP="00903F89">
            <w:pPr>
              <w:jc w:val="both"/>
              <w:rPr>
                <w:rFonts w:cs="Arial"/>
                <w:bCs/>
                <w:sz w:val="20"/>
                <w:szCs w:val="20"/>
              </w:rPr>
            </w:pPr>
          </w:p>
        </w:tc>
        <w:tc>
          <w:tcPr>
            <w:tcW w:w="5352" w:type="dxa"/>
            <w:gridSpan w:val="4"/>
          </w:tcPr>
          <w:p w14:paraId="503462B1" w14:textId="77777777" w:rsidR="00DD1E0D" w:rsidRPr="00903F89" w:rsidRDefault="00DD1E0D" w:rsidP="00903F89">
            <w:pPr>
              <w:jc w:val="both"/>
              <w:rPr>
                <w:rFonts w:cs="Arial"/>
                <w:b/>
                <w:sz w:val="20"/>
                <w:szCs w:val="20"/>
                <w:u w:val="single"/>
              </w:rPr>
            </w:pPr>
          </w:p>
        </w:tc>
      </w:tr>
      <w:tr w:rsidR="00DD1E0D" w:rsidRPr="00903F89" w14:paraId="7B7CB3E4" w14:textId="77777777" w:rsidTr="007353AA">
        <w:tc>
          <w:tcPr>
            <w:tcW w:w="10632" w:type="dxa"/>
            <w:gridSpan w:val="8"/>
          </w:tcPr>
          <w:p w14:paraId="53D05C95" w14:textId="09F0D73F"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331 – Συντήρηση και Λειτουργία Οχημάτων – €</w:t>
            </w:r>
            <w:r w:rsidR="008F26E9" w:rsidRPr="00903F89">
              <w:rPr>
                <w:rFonts w:cs="Arial"/>
                <w:b/>
                <w:bCs/>
                <w:sz w:val="20"/>
                <w:szCs w:val="20"/>
                <w:u w:val="single"/>
              </w:rPr>
              <w:t>60.000</w:t>
            </w:r>
          </w:p>
        </w:tc>
      </w:tr>
      <w:tr w:rsidR="00DD1E0D" w:rsidRPr="00903F89" w14:paraId="5CA6E28F" w14:textId="77777777" w:rsidTr="007353AA">
        <w:tc>
          <w:tcPr>
            <w:tcW w:w="2721" w:type="dxa"/>
            <w:gridSpan w:val="2"/>
          </w:tcPr>
          <w:p w14:paraId="5C6363AE" w14:textId="77777777" w:rsidR="00DD1E0D" w:rsidRPr="00903F89" w:rsidRDefault="00DD1E0D" w:rsidP="00903F89">
            <w:pPr>
              <w:jc w:val="both"/>
              <w:rPr>
                <w:rFonts w:cs="Arial"/>
                <w:b/>
                <w:sz w:val="20"/>
                <w:szCs w:val="20"/>
                <w:u w:val="single"/>
              </w:rPr>
            </w:pPr>
          </w:p>
        </w:tc>
        <w:tc>
          <w:tcPr>
            <w:tcW w:w="2559" w:type="dxa"/>
            <w:gridSpan w:val="2"/>
          </w:tcPr>
          <w:p w14:paraId="6BF3F847" w14:textId="77777777" w:rsidR="00DD1E0D" w:rsidRPr="00903F89" w:rsidRDefault="00DD1E0D" w:rsidP="00903F89">
            <w:pPr>
              <w:jc w:val="both"/>
              <w:rPr>
                <w:rFonts w:cs="Arial"/>
                <w:b/>
                <w:sz w:val="20"/>
                <w:szCs w:val="20"/>
                <w:u w:val="single"/>
              </w:rPr>
            </w:pPr>
          </w:p>
        </w:tc>
        <w:tc>
          <w:tcPr>
            <w:tcW w:w="5352" w:type="dxa"/>
            <w:gridSpan w:val="4"/>
          </w:tcPr>
          <w:p w14:paraId="0988B57B" w14:textId="77777777" w:rsidR="00DD1E0D" w:rsidRPr="00903F89" w:rsidRDefault="00DD1E0D" w:rsidP="00903F89">
            <w:pPr>
              <w:jc w:val="both"/>
              <w:rPr>
                <w:rFonts w:cs="Arial"/>
                <w:b/>
                <w:sz w:val="20"/>
                <w:szCs w:val="20"/>
                <w:u w:val="single"/>
              </w:rPr>
            </w:pPr>
          </w:p>
        </w:tc>
      </w:tr>
      <w:tr w:rsidR="00DD1E0D" w:rsidRPr="00903F89" w14:paraId="40BD0F62" w14:textId="77777777" w:rsidTr="007353AA">
        <w:tc>
          <w:tcPr>
            <w:tcW w:w="10632" w:type="dxa"/>
            <w:gridSpan w:val="8"/>
          </w:tcPr>
          <w:p w14:paraId="28578604" w14:textId="2FF4A0FD" w:rsidR="00DD1E0D" w:rsidRPr="00903F89" w:rsidRDefault="00DD1E0D" w:rsidP="00903F89">
            <w:pPr>
              <w:jc w:val="both"/>
              <w:rPr>
                <w:rFonts w:eastAsia="Arial" w:cs="Arial"/>
                <w:b/>
                <w:bCs/>
                <w:sz w:val="20"/>
                <w:szCs w:val="20"/>
                <w:u w:val="single"/>
              </w:rPr>
            </w:pPr>
            <w:r w:rsidRPr="00903F89">
              <w:rPr>
                <w:rFonts w:cs="Arial"/>
                <w:sz w:val="20"/>
                <w:szCs w:val="20"/>
              </w:rPr>
              <w:t xml:space="preserve">Η πρόνοια αυτή καλύπτει όλες τις δαπάνες που σχετίζονται με τη συντήρηση και τη λειτουργία των οχημάτων του Πανεπιστημίου Κύπρου όπως τέλη έκδοσης άδειας κυκλοφορίας μηχανοκινήτων, καύσιμα, δαπάνες συντήρησης, επιδιόρθωσης, </w:t>
            </w:r>
            <w:r w:rsidR="00D55285" w:rsidRPr="00903F89">
              <w:rPr>
                <w:rFonts w:cs="Arial"/>
                <w:sz w:val="20"/>
                <w:szCs w:val="20"/>
              </w:rPr>
              <w:t>κ.λπ</w:t>
            </w:r>
            <w:r w:rsidRPr="00903F89">
              <w:rPr>
                <w:rFonts w:cs="Arial"/>
                <w:sz w:val="20"/>
                <w:szCs w:val="20"/>
              </w:rPr>
              <w:t>.</w:t>
            </w:r>
          </w:p>
        </w:tc>
      </w:tr>
      <w:tr w:rsidR="00DD1E0D" w:rsidRPr="00903F89" w14:paraId="0AB9BABB" w14:textId="77777777" w:rsidTr="007353AA">
        <w:tc>
          <w:tcPr>
            <w:tcW w:w="2721" w:type="dxa"/>
            <w:gridSpan w:val="2"/>
          </w:tcPr>
          <w:p w14:paraId="27045BF8" w14:textId="77777777" w:rsidR="00DD1E0D" w:rsidRPr="00903F89" w:rsidRDefault="00DD1E0D" w:rsidP="00903F89">
            <w:pPr>
              <w:jc w:val="both"/>
              <w:rPr>
                <w:rFonts w:cs="Arial"/>
                <w:b/>
                <w:sz w:val="20"/>
                <w:szCs w:val="20"/>
                <w:u w:val="single"/>
              </w:rPr>
            </w:pPr>
          </w:p>
        </w:tc>
        <w:tc>
          <w:tcPr>
            <w:tcW w:w="2559" w:type="dxa"/>
            <w:gridSpan w:val="2"/>
          </w:tcPr>
          <w:p w14:paraId="6D48F136" w14:textId="77777777" w:rsidR="00DD1E0D" w:rsidRPr="00903F89" w:rsidRDefault="00DD1E0D" w:rsidP="00903F89">
            <w:pPr>
              <w:jc w:val="both"/>
              <w:rPr>
                <w:rFonts w:cs="Arial"/>
                <w:b/>
                <w:sz w:val="20"/>
                <w:szCs w:val="20"/>
                <w:u w:val="single"/>
              </w:rPr>
            </w:pPr>
          </w:p>
        </w:tc>
        <w:tc>
          <w:tcPr>
            <w:tcW w:w="5352" w:type="dxa"/>
            <w:gridSpan w:val="4"/>
          </w:tcPr>
          <w:p w14:paraId="225AA6B2" w14:textId="77777777" w:rsidR="00DD1E0D" w:rsidRPr="00903F89" w:rsidRDefault="00DD1E0D" w:rsidP="00903F89">
            <w:pPr>
              <w:jc w:val="both"/>
              <w:rPr>
                <w:rFonts w:cs="Arial"/>
                <w:b/>
                <w:sz w:val="20"/>
                <w:szCs w:val="20"/>
                <w:u w:val="single"/>
              </w:rPr>
            </w:pPr>
          </w:p>
        </w:tc>
      </w:tr>
      <w:tr w:rsidR="00DD1E0D" w:rsidRPr="00903F89" w14:paraId="4EB29914" w14:textId="77777777" w:rsidTr="007353AA">
        <w:tc>
          <w:tcPr>
            <w:tcW w:w="10632" w:type="dxa"/>
            <w:gridSpan w:val="8"/>
            <w:shd w:val="clear" w:color="auto" w:fill="auto"/>
          </w:tcPr>
          <w:p w14:paraId="7B71901D" w14:textId="3F76F2FD"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332 – Συντήρηση και Λειτουργία Μηχανογραφικών, Ηλεκτρονικών και άλλων Συστημάτων – €</w:t>
            </w:r>
            <w:r w:rsidR="008F26E9" w:rsidRPr="00903F89">
              <w:rPr>
                <w:rFonts w:cs="Arial"/>
                <w:b/>
                <w:bCs/>
                <w:sz w:val="20"/>
                <w:szCs w:val="20"/>
                <w:u w:val="single"/>
              </w:rPr>
              <w:t>842.295</w:t>
            </w:r>
          </w:p>
        </w:tc>
      </w:tr>
      <w:tr w:rsidR="00DD1E0D" w:rsidRPr="00903F89" w14:paraId="2EA52D12" w14:textId="77777777" w:rsidTr="007353AA">
        <w:tc>
          <w:tcPr>
            <w:tcW w:w="2721" w:type="dxa"/>
            <w:gridSpan w:val="2"/>
          </w:tcPr>
          <w:p w14:paraId="3C18622A" w14:textId="77777777" w:rsidR="00DD1E0D" w:rsidRPr="00903F89" w:rsidRDefault="00DD1E0D" w:rsidP="00903F89">
            <w:pPr>
              <w:jc w:val="both"/>
              <w:rPr>
                <w:rFonts w:cs="Arial"/>
                <w:b/>
                <w:sz w:val="20"/>
                <w:szCs w:val="20"/>
                <w:u w:val="single"/>
              </w:rPr>
            </w:pPr>
          </w:p>
        </w:tc>
        <w:tc>
          <w:tcPr>
            <w:tcW w:w="2559" w:type="dxa"/>
            <w:gridSpan w:val="2"/>
          </w:tcPr>
          <w:p w14:paraId="0E7AC432" w14:textId="77777777" w:rsidR="00DD1E0D" w:rsidRPr="00903F89" w:rsidRDefault="00DD1E0D" w:rsidP="00903F89">
            <w:pPr>
              <w:jc w:val="both"/>
              <w:rPr>
                <w:rFonts w:cs="Arial"/>
                <w:b/>
                <w:sz w:val="20"/>
                <w:szCs w:val="20"/>
                <w:u w:val="single"/>
              </w:rPr>
            </w:pPr>
          </w:p>
        </w:tc>
        <w:tc>
          <w:tcPr>
            <w:tcW w:w="5352" w:type="dxa"/>
            <w:gridSpan w:val="4"/>
          </w:tcPr>
          <w:p w14:paraId="16C56AF6" w14:textId="77777777" w:rsidR="00DD1E0D" w:rsidRPr="00903F89" w:rsidRDefault="00DD1E0D" w:rsidP="00903F89">
            <w:pPr>
              <w:jc w:val="both"/>
              <w:rPr>
                <w:rFonts w:cs="Arial"/>
                <w:b/>
                <w:sz w:val="20"/>
                <w:szCs w:val="20"/>
                <w:u w:val="single"/>
              </w:rPr>
            </w:pPr>
          </w:p>
        </w:tc>
      </w:tr>
      <w:tr w:rsidR="00DD1E0D" w:rsidRPr="00903F89" w14:paraId="41B9CC36" w14:textId="77777777" w:rsidTr="007353AA">
        <w:tc>
          <w:tcPr>
            <w:tcW w:w="10632" w:type="dxa"/>
            <w:gridSpan w:val="8"/>
          </w:tcPr>
          <w:p w14:paraId="09D81567" w14:textId="21420517" w:rsidR="00DD1E0D" w:rsidRPr="00903F89" w:rsidRDefault="00DD1E0D" w:rsidP="00903F89">
            <w:pPr>
              <w:jc w:val="both"/>
              <w:rPr>
                <w:rFonts w:eastAsia="Arial" w:cs="Arial"/>
                <w:b/>
                <w:bCs/>
                <w:sz w:val="20"/>
                <w:szCs w:val="20"/>
                <w:u w:val="single"/>
              </w:rPr>
            </w:pPr>
            <w:r w:rsidRPr="00903F89">
              <w:rPr>
                <w:rFonts w:cs="Arial"/>
                <w:sz w:val="20"/>
                <w:szCs w:val="20"/>
              </w:rPr>
              <w:t xml:space="preserve">Η πρόνοια αυτή προορίζεται να καλύψει τις ανάγκες που σχετίζονται με τη συντήρηση και τη λειτουργία του μηχανογραφικού, ηλεκτρονικού και εργαστηριακού εξοπλισμού, και γενικά τη λειτουργία των συστημάτων (συμπεριλαμβανομένου της συντήρησης έμβιων συστημάτων) του Πανεπιστημίου Κύπρου.  </w:t>
            </w:r>
          </w:p>
        </w:tc>
      </w:tr>
      <w:tr w:rsidR="00DD1E0D" w:rsidRPr="00903F89" w14:paraId="3C6342BF" w14:textId="77777777" w:rsidTr="007353AA">
        <w:tc>
          <w:tcPr>
            <w:tcW w:w="10632" w:type="dxa"/>
            <w:gridSpan w:val="8"/>
          </w:tcPr>
          <w:p w14:paraId="6917429C" w14:textId="77777777" w:rsidR="00DD1E0D" w:rsidRPr="00903F89" w:rsidRDefault="00DD1E0D" w:rsidP="00903F89">
            <w:pPr>
              <w:jc w:val="both"/>
              <w:rPr>
                <w:rFonts w:cs="Arial"/>
                <w:sz w:val="20"/>
                <w:szCs w:val="20"/>
              </w:rPr>
            </w:pPr>
          </w:p>
        </w:tc>
      </w:tr>
      <w:tr w:rsidR="00DD1E0D" w:rsidRPr="00903F89" w14:paraId="1C41C7CF" w14:textId="77777777" w:rsidTr="007353AA">
        <w:tc>
          <w:tcPr>
            <w:tcW w:w="10632" w:type="dxa"/>
            <w:gridSpan w:val="8"/>
          </w:tcPr>
          <w:p w14:paraId="659EE847" w14:textId="046717F9" w:rsidR="00DD1E0D" w:rsidRPr="00903F89" w:rsidRDefault="00DD1E0D" w:rsidP="00903F89">
            <w:pPr>
              <w:jc w:val="both"/>
              <w:rPr>
                <w:rFonts w:eastAsia="Arial" w:cs="Arial"/>
                <w:b/>
                <w:bCs/>
                <w:sz w:val="20"/>
                <w:szCs w:val="20"/>
                <w:u w:val="single"/>
              </w:rPr>
            </w:pPr>
            <w:r w:rsidRPr="00903F89">
              <w:rPr>
                <w:rFonts w:cs="Arial"/>
                <w:sz w:val="20"/>
                <w:szCs w:val="20"/>
              </w:rPr>
              <w:t xml:space="preserve">Η πρόνοια δύναται να καλύψει δαπάνες αγοράς αναλώσιμων ειδών μηχανογραφικού εξοπλισμού, καθώς και δαπάνες κάλυψης συμβολαίων συντήρησης τηλεπικοινωνιακού εξοπλισμού και άλλων λειτουργικών εξόδων. </w:t>
            </w:r>
          </w:p>
        </w:tc>
      </w:tr>
      <w:tr w:rsidR="00DD1E0D" w:rsidRPr="00903F89" w14:paraId="52835293" w14:textId="77777777" w:rsidTr="007353AA">
        <w:tc>
          <w:tcPr>
            <w:tcW w:w="10632" w:type="dxa"/>
            <w:gridSpan w:val="8"/>
          </w:tcPr>
          <w:p w14:paraId="039DA9AF" w14:textId="77777777" w:rsidR="00DD1E0D" w:rsidRPr="00903F89" w:rsidRDefault="00DD1E0D" w:rsidP="00903F89">
            <w:pPr>
              <w:jc w:val="both"/>
              <w:rPr>
                <w:rFonts w:cs="Arial"/>
                <w:sz w:val="20"/>
                <w:szCs w:val="20"/>
              </w:rPr>
            </w:pPr>
          </w:p>
        </w:tc>
      </w:tr>
      <w:tr w:rsidR="006507D9" w:rsidRPr="00903F89" w14:paraId="05CC9D84" w14:textId="77777777" w:rsidTr="007353AA">
        <w:tc>
          <w:tcPr>
            <w:tcW w:w="10632" w:type="dxa"/>
            <w:gridSpan w:val="8"/>
            <w:shd w:val="clear" w:color="auto" w:fill="auto"/>
          </w:tcPr>
          <w:p w14:paraId="58AD2761" w14:textId="64F85D0E" w:rsidR="006507D9" w:rsidRPr="00903F89" w:rsidRDefault="006507D9" w:rsidP="00903F89">
            <w:pPr>
              <w:jc w:val="both"/>
              <w:rPr>
                <w:rFonts w:eastAsia="Arial" w:cs="Arial"/>
                <w:sz w:val="20"/>
                <w:szCs w:val="20"/>
                <w:u w:val="single"/>
              </w:rPr>
            </w:pPr>
            <w:r w:rsidRPr="00903F89">
              <w:rPr>
                <w:rFonts w:cs="Arial"/>
                <w:sz w:val="20"/>
                <w:szCs w:val="20"/>
              </w:rPr>
              <w:t xml:space="preserve">Δαπάνες που αφορούν στη λειτουργία εκτυπωτικών, φωτοτυπικών και μηχανών περιφερειακής υποστήριξης (π.χ. </w:t>
            </w:r>
            <w:r w:rsidRPr="00903F89">
              <w:rPr>
                <w:rFonts w:cs="Arial"/>
                <w:sz w:val="20"/>
                <w:szCs w:val="20"/>
                <w:lang w:val="en-US"/>
              </w:rPr>
              <w:t>toner</w:t>
            </w:r>
            <w:r w:rsidRPr="00903F89">
              <w:rPr>
                <w:rFonts w:cs="Arial"/>
                <w:sz w:val="20"/>
                <w:szCs w:val="20"/>
              </w:rPr>
              <w:t xml:space="preserve"> και συνδετήρες για φωτοτυπικές μηχανές, εκτυπωτικές μηχανές, κ</w:t>
            </w:r>
            <w:r w:rsidRPr="0096769A">
              <w:rPr>
                <w:rFonts w:cs="Arial"/>
                <w:sz w:val="20"/>
                <w:szCs w:val="20"/>
              </w:rPr>
              <w:t>.λπ.) καλύπτονται από την πρόνοια του άρθρου αυτού σύμφωνα με την πολιτική κατανομής και χρήσης πολυμηχανημάτων.</w:t>
            </w:r>
            <w:r w:rsidRPr="00903F89">
              <w:rPr>
                <w:rFonts w:cs="Arial"/>
                <w:sz w:val="20"/>
                <w:szCs w:val="20"/>
              </w:rPr>
              <w:t xml:space="preserve"> </w:t>
            </w:r>
          </w:p>
        </w:tc>
      </w:tr>
      <w:tr w:rsidR="00DD1E0D" w:rsidRPr="00903F89" w14:paraId="1AEB3523" w14:textId="77777777" w:rsidTr="007353AA">
        <w:tc>
          <w:tcPr>
            <w:tcW w:w="10632" w:type="dxa"/>
            <w:gridSpan w:val="8"/>
          </w:tcPr>
          <w:p w14:paraId="63FA786F" w14:textId="77777777" w:rsidR="00DD1E0D" w:rsidRPr="00903F89" w:rsidRDefault="00DD1E0D" w:rsidP="00903F89">
            <w:pPr>
              <w:jc w:val="both"/>
              <w:rPr>
                <w:rFonts w:cs="Arial"/>
                <w:sz w:val="20"/>
                <w:szCs w:val="20"/>
              </w:rPr>
            </w:pPr>
          </w:p>
        </w:tc>
      </w:tr>
      <w:tr w:rsidR="00DD1E0D" w:rsidRPr="00903F89" w14:paraId="04BE4613" w14:textId="77777777" w:rsidTr="007353AA">
        <w:tc>
          <w:tcPr>
            <w:tcW w:w="10632" w:type="dxa"/>
            <w:gridSpan w:val="8"/>
          </w:tcPr>
          <w:p w14:paraId="7018DC09" w14:textId="79491F97" w:rsidR="00DD1E0D" w:rsidRPr="00903F89" w:rsidRDefault="00DD1E0D" w:rsidP="00903F89">
            <w:pPr>
              <w:jc w:val="both"/>
              <w:rPr>
                <w:rFonts w:eastAsia="Arial" w:cs="Arial"/>
                <w:sz w:val="20"/>
                <w:szCs w:val="20"/>
              </w:rPr>
            </w:pPr>
            <w:r w:rsidRPr="00903F89">
              <w:rPr>
                <w:rFonts w:cs="Arial"/>
                <w:sz w:val="20"/>
                <w:szCs w:val="20"/>
              </w:rPr>
              <w:t>Στο ποσό έχουν συνυπολογιστεί οι ανάγκες που αναμένεται να παρουσιαστούν κατά τη λειτουργία του νέου Συστήματος Οικονομικής Διαχείρισης.</w:t>
            </w:r>
          </w:p>
        </w:tc>
      </w:tr>
      <w:tr w:rsidR="00DD1E0D" w:rsidRPr="00903F89" w14:paraId="0673911A" w14:textId="77777777" w:rsidTr="007353AA">
        <w:tc>
          <w:tcPr>
            <w:tcW w:w="2721" w:type="dxa"/>
            <w:gridSpan w:val="2"/>
          </w:tcPr>
          <w:p w14:paraId="2B6BA70A" w14:textId="77777777" w:rsidR="00DD1E0D" w:rsidRPr="00903F89" w:rsidRDefault="00DD1E0D" w:rsidP="00903F89">
            <w:pPr>
              <w:jc w:val="both"/>
              <w:rPr>
                <w:rFonts w:cs="Arial"/>
                <w:b/>
                <w:sz w:val="20"/>
                <w:szCs w:val="20"/>
                <w:u w:val="single"/>
              </w:rPr>
            </w:pPr>
          </w:p>
        </w:tc>
        <w:tc>
          <w:tcPr>
            <w:tcW w:w="2559" w:type="dxa"/>
            <w:gridSpan w:val="2"/>
          </w:tcPr>
          <w:p w14:paraId="5BF40452" w14:textId="77777777" w:rsidR="00DD1E0D" w:rsidRPr="00903F89" w:rsidRDefault="00DD1E0D" w:rsidP="00903F89">
            <w:pPr>
              <w:jc w:val="both"/>
              <w:rPr>
                <w:rFonts w:cs="Arial"/>
                <w:b/>
                <w:sz w:val="20"/>
                <w:szCs w:val="20"/>
                <w:u w:val="single"/>
              </w:rPr>
            </w:pPr>
          </w:p>
        </w:tc>
        <w:tc>
          <w:tcPr>
            <w:tcW w:w="5352" w:type="dxa"/>
            <w:gridSpan w:val="4"/>
          </w:tcPr>
          <w:p w14:paraId="3B56A7E3" w14:textId="77777777" w:rsidR="00DD1E0D" w:rsidRPr="00903F89" w:rsidRDefault="00DD1E0D" w:rsidP="00903F89">
            <w:pPr>
              <w:jc w:val="both"/>
              <w:rPr>
                <w:rFonts w:cs="Arial"/>
                <w:b/>
                <w:sz w:val="20"/>
                <w:szCs w:val="20"/>
                <w:u w:val="single"/>
              </w:rPr>
            </w:pPr>
          </w:p>
        </w:tc>
      </w:tr>
      <w:tr w:rsidR="00DD1E0D" w:rsidRPr="00903F89" w14:paraId="3B817B16" w14:textId="77777777" w:rsidTr="008F26E9">
        <w:trPr>
          <w:trHeight w:val="107"/>
        </w:trPr>
        <w:tc>
          <w:tcPr>
            <w:tcW w:w="10632" w:type="dxa"/>
            <w:gridSpan w:val="8"/>
          </w:tcPr>
          <w:p w14:paraId="6E0B1DC2" w14:textId="07E70F1A" w:rsidR="00DD1E0D" w:rsidRPr="00903F89" w:rsidRDefault="00DD1E0D" w:rsidP="00903F89">
            <w:pPr>
              <w:jc w:val="both"/>
              <w:rPr>
                <w:rFonts w:eastAsia="Arial" w:cs="Arial"/>
                <w:b/>
                <w:bCs/>
                <w:sz w:val="20"/>
                <w:szCs w:val="20"/>
                <w:u w:val="single"/>
              </w:rPr>
            </w:pPr>
            <w:bookmarkStart w:id="47" w:name="_Hlk77172912"/>
            <w:r w:rsidRPr="00903F89">
              <w:rPr>
                <w:rFonts w:cs="Arial"/>
                <w:b/>
                <w:bCs/>
                <w:sz w:val="20"/>
                <w:szCs w:val="20"/>
                <w:u w:val="single"/>
              </w:rPr>
              <w:t>Άρθρο 333 – Συντήρηση και Λειτουργία Κτηρίων, Χώρων και Γενικού Εξοπλισμού – €1.3</w:t>
            </w:r>
            <w:r w:rsidR="00662A63" w:rsidRPr="00903F89">
              <w:rPr>
                <w:rFonts w:cs="Arial"/>
                <w:b/>
                <w:bCs/>
                <w:sz w:val="20"/>
                <w:szCs w:val="20"/>
                <w:u w:val="single"/>
              </w:rPr>
              <w:t>5</w:t>
            </w:r>
            <w:r w:rsidRPr="00903F89">
              <w:rPr>
                <w:rFonts w:cs="Arial"/>
                <w:b/>
                <w:bCs/>
                <w:sz w:val="20"/>
                <w:szCs w:val="20"/>
                <w:u w:val="single"/>
              </w:rPr>
              <w:t>2.000</w:t>
            </w:r>
          </w:p>
        </w:tc>
      </w:tr>
      <w:tr w:rsidR="00DD1E0D" w:rsidRPr="00903F89" w14:paraId="713B7DDD" w14:textId="77777777" w:rsidTr="007353AA">
        <w:tc>
          <w:tcPr>
            <w:tcW w:w="2721" w:type="dxa"/>
            <w:gridSpan w:val="2"/>
          </w:tcPr>
          <w:p w14:paraId="343F33FB" w14:textId="77777777" w:rsidR="00DD1E0D" w:rsidRPr="00903F89" w:rsidRDefault="00DD1E0D" w:rsidP="00903F89">
            <w:pPr>
              <w:jc w:val="both"/>
              <w:rPr>
                <w:rFonts w:cs="Arial"/>
                <w:b/>
                <w:sz w:val="20"/>
                <w:szCs w:val="20"/>
                <w:u w:val="single"/>
              </w:rPr>
            </w:pPr>
          </w:p>
        </w:tc>
        <w:tc>
          <w:tcPr>
            <w:tcW w:w="2559" w:type="dxa"/>
            <w:gridSpan w:val="2"/>
          </w:tcPr>
          <w:p w14:paraId="77BA0091" w14:textId="77777777" w:rsidR="00DD1E0D" w:rsidRPr="00903F89" w:rsidRDefault="00DD1E0D" w:rsidP="00903F89">
            <w:pPr>
              <w:jc w:val="both"/>
              <w:rPr>
                <w:rFonts w:cs="Arial"/>
                <w:b/>
                <w:sz w:val="20"/>
                <w:szCs w:val="20"/>
                <w:u w:val="single"/>
              </w:rPr>
            </w:pPr>
          </w:p>
        </w:tc>
        <w:tc>
          <w:tcPr>
            <w:tcW w:w="5352" w:type="dxa"/>
            <w:gridSpan w:val="4"/>
          </w:tcPr>
          <w:p w14:paraId="35B4B975" w14:textId="77777777" w:rsidR="00DD1E0D" w:rsidRPr="00903F89" w:rsidRDefault="00DD1E0D" w:rsidP="00903F89">
            <w:pPr>
              <w:jc w:val="both"/>
              <w:rPr>
                <w:rFonts w:cs="Arial"/>
                <w:b/>
                <w:sz w:val="20"/>
                <w:szCs w:val="20"/>
                <w:u w:val="single"/>
              </w:rPr>
            </w:pPr>
          </w:p>
        </w:tc>
      </w:tr>
      <w:tr w:rsidR="00DD1E0D" w:rsidRPr="00903F89" w14:paraId="2B829B95" w14:textId="77777777" w:rsidTr="007353AA">
        <w:tc>
          <w:tcPr>
            <w:tcW w:w="10632" w:type="dxa"/>
            <w:gridSpan w:val="8"/>
            <w:shd w:val="clear" w:color="auto" w:fill="auto"/>
          </w:tcPr>
          <w:p w14:paraId="7C06CA0F" w14:textId="32F0F329" w:rsidR="00DD1E0D" w:rsidRPr="00903F89" w:rsidRDefault="00DD1E0D" w:rsidP="00903F89">
            <w:pPr>
              <w:jc w:val="both"/>
              <w:rPr>
                <w:rFonts w:eastAsia="Arial" w:cs="Arial"/>
                <w:b/>
                <w:bCs/>
                <w:sz w:val="20"/>
                <w:szCs w:val="20"/>
                <w:u w:val="single"/>
              </w:rPr>
            </w:pPr>
            <w:r w:rsidRPr="00903F89">
              <w:rPr>
                <w:rFonts w:cs="Arial"/>
                <w:sz w:val="20"/>
                <w:szCs w:val="20"/>
              </w:rPr>
              <w:t xml:space="preserve">Η πρόνοια προορίζεται να καλύψει τη δαπάνη που απαιτείται για την καλή και ασφαλή λειτουργία των χώρων και εγκαταστάσεων του Πανεπιστημίου. Συγκεκριμένα αφορά τη διασφάλιση της απαραίτητης συντήρησης και επιδιόρθωσης των κτηριακών και άλλων εγκαταστάσεων και εξοπλισμού του Πανεπιστημίου (συμπεριλαμβανομένων στατικών και δομικών στοιχείων, υδραυλικών εγκαταστάσεων, ηλεκτρικών και ηλεκτρονικών εγκαταστάσεων, μηχανολογικών εγκαταστάσεων και κλιματισμού, </w:t>
            </w:r>
            <w:r w:rsidR="00D55285" w:rsidRPr="00903F89">
              <w:rPr>
                <w:rFonts w:cs="Arial"/>
                <w:sz w:val="20"/>
                <w:szCs w:val="20"/>
              </w:rPr>
              <w:t>κ.λπ</w:t>
            </w:r>
            <w:r w:rsidRPr="00903F89">
              <w:rPr>
                <w:rFonts w:cs="Arial"/>
                <w:sz w:val="20"/>
                <w:szCs w:val="20"/>
              </w:rPr>
              <w:t xml:space="preserve">.). Επιπρόσθετα αφορά την καλή λειτουργία, συντήρηση και επιδιόρθωση του γενικού κινητού ή μη εξοπλισμού (επίπλων, διαχωριστικών, κινητών μηχανημάτων και συσκευών </w:t>
            </w:r>
            <w:r w:rsidR="00D55285" w:rsidRPr="00903F89">
              <w:rPr>
                <w:rFonts w:cs="Arial"/>
                <w:sz w:val="20"/>
                <w:szCs w:val="20"/>
              </w:rPr>
              <w:t>κ.λπ</w:t>
            </w:r>
            <w:r w:rsidRPr="00903F89">
              <w:rPr>
                <w:rFonts w:cs="Arial"/>
                <w:sz w:val="20"/>
                <w:szCs w:val="20"/>
              </w:rPr>
              <w:t xml:space="preserve">.), των εξωτερικών χώρων (υφιστάμενων και νέων διαμορφώσεων κήπων και υπαίθριων εγκαταστάσεων) ή άλλων χώρων πρασίνου, καθώς και την καταβολή σχετικών κοινοχρήστων τελών που προκύπτουν από τη χρήση χώρων σε ενοικιαζόμενα ή </w:t>
            </w:r>
            <w:proofErr w:type="spellStart"/>
            <w:r w:rsidRPr="00903F89">
              <w:rPr>
                <w:rFonts w:cs="Arial"/>
                <w:sz w:val="20"/>
                <w:szCs w:val="20"/>
              </w:rPr>
              <w:t>συνιδιόκτητα</w:t>
            </w:r>
            <w:proofErr w:type="spellEnd"/>
            <w:r w:rsidRPr="00903F89">
              <w:rPr>
                <w:rFonts w:cs="Arial"/>
                <w:sz w:val="20"/>
                <w:szCs w:val="20"/>
              </w:rPr>
              <w:t xml:space="preserve"> κτήρια ή/και οτιδήποτε αφορά τη διασφάλιση της εύρυθμης και ασφαλούς λειτουργίας των πιο πάνω. Περιλαμβάνει επίσης τις δαπάνες για απαιτούμενες ενέργειες και εργασίες για την λειτουργική αναδιοργάνωση και αναβάθμιση των χώρων και των εγκαταστάσεων.</w:t>
            </w:r>
          </w:p>
        </w:tc>
      </w:tr>
      <w:bookmarkEnd w:id="47"/>
      <w:tr w:rsidR="00DD1E0D" w:rsidRPr="00903F89" w14:paraId="078A12ED" w14:textId="77777777" w:rsidTr="007353AA">
        <w:tc>
          <w:tcPr>
            <w:tcW w:w="2721" w:type="dxa"/>
            <w:gridSpan w:val="2"/>
          </w:tcPr>
          <w:p w14:paraId="5318F4A1" w14:textId="77777777" w:rsidR="00DD1E0D" w:rsidRPr="00903F89" w:rsidRDefault="00DD1E0D" w:rsidP="00903F89">
            <w:pPr>
              <w:jc w:val="both"/>
              <w:rPr>
                <w:rFonts w:cs="Arial"/>
                <w:b/>
                <w:sz w:val="20"/>
                <w:szCs w:val="20"/>
                <w:u w:val="single"/>
              </w:rPr>
            </w:pPr>
          </w:p>
        </w:tc>
        <w:tc>
          <w:tcPr>
            <w:tcW w:w="2559" w:type="dxa"/>
            <w:gridSpan w:val="2"/>
          </w:tcPr>
          <w:p w14:paraId="7F6DA3CB" w14:textId="77777777" w:rsidR="00DD1E0D" w:rsidRPr="00903F89" w:rsidRDefault="00DD1E0D" w:rsidP="00903F89">
            <w:pPr>
              <w:jc w:val="both"/>
              <w:rPr>
                <w:rFonts w:cs="Arial"/>
                <w:b/>
                <w:sz w:val="20"/>
                <w:szCs w:val="20"/>
                <w:u w:val="single"/>
              </w:rPr>
            </w:pPr>
          </w:p>
        </w:tc>
        <w:tc>
          <w:tcPr>
            <w:tcW w:w="5352" w:type="dxa"/>
            <w:gridSpan w:val="4"/>
          </w:tcPr>
          <w:p w14:paraId="2C31A4C0" w14:textId="77777777" w:rsidR="00DD1E0D" w:rsidRPr="00903F89" w:rsidRDefault="00DD1E0D" w:rsidP="00903F89">
            <w:pPr>
              <w:jc w:val="both"/>
              <w:rPr>
                <w:rFonts w:cs="Arial"/>
                <w:b/>
                <w:sz w:val="20"/>
                <w:szCs w:val="20"/>
                <w:u w:val="single"/>
              </w:rPr>
            </w:pPr>
          </w:p>
        </w:tc>
      </w:tr>
      <w:tr w:rsidR="00DD1E0D" w:rsidRPr="00903F89" w14:paraId="3048C928" w14:textId="77777777" w:rsidTr="007353AA">
        <w:tc>
          <w:tcPr>
            <w:tcW w:w="10632" w:type="dxa"/>
            <w:gridSpan w:val="8"/>
            <w:shd w:val="clear" w:color="auto" w:fill="auto"/>
          </w:tcPr>
          <w:p w14:paraId="345B5E98" w14:textId="6F5FAC2D" w:rsidR="00DD1E0D" w:rsidRPr="00903F89" w:rsidRDefault="00DD1E0D" w:rsidP="00903F89">
            <w:pPr>
              <w:tabs>
                <w:tab w:val="left" w:pos="8442"/>
              </w:tabs>
              <w:jc w:val="both"/>
              <w:rPr>
                <w:rFonts w:eastAsia="Arial" w:cs="Arial"/>
                <w:sz w:val="20"/>
                <w:szCs w:val="20"/>
                <w:u w:val="single"/>
              </w:rPr>
            </w:pPr>
            <w:r w:rsidRPr="00903F89">
              <w:rPr>
                <w:rFonts w:cs="Arial"/>
                <w:sz w:val="20"/>
                <w:szCs w:val="20"/>
              </w:rPr>
              <w:t>Η πρόνοια, μεταξύ άλλων, προορίζεται να καλύψει δαπάνες που προκύπτουν από πάγια συμβόλαια προληπτικής και επιδιορθωτικής συντήρησης, όπως οικοδομικά, ηλεκτρολογικά και μηχανολογικά συμβόλαια, οικοδομικές ή άλλες τεχνικής φύσης επιδιορθώσεις και εργασίες αποκατάστασης, διασφάλιση της απρόσκοπτης λειτουργίας των δικτύων και εγκαταστάσεων κλιματισμού, ηλεκτροδότησης, υδροδότησης και αποχέτευσης και οποιαδήποτε άλλη ανάγκη ή εργασία συνδέεται με τα πιο πάνω.</w:t>
            </w:r>
          </w:p>
        </w:tc>
      </w:tr>
      <w:tr w:rsidR="00DD1E0D" w:rsidRPr="00903F89" w14:paraId="702DE400" w14:textId="77777777" w:rsidTr="007353AA">
        <w:tc>
          <w:tcPr>
            <w:tcW w:w="2721" w:type="dxa"/>
            <w:gridSpan w:val="2"/>
          </w:tcPr>
          <w:p w14:paraId="5ED04925" w14:textId="77777777" w:rsidR="00DD1E0D" w:rsidRPr="00903F89" w:rsidRDefault="00DD1E0D" w:rsidP="00903F89">
            <w:pPr>
              <w:jc w:val="both"/>
              <w:rPr>
                <w:rFonts w:cs="Arial"/>
                <w:b/>
                <w:sz w:val="20"/>
                <w:szCs w:val="20"/>
                <w:u w:val="single"/>
              </w:rPr>
            </w:pPr>
          </w:p>
        </w:tc>
        <w:tc>
          <w:tcPr>
            <w:tcW w:w="2559" w:type="dxa"/>
            <w:gridSpan w:val="2"/>
          </w:tcPr>
          <w:p w14:paraId="7792FD29" w14:textId="77777777" w:rsidR="00DD1E0D" w:rsidRPr="00903F89" w:rsidRDefault="00DD1E0D" w:rsidP="00903F89">
            <w:pPr>
              <w:jc w:val="both"/>
              <w:rPr>
                <w:rFonts w:cs="Arial"/>
                <w:b/>
                <w:sz w:val="20"/>
                <w:szCs w:val="20"/>
                <w:u w:val="single"/>
              </w:rPr>
            </w:pPr>
          </w:p>
        </w:tc>
        <w:tc>
          <w:tcPr>
            <w:tcW w:w="5352" w:type="dxa"/>
            <w:gridSpan w:val="4"/>
          </w:tcPr>
          <w:p w14:paraId="5D06FD3D" w14:textId="77777777" w:rsidR="00DD1E0D" w:rsidRPr="00903F89" w:rsidRDefault="00DD1E0D" w:rsidP="00903F89">
            <w:pPr>
              <w:jc w:val="both"/>
              <w:rPr>
                <w:rFonts w:cs="Arial"/>
                <w:b/>
                <w:sz w:val="20"/>
                <w:szCs w:val="20"/>
                <w:u w:val="single"/>
              </w:rPr>
            </w:pPr>
          </w:p>
        </w:tc>
      </w:tr>
      <w:tr w:rsidR="00DD1E0D" w:rsidRPr="00903F89" w14:paraId="474651E5" w14:textId="77777777" w:rsidTr="007353AA">
        <w:tc>
          <w:tcPr>
            <w:tcW w:w="10632" w:type="dxa"/>
            <w:gridSpan w:val="8"/>
          </w:tcPr>
          <w:p w14:paraId="7B0D4613" w14:textId="3458708E" w:rsidR="00DD1E0D" w:rsidRPr="00903F89" w:rsidRDefault="00DD1E0D" w:rsidP="00903F89">
            <w:pPr>
              <w:jc w:val="both"/>
              <w:rPr>
                <w:rFonts w:eastAsia="Arial" w:cs="Arial"/>
                <w:b/>
                <w:bCs/>
                <w:sz w:val="20"/>
                <w:szCs w:val="20"/>
                <w:u w:val="single"/>
                <w:lang w:val="en-US"/>
              </w:rPr>
            </w:pPr>
            <w:r w:rsidRPr="00903F89">
              <w:rPr>
                <w:rFonts w:cs="Arial"/>
                <w:b/>
                <w:bCs/>
                <w:sz w:val="20"/>
                <w:szCs w:val="20"/>
                <w:u w:val="single"/>
              </w:rPr>
              <w:t xml:space="preserve">Άρθρο 334 – Διάφορα – </w:t>
            </w:r>
            <w:r w:rsidR="008F26E9" w:rsidRPr="00903F89">
              <w:rPr>
                <w:rFonts w:cs="Arial"/>
                <w:b/>
                <w:bCs/>
                <w:sz w:val="20"/>
                <w:szCs w:val="20"/>
                <w:u w:val="single"/>
              </w:rPr>
              <w:t>€61.350</w:t>
            </w:r>
          </w:p>
        </w:tc>
      </w:tr>
      <w:tr w:rsidR="00DD1E0D" w:rsidRPr="00903F89" w14:paraId="315D32F5" w14:textId="77777777" w:rsidTr="007353AA">
        <w:tc>
          <w:tcPr>
            <w:tcW w:w="10632" w:type="dxa"/>
            <w:gridSpan w:val="8"/>
          </w:tcPr>
          <w:p w14:paraId="19CEE613" w14:textId="77777777" w:rsidR="00DD1E0D" w:rsidRPr="00903F89" w:rsidRDefault="00DD1E0D" w:rsidP="00903F89">
            <w:pPr>
              <w:jc w:val="both"/>
              <w:rPr>
                <w:rFonts w:cs="Arial"/>
                <w:b/>
                <w:sz w:val="20"/>
                <w:szCs w:val="20"/>
                <w:u w:val="single"/>
              </w:rPr>
            </w:pPr>
          </w:p>
        </w:tc>
      </w:tr>
      <w:tr w:rsidR="00DD1E0D" w:rsidRPr="00903F89" w14:paraId="044D0B72" w14:textId="77777777" w:rsidTr="007353AA">
        <w:tc>
          <w:tcPr>
            <w:tcW w:w="10632" w:type="dxa"/>
            <w:gridSpan w:val="8"/>
          </w:tcPr>
          <w:p w14:paraId="3B27E370" w14:textId="084883A1" w:rsidR="00DD1E0D" w:rsidRPr="00903F89" w:rsidRDefault="00DD1E0D" w:rsidP="00903F89">
            <w:pPr>
              <w:jc w:val="both"/>
              <w:rPr>
                <w:rFonts w:eastAsia="Arial" w:cs="Arial"/>
                <w:b/>
                <w:bCs/>
                <w:sz w:val="20"/>
                <w:szCs w:val="20"/>
                <w:u w:val="single"/>
              </w:rPr>
            </w:pPr>
            <w:r w:rsidRPr="00903F89">
              <w:rPr>
                <w:rFonts w:cs="Arial"/>
                <w:sz w:val="20"/>
                <w:szCs w:val="20"/>
              </w:rPr>
              <w:t>Το ποσό αυτό προορίζεται να καλύψει διάφορες γενικές διαχειριστικές δαπάνες που δεν εμπίπτουν στα άρθρα 331 – 333, και του 335. Η πρόνοια του άρθρου καλύπτει και το κόστος εκτύπωσης της φοιτητικής κάρτας.</w:t>
            </w:r>
          </w:p>
        </w:tc>
      </w:tr>
      <w:tr w:rsidR="00DD1E0D" w:rsidRPr="00903F89" w14:paraId="4CA76268" w14:textId="77777777" w:rsidTr="007353AA">
        <w:tc>
          <w:tcPr>
            <w:tcW w:w="10632" w:type="dxa"/>
            <w:gridSpan w:val="8"/>
            <w:shd w:val="clear" w:color="auto" w:fill="auto"/>
          </w:tcPr>
          <w:p w14:paraId="1982DEBB" w14:textId="77777777" w:rsidR="00DD1E0D" w:rsidRPr="00903F89" w:rsidRDefault="00DD1E0D" w:rsidP="00903F89">
            <w:pPr>
              <w:jc w:val="both"/>
              <w:rPr>
                <w:rFonts w:cs="Arial"/>
                <w:sz w:val="20"/>
                <w:szCs w:val="20"/>
              </w:rPr>
            </w:pPr>
          </w:p>
        </w:tc>
      </w:tr>
      <w:tr w:rsidR="00DD1E0D" w:rsidRPr="00903F89" w14:paraId="4BCA9100" w14:textId="77777777" w:rsidTr="007353AA">
        <w:tc>
          <w:tcPr>
            <w:tcW w:w="10632" w:type="dxa"/>
            <w:gridSpan w:val="8"/>
          </w:tcPr>
          <w:p w14:paraId="018AFAF7" w14:textId="1A588000"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335 – Ηλεκτρονικό Πληροφοριακό Υλικό (Περιορισμένης Διάρκειας σε Πρόσβαση) – €</w:t>
            </w:r>
            <w:r w:rsidR="008F26E9" w:rsidRPr="00903F89">
              <w:rPr>
                <w:rFonts w:cs="Arial"/>
                <w:b/>
                <w:bCs/>
                <w:sz w:val="20"/>
                <w:szCs w:val="20"/>
                <w:u w:val="single"/>
              </w:rPr>
              <w:t>711.280</w:t>
            </w:r>
          </w:p>
        </w:tc>
      </w:tr>
      <w:tr w:rsidR="00DD1E0D" w:rsidRPr="00903F89" w14:paraId="6CE10670" w14:textId="77777777" w:rsidTr="007353AA">
        <w:tc>
          <w:tcPr>
            <w:tcW w:w="2721" w:type="dxa"/>
            <w:gridSpan w:val="2"/>
          </w:tcPr>
          <w:p w14:paraId="506F6D9D" w14:textId="77777777" w:rsidR="00DD1E0D" w:rsidRPr="00903F89" w:rsidRDefault="00DD1E0D" w:rsidP="00903F89">
            <w:pPr>
              <w:jc w:val="both"/>
              <w:rPr>
                <w:rFonts w:cs="Arial"/>
                <w:b/>
                <w:sz w:val="20"/>
                <w:szCs w:val="20"/>
                <w:u w:val="single"/>
              </w:rPr>
            </w:pPr>
          </w:p>
        </w:tc>
        <w:tc>
          <w:tcPr>
            <w:tcW w:w="2559" w:type="dxa"/>
            <w:gridSpan w:val="2"/>
          </w:tcPr>
          <w:p w14:paraId="5DCD045D" w14:textId="77777777" w:rsidR="00DD1E0D" w:rsidRPr="00903F89" w:rsidRDefault="00DD1E0D" w:rsidP="00903F89">
            <w:pPr>
              <w:jc w:val="both"/>
              <w:rPr>
                <w:rFonts w:cs="Arial"/>
                <w:sz w:val="20"/>
                <w:szCs w:val="20"/>
              </w:rPr>
            </w:pPr>
          </w:p>
        </w:tc>
        <w:tc>
          <w:tcPr>
            <w:tcW w:w="5352" w:type="dxa"/>
            <w:gridSpan w:val="4"/>
          </w:tcPr>
          <w:p w14:paraId="1D2D45F2" w14:textId="77777777" w:rsidR="00DD1E0D" w:rsidRPr="00903F89" w:rsidRDefault="00DD1E0D" w:rsidP="00903F89">
            <w:pPr>
              <w:jc w:val="both"/>
              <w:rPr>
                <w:rFonts w:cs="Arial"/>
                <w:b/>
                <w:sz w:val="20"/>
                <w:szCs w:val="20"/>
                <w:u w:val="single"/>
              </w:rPr>
            </w:pPr>
          </w:p>
        </w:tc>
      </w:tr>
      <w:tr w:rsidR="00DD1E0D" w:rsidRPr="00903F89" w14:paraId="56FDD584" w14:textId="77777777" w:rsidTr="007353AA">
        <w:tc>
          <w:tcPr>
            <w:tcW w:w="10632" w:type="dxa"/>
            <w:gridSpan w:val="8"/>
          </w:tcPr>
          <w:p w14:paraId="0D0369C8" w14:textId="0E4AE1E6" w:rsidR="00DD1E0D" w:rsidRPr="00903F89" w:rsidRDefault="00DD1E0D" w:rsidP="00903F89">
            <w:pPr>
              <w:jc w:val="both"/>
              <w:rPr>
                <w:rFonts w:eastAsia="Arial" w:cs="Arial"/>
                <w:b/>
                <w:bCs/>
                <w:sz w:val="20"/>
                <w:szCs w:val="20"/>
                <w:u w:val="single"/>
              </w:rPr>
            </w:pPr>
            <w:r w:rsidRPr="00903F89">
              <w:rPr>
                <w:rFonts w:cs="Arial"/>
                <w:sz w:val="20"/>
                <w:szCs w:val="20"/>
              </w:rPr>
              <w:t>Η πρόνοια αυτή προορίζεται να καλύψει δαπάνες που αφορούν στην αγορά ή ανανέωση συνδρομών σε επιστημονικό πληροφοριακό υλικό για τη Βιβλιοθήκη του Πανεπιστημίου, με περιορισμένη διάρκεια πρόσβασης.  Η πρόνοια δύναται επίσης να καλύψει κύριες και σχετικές αναπτυξιακές ανάγκες του Πανεπιστημίου Κύπρου όπως π.χ.:</w:t>
            </w:r>
          </w:p>
        </w:tc>
      </w:tr>
      <w:tr w:rsidR="00DD1E0D" w:rsidRPr="00903F89" w14:paraId="61E048DA" w14:textId="77777777" w:rsidTr="007353AA">
        <w:tc>
          <w:tcPr>
            <w:tcW w:w="2721" w:type="dxa"/>
            <w:gridSpan w:val="2"/>
          </w:tcPr>
          <w:p w14:paraId="64D5258F" w14:textId="77777777" w:rsidR="00DD1E0D" w:rsidRPr="00903F89" w:rsidRDefault="00DD1E0D" w:rsidP="00903F89">
            <w:pPr>
              <w:jc w:val="both"/>
              <w:rPr>
                <w:rFonts w:cs="Arial"/>
                <w:b/>
                <w:sz w:val="20"/>
                <w:szCs w:val="20"/>
                <w:u w:val="single"/>
              </w:rPr>
            </w:pPr>
          </w:p>
        </w:tc>
        <w:tc>
          <w:tcPr>
            <w:tcW w:w="2559" w:type="dxa"/>
            <w:gridSpan w:val="2"/>
          </w:tcPr>
          <w:p w14:paraId="600EDB7A" w14:textId="77777777" w:rsidR="00DD1E0D" w:rsidRPr="00903F89" w:rsidRDefault="00DD1E0D" w:rsidP="00903F89">
            <w:pPr>
              <w:jc w:val="both"/>
              <w:rPr>
                <w:rFonts w:cs="Arial"/>
                <w:sz w:val="20"/>
                <w:szCs w:val="20"/>
              </w:rPr>
            </w:pPr>
          </w:p>
        </w:tc>
        <w:tc>
          <w:tcPr>
            <w:tcW w:w="5352" w:type="dxa"/>
            <w:gridSpan w:val="4"/>
          </w:tcPr>
          <w:p w14:paraId="3506D32E" w14:textId="77777777" w:rsidR="00DD1E0D" w:rsidRPr="00903F89" w:rsidRDefault="00DD1E0D" w:rsidP="00903F89">
            <w:pPr>
              <w:jc w:val="both"/>
              <w:rPr>
                <w:rFonts w:cs="Arial"/>
                <w:b/>
                <w:sz w:val="20"/>
                <w:szCs w:val="20"/>
                <w:u w:val="single"/>
              </w:rPr>
            </w:pPr>
          </w:p>
        </w:tc>
      </w:tr>
      <w:tr w:rsidR="00DD1E0D" w:rsidRPr="00903F89" w14:paraId="1989D1F2" w14:textId="77777777" w:rsidTr="007353AA">
        <w:tc>
          <w:tcPr>
            <w:tcW w:w="10632" w:type="dxa"/>
            <w:gridSpan w:val="8"/>
          </w:tcPr>
          <w:p w14:paraId="11D09EB8" w14:textId="77777777" w:rsidR="00DD1E0D" w:rsidRPr="00903F89" w:rsidRDefault="00DD1E0D" w:rsidP="00903F89">
            <w:pPr>
              <w:numPr>
                <w:ilvl w:val="0"/>
                <w:numId w:val="15"/>
              </w:numPr>
              <w:ind w:left="284" w:hanging="284"/>
              <w:jc w:val="both"/>
              <w:rPr>
                <w:rFonts w:eastAsia="Arial" w:cs="Arial"/>
                <w:sz w:val="20"/>
                <w:szCs w:val="20"/>
              </w:rPr>
            </w:pPr>
            <w:r w:rsidRPr="00903F89">
              <w:rPr>
                <w:rFonts w:cs="Arial"/>
                <w:sz w:val="20"/>
                <w:szCs w:val="20"/>
              </w:rPr>
              <w:t>Νέες επιστημονικές κατευθύνσεις στο πλαίσιο ανάπτυξης του Πανεπιστημίου Κύπρου</w:t>
            </w:r>
          </w:p>
          <w:p w14:paraId="3A699E47" w14:textId="77777777" w:rsidR="00DD1E0D" w:rsidRPr="00903F89" w:rsidRDefault="00DD1E0D" w:rsidP="00903F89">
            <w:pPr>
              <w:numPr>
                <w:ilvl w:val="0"/>
                <w:numId w:val="15"/>
              </w:numPr>
              <w:ind w:left="284" w:hanging="284"/>
              <w:jc w:val="both"/>
              <w:rPr>
                <w:rFonts w:eastAsia="Arial" w:cs="Arial"/>
                <w:sz w:val="20"/>
                <w:szCs w:val="20"/>
              </w:rPr>
            </w:pPr>
            <w:r w:rsidRPr="00903F89">
              <w:rPr>
                <w:rFonts w:cs="Arial"/>
                <w:sz w:val="20"/>
                <w:szCs w:val="20"/>
              </w:rPr>
              <w:t>Διατήρηση ή/και ενίσχυση σχετικών δαπανών σε πληροφοριακό υλικό όλων των Σχολών/Τμημάτων, Υπηρεσιών</w:t>
            </w:r>
          </w:p>
          <w:p w14:paraId="0E136802" w14:textId="6F58BD78" w:rsidR="00DD1E0D" w:rsidRPr="00903F89" w:rsidRDefault="00DD1E0D" w:rsidP="00903F89">
            <w:pPr>
              <w:numPr>
                <w:ilvl w:val="0"/>
                <w:numId w:val="15"/>
              </w:numPr>
              <w:ind w:left="284" w:hanging="284"/>
              <w:jc w:val="both"/>
              <w:rPr>
                <w:rFonts w:eastAsia="Arial" w:cs="Arial"/>
                <w:sz w:val="20"/>
                <w:szCs w:val="20"/>
              </w:rPr>
            </w:pPr>
            <w:r w:rsidRPr="00903F89">
              <w:rPr>
                <w:rFonts w:cs="Arial"/>
                <w:sz w:val="20"/>
                <w:szCs w:val="20"/>
              </w:rPr>
              <w:t>Κάλυψη του ετήσιου κόστους από την αύξηση στις τιμές, ισοτιμίες νομισμάτων κ.ά.</w:t>
            </w:r>
          </w:p>
        </w:tc>
      </w:tr>
      <w:tr w:rsidR="00DD1E0D" w:rsidRPr="00903F89" w14:paraId="285AD854" w14:textId="77777777" w:rsidTr="007353AA">
        <w:tc>
          <w:tcPr>
            <w:tcW w:w="2721" w:type="dxa"/>
            <w:gridSpan w:val="2"/>
          </w:tcPr>
          <w:p w14:paraId="03FCB489" w14:textId="77777777" w:rsidR="00DD1E0D" w:rsidRPr="00903F89" w:rsidRDefault="00DD1E0D" w:rsidP="00903F89">
            <w:pPr>
              <w:jc w:val="both"/>
              <w:rPr>
                <w:rFonts w:cs="Arial"/>
                <w:b/>
                <w:sz w:val="20"/>
                <w:szCs w:val="20"/>
                <w:u w:val="single"/>
              </w:rPr>
            </w:pPr>
          </w:p>
        </w:tc>
        <w:tc>
          <w:tcPr>
            <w:tcW w:w="2559" w:type="dxa"/>
            <w:gridSpan w:val="2"/>
          </w:tcPr>
          <w:p w14:paraId="10A6A35F" w14:textId="77777777" w:rsidR="00DD1E0D" w:rsidRPr="00903F89" w:rsidRDefault="00DD1E0D" w:rsidP="00903F89">
            <w:pPr>
              <w:jc w:val="both"/>
              <w:rPr>
                <w:rFonts w:cs="Arial"/>
                <w:sz w:val="20"/>
                <w:szCs w:val="20"/>
              </w:rPr>
            </w:pPr>
          </w:p>
        </w:tc>
        <w:tc>
          <w:tcPr>
            <w:tcW w:w="5352" w:type="dxa"/>
            <w:gridSpan w:val="4"/>
          </w:tcPr>
          <w:p w14:paraId="63D61E72" w14:textId="77777777" w:rsidR="00DD1E0D" w:rsidRPr="00903F89" w:rsidRDefault="00DD1E0D" w:rsidP="00903F89">
            <w:pPr>
              <w:jc w:val="both"/>
              <w:rPr>
                <w:rFonts w:cs="Arial"/>
                <w:b/>
                <w:sz w:val="20"/>
                <w:szCs w:val="20"/>
                <w:u w:val="single"/>
              </w:rPr>
            </w:pPr>
          </w:p>
        </w:tc>
      </w:tr>
      <w:tr w:rsidR="00DD1E0D" w:rsidRPr="00903F89" w14:paraId="40356CBC" w14:textId="77777777" w:rsidTr="007353AA">
        <w:tc>
          <w:tcPr>
            <w:tcW w:w="10632" w:type="dxa"/>
            <w:gridSpan w:val="8"/>
          </w:tcPr>
          <w:p w14:paraId="370E71ED" w14:textId="0342E2C6" w:rsidR="00DD1E0D" w:rsidRPr="00903F89" w:rsidRDefault="00DD1E0D" w:rsidP="00903F89">
            <w:pPr>
              <w:jc w:val="both"/>
              <w:rPr>
                <w:rFonts w:cs="Arial"/>
                <w:sz w:val="20"/>
                <w:szCs w:val="20"/>
              </w:rPr>
            </w:pPr>
            <w:r w:rsidRPr="00903F89">
              <w:rPr>
                <w:rFonts w:cs="Arial"/>
                <w:sz w:val="20"/>
                <w:szCs w:val="20"/>
              </w:rPr>
              <w:t xml:space="preserve">Συνδρομές οι οποίες εμπίπτουν στο πλαίσιο του άρθρου αυτού, προπληρώνονται από τον Προϋπολογισμό του κάθε έτους για το επόμενο έτος, προκειμένου να αποφεύγεται διακοπή στην πρόσβαση ή και να παραχωρούνται προς το Πανεπιστήμιο Κύπρου σχετικές εκπτώσεις ή/και άλλα οφέλη.  </w:t>
            </w:r>
          </w:p>
        </w:tc>
      </w:tr>
      <w:tr w:rsidR="004556C7" w:rsidRPr="00903F89" w14:paraId="06E7268F" w14:textId="77777777" w:rsidTr="007353AA">
        <w:tc>
          <w:tcPr>
            <w:tcW w:w="10632" w:type="dxa"/>
            <w:gridSpan w:val="8"/>
          </w:tcPr>
          <w:p w14:paraId="68790CA6" w14:textId="77777777" w:rsidR="004556C7" w:rsidRPr="00903F89" w:rsidRDefault="004556C7" w:rsidP="00903F89">
            <w:pPr>
              <w:jc w:val="both"/>
              <w:rPr>
                <w:rFonts w:cs="Arial"/>
                <w:sz w:val="20"/>
                <w:szCs w:val="20"/>
              </w:rPr>
            </w:pPr>
          </w:p>
        </w:tc>
      </w:tr>
      <w:tr w:rsidR="00DD1E0D" w:rsidRPr="00903F89" w14:paraId="7F1199DD" w14:textId="77777777" w:rsidTr="0096769A">
        <w:tc>
          <w:tcPr>
            <w:tcW w:w="10632" w:type="dxa"/>
            <w:gridSpan w:val="8"/>
            <w:shd w:val="clear" w:color="auto" w:fill="auto"/>
          </w:tcPr>
          <w:p w14:paraId="43E33914" w14:textId="1790FF29" w:rsidR="00272795" w:rsidRPr="00903F89" w:rsidRDefault="00272795" w:rsidP="00903F89">
            <w:pPr>
              <w:jc w:val="both"/>
              <w:rPr>
                <w:rFonts w:cs="Arial"/>
                <w:sz w:val="20"/>
                <w:szCs w:val="20"/>
              </w:rPr>
            </w:pPr>
            <w:r w:rsidRPr="00903F89">
              <w:rPr>
                <w:rFonts w:cs="Arial"/>
                <w:sz w:val="20"/>
                <w:szCs w:val="20"/>
              </w:rPr>
              <w:t>Η πρόνοια για τα πιο πάνω ενδέχεται να καλύψει μεταξύ άλλων δαπάνες που αφορούν σε βάσεις δεδομένων και άλλων ανεξαρτήτων οντοτήτων του Πανεπιστημίου Κύπρου.</w:t>
            </w:r>
          </w:p>
        </w:tc>
      </w:tr>
      <w:tr w:rsidR="00272795" w:rsidRPr="00903F89" w14:paraId="2CBAF4E4" w14:textId="77777777" w:rsidTr="007353AA">
        <w:tc>
          <w:tcPr>
            <w:tcW w:w="10632" w:type="dxa"/>
            <w:gridSpan w:val="8"/>
          </w:tcPr>
          <w:p w14:paraId="75ADEF1C" w14:textId="77777777" w:rsidR="00272795" w:rsidRPr="00903F89" w:rsidRDefault="00272795" w:rsidP="00903F89">
            <w:pPr>
              <w:jc w:val="both"/>
              <w:rPr>
                <w:rFonts w:cs="Arial"/>
                <w:sz w:val="20"/>
                <w:szCs w:val="20"/>
              </w:rPr>
            </w:pPr>
          </w:p>
        </w:tc>
      </w:tr>
      <w:tr w:rsidR="00DD1E0D" w:rsidRPr="00903F89" w14:paraId="0B762D91" w14:textId="77777777" w:rsidTr="007353AA">
        <w:tc>
          <w:tcPr>
            <w:tcW w:w="10632" w:type="dxa"/>
            <w:gridSpan w:val="8"/>
            <w:shd w:val="clear" w:color="auto" w:fill="auto"/>
          </w:tcPr>
          <w:p w14:paraId="57A5B74F" w14:textId="63AB040C"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336 – Άδειες Χρήσης Λογισμικών Προγραμμάτων – €</w:t>
            </w:r>
            <w:r w:rsidR="008F26E9" w:rsidRPr="00903F89">
              <w:rPr>
                <w:rFonts w:cs="Arial"/>
                <w:b/>
                <w:bCs/>
                <w:sz w:val="20"/>
                <w:szCs w:val="20"/>
                <w:u w:val="single"/>
              </w:rPr>
              <w:t>862.893</w:t>
            </w:r>
          </w:p>
        </w:tc>
      </w:tr>
      <w:tr w:rsidR="00DD1E0D" w:rsidRPr="00903F89" w14:paraId="21AE2D67" w14:textId="77777777" w:rsidTr="007353AA">
        <w:tc>
          <w:tcPr>
            <w:tcW w:w="10632" w:type="dxa"/>
            <w:gridSpan w:val="8"/>
          </w:tcPr>
          <w:p w14:paraId="31443B92" w14:textId="77777777" w:rsidR="00DD1E0D" w:rsidRPr="00903F89" w:rsidRDefault="00DD1E0D" w:rsidP="00903F89">
            <w:pPr>
              <w:jc w:val="both"/>
              <w:rPr>
                <w:rFonts w:cs="Arial"/>
                <w:b/>
                <w:bCs/>
                <w:sz w:val="20"/>
                <w:szCs w:val="20"/>
                <w:u w:val="single"/>
              </w:rPr>
            </w:pPr>
          </w:p>
        </w:tc>
      </w:tr>
      <w:tr w:rsidR="00DD1E0D" w:rsidRPr="00903F89" w14:paraId="56F99E0D" w14:textId="77777777" w:rsidTr="007353AA">
        <w:tc>
          <w:tcPr>
            <w:tcW w:w="10632" w:type="dxa"/>
            <w:gridSpan w:val="8"/>
          </w:tcPr>
          <w:p w14:paraId="39ADAE04" w14:textId="7EC859CB" w:rsidR="00DD1E0D" w:rsidRPr="00903F89" w:rsidRDefault="00DD1E0D" w:rsidP="00903F89">
            <w:pPr>
              <w:jc w:val="both"/>
              <w:rPr>
                <w:rFonts w:cs="Arial"/>
                <w:sz w:val="20"/>
                <w:szCs w:val="20"/>
              </w:rPr>
            </w:pPr>
            <w:r w:rsidRPr="00903F89">
              <w:rPr>
                <w:rFonts w:cs="Arial"/>
                <w:sz w:val="20"/>
                <w:szCs w:val="20"/>
              </w:rPr>
              <w:t>Η πρόνοια προορίζεται να καλύψει τις ανάγκες που σχετίζονται με τις ανανεώσεις αδειών χρήσης λογισμικών Προγραμμάτων του Πανεπιστημίου Κύπρου. </w:t>
            </w:r>
          </w:p>
        </w:tc>
      </w:tr>
      <w:tr w:rsidR="00DD1E0D" w:rsidRPr="00903F89" w14:paraId="1300A1BF" w14:textId="77777777" w:rsidTr="007353AA">
        <w:tc>
          <w:tcPr>
            <w:tcW w:w="10632" w:type="dxa"/>
            <w:gridSpan w:val="8"/>
          </w:tcPr>
          <w:p w14:paraId="3C25D8F2" w14:textId="77777777" w:rsidR="00DD1E0D" w:rsidRPr="00903F89" w:rsidRDefault="00DD1E0D" w:rsidP="00903F89">
            <w:pPr>
              <w:jc w:val="both"/>
              <w:rPr>
                <w:rFonts w:cs="Arial"/>
                <w:sz w:val="20"/>
                <w:szCs w:val="20"/>
              </w:rPr>
            </w:pPr>
          </w:p>
        </w:tc>
      </w:tr>
      <w:tr w:rsidR="00DD1E0D" w:rsidRPr="00903F89" w14:paraId="50FB572F" w14:textId="77777777" w:rsidTr="007353AA">
        <w:tc>
          <w:tcPr>
            <w:tcW w:w="10632" w:type="dxa"/>
            <w:gridSpan w:val="8"/>
            <w:shd w:val="clear" w:color="auto" w:fill="auto"/>
          </w:tcPr>
          <w:p w14:paraId="187B65C1" w14:textId="43C20AF7" w:rsidR="00DD1E0D" w:rsidRPr="00903F89" w:rsidRDefault="00DD1E0D" w:rsidP="00903F89">
            <w:pPr>
              <w:jc w:val="both"/>
              <w:rPr>
                <w:rFonts w:eastAsia="Arial" w:cs="Arial"/>
                <w:sz w:val="20"/>
                <w:szCs w:val="20"/>
              </w:rPr>
            </w:pPr>
            <w:r w:rsidRPr="00903F89">
              <w:rPr>
                <w:rFonts w:cs="Arial"/>
                <w:sz w:val="20"/>
                <w:szCs w:val="20"/>
              </w:rPr>
              <w:t>Η πρόνοια του άρθρου θα καλύψει μεταξύ άλλων και τις προϋπολογιζόμενες δαπάνες συντήρησης</w:t>
            </w:r>
            <w:r w:rsidRPr="00903F89">
              <w:rPr>
                <w:rFonts w:eastAsia="Arial" w:cs="Arial"/>
                <w:sz w:val="20"/>
                <w:szCs w:val="20"/>
              </w:rPr>
              <w:t xml:space="preserve"> </w:t>
            </w:r>
            <w:r w:rsidRPr="00903F89">
              <w:rPr>
                <w:rFonts w:cs="Arial"/>
                <w:sz w:val="20"/>
                <w:szCs w:val="20"/>
              </w:rPr>
              <w:t>του Συστήματος Οικονομικής Διαχείρισης (Υλικό και λογισμικό), του Συστήματος Διαδικτυακής Πύλης και Ενοποίησης Ηλεκτρονικών Υπηρεσιών (Υλικό και λογισμικό), του Συστήματος Ενσωμάτωσης Κουπονιών Σίτισης στη νέα Πανεπιστημιακή Κάρτα</w:t>
            </w:r>
            <w:r w:rsidRPr="00903F89">
              <w:rPr>
                <w:rFonts w:eastAsia="Arial" w:cs="Arial"/>
                <w:sz w:val="20"/>
                <w:szCs w:val="20"/>
              </w:rPr>
              <w:t xml:space="preserve">, </w:t>
            </w:r>
            <w:r w:rsidRPr="00903F89">
              <w:rPr>
                <w:rFonts w:cs="Arial"/>
                <w:sz w:val="20"/>
                <w:szCs w:val="20"/>
              </w:rPr>
              <w:t xml:space="preserve">του Συστήματος Διαχείρισης Ανθρώπινου Δυναμικού (Λογισμικό μόνο), του Συστήματος Διαχείρισης Γραφείου Σταδιοδρομίας (Λογισμικό μόνο), της Συντήρησης Αδειών Χρήσης του </w:t>
            </w:r>
            <w:proofErr w:type="spellStart"/>
            <w:r w:rsidRPr="00903F89">
              <w:rPr>
                <w:rFonts w:cs="Arial"/>
                <w:sz w:val="20"/>
                <w:szCs w:val="20"/>
              </w:rPr>
              <w:t>Filenet</w:t>
            </w:r>
            <w:proofErr w:type="spellEnd"/>
            <w:r w:rsidRPr="00903F89">
              <w:rPr>
                <w:rFonts w:cs="Arial"/>
                <w:sz w:val="20"/>
                <w:szCs w:val="20"/>
              </w:rPr>
              <w:t xml:space="preserve"> (</w:t>
            </w:r>
            <w:proofErr w:type="spellStart"/>
            <w:r w:rsidRPr="00903F89">
              <w:rPr>
                <w:rFonts w:cs="Arial"/>
                <w:sz w:val="20"/>
                <w:szCs w:val="20"/>
              </w:rPr>
              <w:t>database</w:t>
            </w:r>
            <w:proofErr w:type="spellEnd"/>
            <w:r w:rsidRPr="00903F89">
              <w:rPr>
                <w:rFonts w:cs="Arial"/>
                <w:sz w:val="20"/>
                <w:szCs w:val="20"/>
              </w:rPr>
              <w:t xml:space="preserve"> </w:t>
            </w:r>
            <w:proofErr w:type="spellStart"/>
            <w:r w:rsidRPr="00903F89">
              <w:rPr>
                <w:rFonts w:cs="Arial"/>
                <w:sz w:val="20"/>
                <w:szCs w:val="20"/>
              </w:rPr>
              <w:t>management</w:t>
            </w:r>
            <w:proofErr w:type="spellEnd"/>
            <w:r w:rsidRPr="00903F89">
              <w:rPr>
                <w:rFonts w:cs="Arial"/>
                <w:sz w:val="20"/>
                <w:szCs w:val="20"/>
              </w:rPr>
              <w:t xml:space="preserve"> </w:t>
            </w:r>
            <w:proofErr w:type="spellStart"/>
            <w:r w:rsidRPr="00903F89">
              <w:rPr>
                <w:rFonts w:cs="Arial"/>
                <w:sz w:val="20"/>
                <w:szCs w:val="20"/>
              </w:rPr>
              <w:t>system</w:t>
            </w:r>
            <w:proofErr w:type="spellEnd"/>
            <w:r w:rsidRPr="00903F89">
              <w:rPr>
                <w:rFonts w:cs="Arial"/>
                <w:sz w:val="20"/>
                <w:szCs w:val="20"/>
              </w:rPr>
              <w:t xml:space="preserve"> ΕΡΜΗΣ), καθώς και του Συστήματος καταγραφής προσβάσεων χρηστών με αναβαθμισμένα προνόμια για συστήματα και εφαρμογές (υλικό και λογισμικό)</w:t>
            </w:r>
            <w:r w:rsidRPr="00903F89">
              <w:rPr>
                <w:rFonts w:eastAsia="Arial" w:cs="Arial"/>
                <w:sz w:val="20"/>
                <w:szCs w:val="20"/>
              </w:rPr>
              <w:t>.</w:t>
            </w:r>
          </w:p>
        </w:tc>
      </w:tr>
      <w:tr w:rsidR="00DD1E0D" w:rsidRPr="00903F89" w14:paraId="5B60803A" w14:textId="77777777" w:rsidTr="007353AA">
        <w:tc>
          <w:tcPr>
            <w:tcW w:w="2721" w:type="dxa"/>
            <w:gridSpan w:val="2"/>
          </w:tcPr>
          <w:p w14:paraId="6677485F" w14:textId="77777777" w:rsidR="00DD1E0D" w:rsidRPr="00903F89" w:rsidRDefault="00DD1E0D" w:rsidP="00903F89">
            <w:pPr>
              <w:jc w:val="both"/>
              <w:rPr>
                <w:rFonts w:cs="Arial"/>
                <w:b/>
                <w:sz w:val="20"/>
                <w:szCs w:val="20"/>
                <w:u w:val="single"/>
              </w:rPr>
            </w:pPr>
          </w:p>
        </w:tc>
        <w:tc>
          <w:tcPr>
            <w:tcW w:w="2559" w:type="dxa"/>
            <w:gridSpan w:val="2"/>
            <w:shd w:val="clear" w:color="auto" w:fill="auto"/>
          </w:tcPr>
          <w:p w14:paraId="09206026" w14:textId="77777777" w:rsidR="00DD1E0D" w:rsidRPr="00903F89" w:rsidRDefault="00DD1E0D" w:rsidP="00903F89">
            <w:pPr>
              <w:jc w:val="both"/>
              <w:rPr>
                <w:rFonts w:cs="Arial"/>
                <w:sz w:val="20"/>
                <w:szCs w:val="20"/>
              </w:rPr>
            </w:pPr>
          </w:p>
        </w:tc>
        <w:tc>
          <w:tcPr>
            <w:tcW w:w="5352" w:type="dxa"/>
            <w:gridSpan w:val="4"/>
          </w:tcPr>
          <w:p w14:paraId="3A153A0B" w14:textId="77777777" w:rsidR="00DD1E0D" w:rsidRPr="00903F89" w:rsidRDefault="00DD1E0D" w:rsidP="00903F89">
            <w:pPr>
              <w:jc w:val="both"/>
              <w:rPr>
                <w:rFonts w:cs="Arial"/>
                <w:b/>
                <w:sz w:val="20"/>
                <w:szCs w:val="20"/>
                <w:u w:val="single"/>
              </w:rPr>
            </w:pPr>
          </w:p>
        </w:tc>
      </w:tr>
      <w:tr w:rsidR="00DD1E0D" w:rsidRPr="00903F89" w14:paraId="2787F592" w14:textId="77777777" w:rsidTr="007353AA">
        <w:tc>
          <w:tcPr>
            <w:tcW w:w="10632" w:type="dxa"/>
            <w:gridSpan w:val="8"/>
            <w:shd w:val="clear" w:color="auto" w:fill="auto"/>
          </w:tcPr>
          <w:p w14:paraId="25682609" w14:textId="030BF228" w:rsidR="00DD1E0D" w:rsidRPr="00903F89" w:rsidRDefault="00FF2718" w:rsidP="00903F89">
            <w:pPr>
              <w:jc w:val="both"/>
              <w:rPr>
                <w:rFonts w:eastAsia="Arial" w:cs="Arial"/>
                <w:b/>
                <w:bCs/>
                <w:sz w:val="20"/>
                <w:szCs w:val="20"/>
                <w:u w:val="single"/>
              </w:rPr>
            </w:pPr>
            <w:r w:rsidRPr="00903F89">
              <w:rPr>
                <w:rFonts w:cs="Arial"/>
                <w:b/>
                <w:bCs/>
                <w:sz w:val="20"/>
                <w:szCs w:val="20"/>
                <w:u w:val="double"/>
              </w:rPr>
              <w:t>Υποομάδα</w:t>
            </w:r>
            <w:r w:rsidR="00DD1E0D" w:rsidRPr="00903F89">
              <w:rPr>
                <w:rFonts w:cs="Arial"/>
                <w:b/>
                <w:bCs/>
                <w:sz w:val="20"/>
                <w:szCs w:val="20"/>
                <w:u w:val="double"/>
              </w:rPr>
              <w:t xml:space="preserve"> 340 – Γενικά Διαχειριστικά Έξοδα</w:t>
            </w:r>
          </w:p>
        </w:tc>
      </w:tr>
      <w:tr w:rsidR="00DD1E0D" w:rsidRPr="00903F89" w14:paraId="7301E28B" w14:textId="77777777" w:rsidTr="007353AA">
        <w:tc>
          <w:tcPr>
            <w:tcW w:w="2721" w:type="dxa"/>
            <w:gridSpan w:val="2"/>
          </w:tcPr>
          <w:p w14:paraId="738DEBBB" w14:textId="77777777" w:rsidR="00DD1E0D" w:rsidRPr="00903F89" w:rsidRDefault="00DD1E0D" w:rsidP="00903F89">
            <w:pPr>
              <w:jc w:val="both"/>
              <w:rPr>
                <w:rFonts w:cs="Arial"/>
                <w:b/>
                <w:sz w:val="20"/>
                <w:szCs w:val="20"/>
                <w:u w:val="single"/>
              </w:rPr>
            </w:pPr>
          </w:p>
        </w:tc>
        <w:tc>
          <w:tcPr>
            <w:tcW w:w="2559" w:type="dxa"/>
            <w:gridSpan w:val="2"/>
          </w:tcPr>
          <w:p w14:paraId="26994C56" w14:textId="77777777" w:rsidR="00DD1E0D" w:rsidRPr="00903F89" w:rsidRDefault="00DD1E0D" w:rsidP="00903F89">
            <w:pPr>
              <w:jc w:val="both"/>
              <w:rPr>
                <w:rFonts w:cs="Arial"/>
                <w:sz w:val="20"/>
                <w:szCs w:val="20"/>
              </w:rPr>
            </w:pPr>
          </w:p>
        </w:tc>
        <w:tc>
          <w:tcPr>
            <w:tcW w:w="5352" w:type="dxa"/>
            <w:gridSpan w:val="4"/>
          </w:tcPr>
          <w:p w14:paraId="62124C31" w14:textId="77777777" w:rsidR="00DD1E0D" w:rsidRPr="00903F89" w:rsidRDefault="00DD1E0D" w:rsidP="00903F89">
            <w:pPr>
              <w:jc w:val="both"/>
              <w:rPr>
                <w:rFonts w:cs="Arial"/>
                <w:b/>
                <w:sz w:val="20"/>
                <w:szCs w:val="20"/>
                <w:u w:val="single"/>
              </w:rPr>
            </w:pPr>
          </w:p>
        </w:tc>
      </w:tr>
      <w:tr w:rsidR="00DD1E0D" w:rsidRPr="00903F89" w14:paraId="04076064" w14:textId="77777777" w:rsidTr="007353AA">
        <w:tc>
          <w:tcPr>
            <w:tcW w:w="10632" w:type="dxa"/>
            <w:gridSpan w:val="8"/>
          </w:tcPr>
          <w:p w14:paraId="0E879FBA" w14:textId="272578E6" w:rsidR="00DD1E0D" w:rsidRPr="00903F89" w:rsidRDefault="00DD1E0D" w:rsidP="00903F89">
            <w:pPr>
              <w:jc w:val="both"/>
              <w:rPr>
                <w:rFonts w:eastAsia="Arial" w:cs="Arial"/>
                <w:b/>
                <w:bCs/>
                <w:sz w:val="20"/>
                <w:szCs w:val="20"/>
                <w:u w:val="single"/>
              </w:rPr>
            </w:pPr>
            <w:r w:rsidRPr="00903F89">
              <w:rPr>
                <w:rFonts w:cs="Arial"/>
                <w:b/>
                <w:bCs/>
                <w:sz w:val="20"/>
                <w:szCs w:val="20"/>
                <w:u w:val="single"/>
              </w:rPr>
              <w:t xml:space="preserve">Άρθρο 341 – Ελεγκτικά Δικαιώματα </w:t>
            </w:r>
            <w:r w:rsidRPr="00903F89">
              <w:rPr>
                <w:rFonts w:eastAsia="Arial" w:cs="Arial"/>
                <w:b/>
                <w:bCs/>
                <w:sz w:val="20"/>
                <w:szCs w:val="20"/>
                <w:u w:val="single"/>
              </w:rPr>
              <w:t xml:space="preserve">– </w:t>
            </w:r>
            <w:r w:rsidRPr="00903F89">
              <w:rPr>
                <w:rFonts w:cs="Arial"/>
                <w:b/>
                <w:bCs/>
                <w:sz w:val="20"/>
                <w:szCs w:val="20"/>
                <w:u w:val="single"/>
              </w:rPr>
              <w:t>€</w:t>
            </w:r>
            <w:r w:rsidR="00662A63" w:rsidRPr="00903F89">
              <w:rPr>
                <w:rFonts w:cs="Arial"/>
                <w:b/>
                <w:bCs/>
                <w:sz w:val="20"/>
                <w:szCs w:val="20"/>
                <w:u w:val="single"/>
              </w:rPr>
              <w:t>30.000</w:t>
            </w:r>
          </w:p>
        </w:tc>
      </w:tr>
      <w:tr w:rsidR="00DD1E0D" w:rsidRPr="00903F89" w14:paraId="5A8B27C7" w14:textId="77777777" w:rsidTr="007353AA">
        <w:tc>
          <w:tcPr>
            <w:tcW w:w="2721" w:type="dxa"/>
            <w:gridSpan w:val="2"/>
          </w:tcPr>
          <w:p w14:paraId="58247B6A" w14:textId="77777777" w:rsidR="00DD1E0D" w:rsidRPr="00903F89" w:rsidRDefault="00DD1E0D" w:rsidP="00903F89">
            <w:pPr>
              <w:jc w:val="both"/>
              <w:rPr>
                <w:rFonts w:cs="Arial"/>
                <w:b/>
                <w:sz w:val="20"/>
                <w:szCs w:val="20"/>
                <w:u w:val="single"/>
              </w:rPr>
            </w:pPr>
          </w:p>
        </w:tc>
        <w:tc>
          <w:tcPr>
            <w:tcW w:w="2559" w:type="dxa"/>
            <w:gridSpan w:val="2"/>
          </w:tcPr>
          <w:p w14:paraId="0A9F7F35" w14:textId="77777777" w:rsidR="00DD1E0D" w:rsidRPr="00903F89" w:rsidRDefault="00DD1E0D" w:rsidP="00903F89">
            <w:pPr>
              <w:jc w:val="both"/>
              <w:rPr>
                <w:rFonts w:cs="Arial"/>
                <w:sz w:val="20"/>
                <w:szCs w:val="20"/>
              </w:rPr>
            </w:pPr>
          </w:p>
        </w:tc>
        <w:tc>
          <w:tcPr>
            <w:tcW w:w="5352" w:type="dxa"/>
            <w:gridSpan w:val="4"/>
          </w:tcPr>
          <w:p w14:paraId="23DFC4BC" w14:textId="77777777" w:rsidR="00DD1E0D" w:rsidRPr="00903F89" w:rsidRDefault="00DD1E0D" w:rsidP="00903F89">
            <w:pPr>
              <w:jc w:val="both"/>
              <w:rPr>
                <w:rFonts w:cs="Arial"/>
                <w:b/>
                <w:sz w:val="20"/>
                <w:szCs w:val="20"/>
                <w:u w:val="single"/>
              </w:rPr>
            </w:pPr>
          </w:p>
        </w:tc>
      </w:tr>
      <w:tr w:rsidR="00DD1E0D" w:rsidRPr="00903F89" w14:paraId="14CC411F" w14:textId="77777777" w:rsidTr="007353AA">
        <w:tc>
          <w:tcPr>
            <w:tcW w:w="10632" w:type="dxa"/>
            <w:gridSpan w:val="8"/>
            <w:shd w:val="clear" w:color="auto" w:fill="auto"/>
          </w:tcPr>
          <w:p w14:paraId="6FFB3FD2" w14:textId="1151214E" w:rsidR="00DD1E0D" w:rsidRPr="00903F89" w:rsidRDefault="00DD1E0D" w:rsidP="00903F89">
            <w:pPr>
              <w:jc w:val="both"/>
              <w:rPr>
                <w:rFonts w:eastAsia="Arial" w:cs="Arial"/>
                <w:b/>
                <w:bCs/>
                <w:sz w:val="20"/>
                <w:szCs w:val="20"/>
                <w:u w:val="single"/>
              </w:rPr>
            </w:pPr>
            <w:r w:rsidRPr="00903F89">
              <w:rPr>
                <w:rFonts w:cs="Arial"/>
                <w:sz w:val="20"/>
                <w:szCs w:val="20"/>
              </w:rPr>
              <w:t>Το ποσό προορίζεται για την κάλυψη του ετήσιου διαχειριστικού ελέγχου του Πανεπιστημίου Κύπρου που διεξάγεται από την Ελεγκτική Υπηρεσία της Κυπριακής Δημοκρατίας, καθώς επίσης τον οικονομικό έλεγχο των Οικονομικών Καταστάσεων του έτους 2019 και 2020.  Πρόνοια προορίζεται να καλύψει καταβολή δικαιωμάτων ανάθεσης έργου για τη διεκπεραίωση οικονομικού ελέγχου σε ερευνητικά προγράμματα του Πανεπιστημίου Κύπρου, από ανεξάρτητο Ελεγκτικό Οίκο σε περιπτώσεις όπου δεν υπάρχει πρόνοια στον προϋπολογισμό του προγράμματος.</w:t>
            </w:r>
          </w:p>
        </w:tc>
      </w:tr>
      <w:tr w:rsidR="00DD1E0D" w:rsidRPr="00903F89" w14:paraId="5EB83AB3" w14:textId="77777777" w:rsidTr="007353AA">
        <w:tc>
          <w:tcPr>
            <w:tcW w:w="2721" w:type="dxa"/>
            <w:gridSpan w:val="2"/>
          </w:tcPr>
          <w:p w14:paraId="38E4A0A0" w14:textId="77777777" w:rsidR="00DD1E0D" w:rsidRPr="00903F89" w:rsidRDefault="00DD1E0D" w:rsidP="00903F89">
            <w:pPr>
              <w:jc w:val="both"/>
              <w:rPr>
                <w:rFonts w:cs="Arial"/>
                <w:b/>
                <w:sz w:val="20"/>
                <w:szCs w:val="20"/>
                <w:u w:val="single"/>
              </w:rPr>
            </w:pPr>
          </w:p>
        </w:tc>
        <w:tc>
          <w:tcPr>
            <w:tcW w:w="2559" w:type="dxa"/>
            <w:gridSpan w:val="2"/>
          </w:tcPr>
          <w:p w14:paraId="35F2DCBD" w14:textId="77777777" w:rsidR="00DD1E0D" w:rsidRPr="00903F89" w:rsidRDefault="00DD1E0D" w:rsidP="00903F89">
            <w:pPr>
              <w:jc w:val="both"/>
              <w:rPr>
                <w:rFonts w:cs="Arial"/>
                <w:sz w:val="20"/>
                <w:szCs w:val="20"/>
              </w:rPr>
            </w:pPr>
          </w:p>
        </w:tc>
        <w:tc>
          <w:tcPr>
            <w:tcW w:w="5352" w:type="dxa"/>
            <w:gridSpan w:val="4"/>
          </w:tcPr>
          <w:p w14:paraId="410B047E" w14:textId="77777777" w:rsidR="00DD1E0D" w:rsidRPr="00903F89" w:rsidRDefault="00DD1E0D" w:rsidP="00903F89">
            <w:pPr>
              <w:jc w:val="both"/>
              <w:rPr>
                <w:rFonts w:cs="Arial"/>
                <w:b/>
                <w:sz w:val="20"/>
                <w:szCs w:val="20"/>
                <w:u w:val="single"/>
              </w:rPr>
            </w:pPr>
          </w:p>
        </w:tc>
      </w:tr>
      <w:tr w:rsidR="00DD1E0D" w:rsidRPr="00903F89" w14:paraId="4E4D80E7" w14:textId="77777777" w:rsidTr="007353AA">
        <w:tc>
          <w:tcPr>
            <w:tcW w:w="10632" w:type="dxa"/>
            <w:gridSpan w:val="8"/>
          </w:tcPr>
          <w:p w14:paraId="130F5571" w14:textId="0F44296E"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342 – Νομικά Έξοδα – €</w:t>
            </w:r>
            <w:r w:rsidR="00662A63" w:rsidRPr="00903F89">
              <w:rPr>
                <w:rFonts w:cs="Arial"/>
                <w:b/>
                <w:bCs/>
                <w:sz w:val="20"/>
                <w:szCs w:val="20"/>
                <w:u w:val="single"/>
              </w:rPr>
              <w:t>83.500</w:t>
            </w:r>
          </w:p>
        </w:tc>
      </w:tr>
      <w:tr w:rsidR="00DD1E0D" w:rsidRPr="00903F89" w14:paraId="604E4E5C" w14:textId="77777777" w:rsidTr="007353AA">
        <w:tc>
          <w:tcPr>
            <w:tcW w:w="10632" w:type="dxa"/>
            <w:gridSpan w:val="8"/>
          </w:tcPr>
          <w:p w14:paraId="1FC4E9E9" w14:textId="77777777" w:rsidR="00DD1E0D" w:rsidRPr="00903F89" w:rsidRDefault="00DD1E0D" w:rsidP="00903F89">
            <w:pPr>
              <w:jc w:val="both"/>
              <w:rPr>
                <w:rFonts w:cs="Arial"/>
                <w:b/>
                <w:sz w:val="20"/>
                <w:szCs w:val="20"/>
                <w:u w:val="single"/>
              </w:rPr>
            </w:pPr>
          </w:p>
        </w:tc>
      </w:tr>
      <w:tr w:rsidR="00903F89" w:rsidRPr="00903F89" w14:paraId="50E4F8D0" w14:textId="77777777" w:rsidTr="007353AA">
        <w:tc>
          <w:tcPr>
            <w:tcW w:w="10632" w:type="dxa"/>
            <w:gridSpan w:val="8"/>
          </w:tcPr>
          <w:p w14:paraId="2E9979DE" w14:textId="1905DA26" w:rsidR="00DD1E0D" w:rsidRPr="00903F89" w:rsidRDefault="00DD1E0D" w:rsidP="00903F89">
            <w:pPr>
              <w:jc w:val="both"/>
              <w:rPr>
                <w:rFonts w:cs="Arial"/>
                <w:sz w:val="20"/>
                <w:szCs w:val="20"/>
              </w:rPr>
            </w:pPr>
            <w:r w:rsidRPr="00903F89">
              <w:rPr>
                <w:rFonts w:cs="Arial"/>
                <w:sz w:val="20"/>
                <w:szCs w:val="20"/>
              </w:rPr>
              <w:t xml:space="preserve">Η πρόνοια προορίζεται να καλύψει τα νομικά έξοδα ανάθεσης νομικών γνωματεύσεων ή μίσθωσης υπηρεσιών δικηγόρων του ιδιωτικού τομέα, καθώς και τυχόν καταβολή δικαστικών εξόδων που επιβάλλονται με οφειλέτη το Πανεπιστήμιο Κύπρου που αφορούν θέματα προσωπικού (διορισμούς/ανελίξεις </w:t>
            </w:r>
            <w:r w:rsidR="00D55285" w:rsidRPr="00903F89">
              <w:rPr>
                <w:rFonts w:cs="Arial"/>
                <w:sz w:val="20"/>
                <w:szCs w:val="20"/>
              </w:rPr>
              <w:t>κ.λπ</w:t>
            </w:r>
            <w:r w:rsidRPr="00903F89">
              <w:rPr>
                <w:rFonts w:cs="Arial"/>
                <w:sz w:val="20"/>
                <w:szCs w:val="20"/>
              </w:rPr>
              <w:t>.),ή θέματα δημοσίων συμβάσεων ή άλλα θέματα.  Πιο αναλυτικά, η πρόνοια δαπανείται για χειρισμό των ακόλουθων θεμάτων: (i) προσφυγές, (</w:t>
            </w:r>
            <w:proofErr w:type="spellStart"/>
            <w:r w:rsidRPr="00903F89">
              <w:rPr>
                <w:rFonts w:cs="Arial"/>
                <w:sz w:val="20"/>
                <w:szCs w:val="20"/>
              </w:rPr>
              <w:t>ii</w:t>
            </w:r>
            <w:proofErr w:type="spellEnd"/>
            <w:r w:rsidRPr="00903F89">
              <w:rPr>
                <w:rFonts w:cs="Arial"/>
                <w:sz w:val="20"/>
                <w:szCs w:val="20"/>
              </w:rPr>
              <w:t>) εκδίκαση ενστάσεων στις προσφυγές, (</w:t>
            </w:r>
            <w:proofErr w:type="spellStart"/>
            <w:r w:rsidRPr="00903F89">
              <w:rPr>
                <w:rFonts w:cs="Arial"/>
                <w:sz w:val="20"/>
                <w:szCs w:val="20"/>
              </w:rPr>
              <w:t>iii</w:t>
            </w:r>
            <w:proofErr w:type="spellEnd"/>
            <w:r w:rsidRPr="00903F89">
              <w:rPr>
                <w:rFonts w:cs="Arial"/>
                <w:sz w:val="20"/>
                <w:szCs w:val="20"/>
              </w:rPr>
              <w:t>) καταγγελίες εταιρειών εναντίον Πανεπιστημίου Κύπρου, και (</w:t>
            </w:r>
            <w:proofErr w:type="spellStart"/>
            <w:r w:rsidRPr="00903F89">
              <w:rPr>
                <w:rFonts w:cs="Arial"/>
                <w:sz w:val="20"/>
                <w:szCs w:val="20"/>
              </w:rPr>
              <w:t>iv</w:t>
            </w:r>
            <w:proofErr w:type="spellEnd"/>
            <w:r w:rsidRPr="00903F89">
              <w:rPr>
                <w:rFonts w:cs="Arial"/>
                <w:sz w:val="20"/>
                <w:szCs w:val="20"/>
              </w:rPr>
              <w:t>) γνωματεύσεις αναφορικά με τις νομικές υποχρεώσεις του Πανεπιστημίου.</w:t>
            </w:r>
          </w:p>
        </w:tc>
      </w:tr>
      <w:tr w:rsidR="00524745" w:rsidRPr="00903F89" w14:paraId="75D1F693" w14:textId="77777777" w:rsidTr="007353AA">
        <w:tc>
          <w:tcPr>
            <w:tcW w:w="10632" w:type="dxa"/>
            <w:gridSpan w:val="8"/>
          </w:tcPr>
          <w:p w14:paraId="49B3124D" w14:textId="77777777" w:rsidR="00524745" w:rsidRPr="00903F89" w:rsidRDefault="00524745" w:rsidP="00903F89">
            <w:pPr>
              <w:jc w:val="both"/>
              <w:rPr>
                <w:rFonts w:cs="Arial"/>
                <w:sz w:val="20"/>
                <w:szCs w:val="20"/>
              </w:rPr>
            </w:pPr>
          </w:p>
        </w:tc>
      </w:tr>
      <w:tr w:rsidR="00DD1E0D" w:rsidRPr="00903F89" w14:paraId="4DBAB94B" w14:textId="77777777" w:rsidTr="007353AA">
        <w:tc>
          <w:tcPr>
            <w:tcW w:w="10632" w:type="dxa"/>
            <w:gridSpan w:val="8"/>
          </w:tcPr>
          <w:p w14:paraId="49A15806" w14:textId="5AB62713" w:rsidR="00DD1E0D" w:rsidRPr="00903F89" w:rsidRDefault="00524745" w:rsidP="00903F89">
            <w:pPr>
              <w:jc w:val="both"/>
              <w:rPr>
                <w:rFonts w:cs="Arial"/>
                <w:sz w:val="20"/>
                <w:szCs w:val="20"/>
              </w:rPr>
            </w:pPr>
            <w:r w:rsidRPr="00903F89">
              <w:rPr>
                <w:rFonts w:cs="Arial"/>
                <w:sz w:val="20"/>
                <w:szCs w:val="20"/>
              </w:rPr>
              <w:t>Οι περιπτώσεις αφορούν εκδικασμένες υποθέσεις Δικαστηρίων και τα σχετικά νομικά έξοδα που επιδικάζονται καθώς και πληρωμές προς τους νομικούς συμβούλους του Πανεπιστημίου, στη βάση σχετικών συμφωνιών. Καθυστέρηση στην αποζημίωση των δαπανών εκ μέρους του Πανεπιστημίου Κύπρου δύναται να οδηγήσει στην επιβολή ρητρών καθυστέρησης αποζημίωσης.</w:t>
            </w:r>
          </w:p>
        </w:tc>
      </w:tr>
      <w:tr w:rsidR="00524745" w:rsidRPr="00903F89" w14:paraId="6964E841" w14:textId="77777777" w:rsidTr="007353AA">
        <w:tc>
          <w:tcPr>
            <w:tcW w:w="10632" w:type="dxa"/>
            <w:gridSpan w:val="8"/>
          </w:tcPr>
          <w:p w14:paraId="38993A78" w14:textId="77777777" w:rsidR="00524745" w:rsidRPr="00903F89" w:rsidRDefault="00524745" w:rsidP="00903F89">
            <w:pPr>
              <w:jc w:val="both"/>
              <w:rPr>
                <w:rFonts w:cs="Arial"/>
                <w:sz w:val="20"/>
                <w:szCs w:val="20"/>
              </w:rPr>
            </w:pPr>
          </w:p>
        </w:tc>
      </w:tr>
      <w:tr w:rsidR="00DD1E0D" w:rsidRPr="00903F89" w14:paraId="1F63130F" w14:textId="77777777" w:rsidTr="007353AA">
        <w:tc>
          <w:tcPr>
            <w:tcW w:w="10632" w:type="dxa"/>
            <w:gridSpan w:val="8"/>
          </w:tcPr>
          <w:p w14:paraId="1D77FE4A" w14:textId="6781883D" w:rsidR="00DD1E0D" w:rsidRPr="00903F89" w:rsidRDefault="00DD1E0D" w:rsidP="00903F89">
            <w:pPr>
              <w:jc w:val="both"/>
              <w:rPr>
                <w:rFonts w:eastAsia="Arial" w:cs="Arial"/>
                <w:sz w:val="20"/>
                <w:szCs w:val="20"/>
              </w:rPr>
            </w:pPr>
            <w:r w:rsidRPr="00903F89">
              <w:rPr>
                <w:rFonts w:cs="Arial"/>
                <w:sz w:val="20"/>
                <w:szCs w:val="20"/>
              </w:rPr>
              <w:t>Η αύξηση στα δικαστηριακά τέλη τα οποία τέθηκαν σε ισχύ από τον Οκτώβριο του 2017 καθώς και το ενδεχόμενο αποπαγοποίησης πολλών θέσεων (διορισμού ή ανέλιξης) αναμένεται να αυξήσουν τη δαπάνη που σχετίζεται με δικαστηριακές υποθέσεις του Πανεπιστημίου.</w:t>
            </w:r>
          </w:p>
        </w:tc>
      </w:tr>
      <w:tr w:rsidR="008830C0" w:rsidRPr="00903F89" w14:paraId="4AAC39EC" w14:textId="77777777" w:rsidTr="007353AA">
        <w:tc>
          <w:tcPr>
            <w:tcW w:w="10632" w:type="dxa"/>
            <w:gridSpan w:val="8"/>
          </w:tcPr>
          <w:p w14:paraId="14DF0414" w14:textId="77777777" w:rsidR="008830C0" w:rsidRPr="00903F89" w:rsidRDefault="008830C0" w:rsidP="00903F89">
            <w:pPr>
              <w:jc w:val="both"/>
              <w:rPr>
                <w:rFonts w:cs="Arial"/>
                <w:sz w:val="20"/>
                <w:szCs w:val="20"/>
              </w:rPr>
            </w:pPr>
          </w:p>
        </w:tc>
      </w:tr>
      <w:tr w:rsidR="00903F89" w:rsidRPr="00903F89" w14:paraId="29105D02" w14:textId="77777777" w:rsidTr="000A7CA0">
        <w:tc>
          <w:tcPr>
            <w:tcW w:w="10632" w:type="dxa"/>
            <w:gridSpan w:val="8"/>
            <w:shd w:val="clear" w:color="auto" w:fill="auto"/>
          </w:tcPr>
          <w:p w14:paraId="21B7F3CA" w14:textId="2B695403" w:rsidR="008830C0" w:rsidRPr="00903F89" w:rsidRDefault="008830C0" w:rsidP="00903F89">
            <w:pPr>
              <w:jc w:val="both"/>
              <w:rPr>
                <w:rFonts w:cs="Arial"/>
                <w:sz w:val="20"/>
                <w:szCs w:val="20"/>
              </w:rPr>
            </w:pPr>
            <w:r w:rsidRPr="00903F89">
              <w:rPr>
                <w:rFonts w:cs="Arial"/>
                <w:sz w:val="20"/>
                <w:szCs w:val="20"/>
              </w:rPr>
              <w:t>Η πρόνοια προορίζεται να καλύψει νομικά έξοδα για την Υπηρεσία Ονοματοδοσίας (Μητρώο Διαδικτυακών Ονομάτων.CY).</w:t>
            </w:r>
          </w:p>
        </w:tc>
      </w:tr>
      <w:tr w:rsidR="00903F89" w:rsidRPr="00903F89" w14:paraId="3FBE9B2A" w14:textId="77777777" w:rsidTr="000A7CA0">
        <w:tc>
          <w:tcPr>
            <w:tcW w:w="2721" w:type="dxa"/>
            <w:gridSpan w:val="2"/>
            <w:shd w:val="clear" w:color="auto" w:fill="auto"/>
          </w:tcPr>
          <w:p w14:paraId="587F9878" w14:textId="77777777" w:rsidR="00DD1E0D" w:rsidRPr="00903F89" w:rsidRDefault="00DD1E0D" w:rsidP="00903F89">
            <w:pPr>
              <w:jc w:val="both"/>
              <w:rPr>
                <w:rFonts w:cs="Arial"/>
                <w:b/>
                <w:sz w:val="20"/>
                <w:szCs w:val="20"/>
                <w:u w:val="single"/>
              </w:rPr>
            </w:pPr>
          </w:p>
        </w:tc>
        <w:tc>
          <w:tcPr>
            <w:tcW w:w="2559" w:type="dxa"/>
            <w:gridSpan w:val="2"/>
            <w:shd w:val="clear" w:color="auto" w:fill="auto"/>
          </w:tcPr>
          <w:p w14:paraId="320909EA" w14:textId="77777777" w:rsidR="00DD1E0D" w:rsidRPr="00903F89" w:rsidRDefault="00DD1E0D" w:rsidP="00903F89">
            <w:pPr>
              <w:jc w:val="both"/>
              <w:rPr>
                <w:rFonts w:cs="Arial"/>
                <w:sz w:val="20"/>
                <w:szCs w:val="20"/>
              </w:rPr>
            </w:pPr>
          </w:p>
        </w:tc>
        <w:tc>
          <w:tcPr>
            <w:tcW w:w="5352" w:type="dxa"/>
            <w:gridSpan w:val="4"/>
            <w:shd w:val="clear" w:color="auto" w:fill="auto"/>
          </w:tcPr>
          <w:p w14:paraId="1FCE1314" w14:textId="77777777" w:rsidR="00DD1E0D" w:rsidRPr="00903F89" w:rsidRDefault="00DD1E0D" w:rsidP="00903F89">
            <w:pPr>
              <w:jc w:val="both"/>
              <w:rPr>
                <w:rFonts w:cs="Arial"/>
                <w:b/>
                <w:sz w:val="20"/>
                <w:szCs w:val="20"/>
                <w:u w:val="single"/>
              </w:rPr>
            </w:pPr>
          </w:p>
        </w:tc>
      </w:tr>
      <w:tr w:rsidR="00903F89" w:rsidRPr="00903F89" w14:paraId="6C5F58C8" w14:textId="77777777" w:rsidTr="000A7CA0">
        <w:tc>
          <w:tcPr>
            <w:tcW w:w="10632" w:type="dxa"/>
            <w:gridSpan w:val="8"/>
            <w:shd w:val="clear" w:color="auto" w:fill="auto"/>
          </w:tcPr>
          <w:p w14:paraId="34B05951" w14:textId="178432CA"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343 – Επιμόρφωση και Μετεκπαίδευση Διοικητικού Προσωπικού και Συμμετοχή του σε Συνέδρια – €</w:t>
            </w:r>
            <w:r w:rsidR="008F26E9" w:rsidRPr="00903F89">
              <w:rPr>
                <w:rFonts w:cs="Arial"/>
                <w:b/>
                <w:bCs/>
                <w:sz w:val="20"/>
                <w:szCs w:val="20"/>
                <w:u w:val="single"/>
              </w:rPr>
              <w:t>334.970</w:t>
            </w:r>
          </w:p>
        </w:tc>
      </w:tr>
      <w:tr w:rsidR="00903F89" w:rsidRPr="00903F89" w14:paraId="452E9B8F" w14:textId="77777777" w:rsidTr="000A7CA0">
        <w:tc>
          <w:tcPr>
            <w:tcW w:w="10632" w:type="dxa"/>
            <w:gridSpan w:val="8"/>
            <w:shd w:val="clear" w:color="auto" w:fill="auto"/>
          </w:tcPr>
          <w:p w14:paraId="4668FFEA" w14:textId="77777777" w:rsidR="00DD1E0D" w:rsidRPr="00903F89" w:rsidRDefault="00DD1E0D" w:rsidP="00903F89">
            <w:pPr>
              <w:jc w:val="both"/>
              <w:rPr>
                <w:rFonts w:cs="Arial"/>
                <w:b/>
                <w:sz w:val="20"/>
                <w:szCs w:val="20"/>
                <w:u w:val="single"/>
              </w:rPr>
            </w:pPr>
          </w:p>
        </w:tc>
      </w:tr>
      <w:tr w:rsidR="00903F89" w:rsidRPr="00903F89" w14:paraId="3620C801" w14:textId="77777777" w:rsidTr="000A7CA0">
        <w:tc>
          <w:tcPr>
            <w:tcW w:w="10632" w:type="dxa"/>
            <w:gridSpan w:val="8"/>
            <w:shd w:val="clear" w:color="auto" w:fill="auto"/>
          </w:tcPr>
          <w:p w14:paraId="40C3E479" w14:textId="48BF9A17" w:rsidR="00DD1E0D" w:rsidRPr="00903F89" w:rsidRDefault="00DD1E0D" w:rsidP="00903F89">
            <w:pPr>
              <w:jc w:val="both"/>
              <w:rPr>
                <w:rFonts w:eastAsia="Arial" w:cs="Arial"/>
                <w:b/>
                <w:bCs/>
                <w:sz w:val="20"/>
                <w:szCs w:val="20"/>
                <w:u w:val="single"/>
              </w:rPr>
            </w:pPr>
            <w:r w:rsidRPr="00903F89">
              <w:rPr>
                <w:rFonts w:cs="Arial"/>
                <w:sz w:val="20"/>
                <w:szCs w:val="20"/>
              </w:rPr>
              <w:t>Η πρόνοια προορίζεται να καλύψει δαπάνες επιμόρφωσης του διοικητικού προσωπικού για εξειδικευμένες υπηρεσίες υποστήριξης του διδακτικού και ερευνητικού έργου της πανεπιστημιακής κοινότητας και των φοιτητών, καθώς και την απόκτηση κατάλληλης κατάρτισης και τεχνογνωσίας.</w:t>
            </w:r>
          </w:p>
        </w:tc>
      </w:tr>
      <w:tr w:rsidR="00903F89" w:rsidRPr="00903F89" w14:paraId="1A3FB96A" w14:textId="77777777" w:rsidTr="000A7CA0">
        <w:tc>
          <w:tcPr>
            <w:tcW w:w="10632" w:type="dxa"/>
            <w:gridSpan w:val="8"/>
            <w:shd w:val="clear" w:color="auto" w:fill="auto"/>
          </w:tcPr>
          <w:p w14:paraId="70B63C99" w14:textId="77777777" w:rsidR="00DD1E0D" w:rsidRPr="00903F89" w:rsidRDefault="00DD1E0D" w:rsidP="00903F89">
            <w:pPr>
              <w:jc w:val="both"/>
              <w:rPr>
                <w:rFonts w:cs="Arial"/>
                <w:sz w:val="20"/>
                <w:szCs w:val="20"/>
              </w:rPr>
            </w:pPr>
          </w:p>
        </w:tc>
      </w:tr>
      <w:tr w:rsidR="00DD1E0D" w:rsidRPr="00903F89" w14:paraId="7B4B274A" w14:textId="77777777" w:rsidTr="007353AA">
        <w:tc>
          <w:tcPr>
            <w:tcW w:w="10632" w:type="dxa"/>
            <w:gridSpan w:val="8"/>
            <w:shd w:val="clear" w:color="auto" w:fill="auto"/>
          </w:tcPr>
          <w:p w14:paraId="60A37EFA" w14:textId="474BB641" w:rsidR="00DD1E0D" w:rsidRPr="00903F89" w:rsidRDefault="0047086D" w:rsidP="00903F89">
            <w:pPr>
              <w:jc w:val="both"/>
              <w:rPr>
                <w:rFonts w:cs="Arial"/>
                <w:sz w:val="20"/>
                <w:szCs w:val="20"/>
              </w:rPr>
            </w:pPr>
            <w:r w:rsidRPr="00903F89">
              <w:rPr>
                <w:rFonts w:cs="Arial"/>
                <w:sz w:val="20"/>
                <w:szCs w:val="20"/>
              </w:rPr>
              <w:t xml:space="preserve">Επίσης, το άρθρο δύναται να καλύψει τυχόν δαπάνες που ενδεχομένως να προκύψουν με την παραχώρηση Υποτροφιών στο Διοικητικό Προσωπικό ως επίσης και δαπάνες </w:t>
            </w:r>
            <w:r w:rsidR="00DD1E0D" w:rsidRPr="00903F89">
              <w:rPr>
                <w:rFonts w:cs="Arial"/>
                <w:sz w:val="20"/>
                <w:szCs w:val="20"/>
              </w:rPr>
              <w:t>στο πλαίσιο της Πολιτικής για παρακολούθηση μαθημάτων προπτυχιακού επιπέδου για σκοπούς διερεύνησης ή και εμβάθυνσης των γνώσεων του ή για σκοπούς αντιστοιχίας από μέλη Διοικητικού Προσωπικού (</w:t>
            </w:r>
            <w:bookmarkStart w:id="48" w:name="_Hlk87949582"/>
            <w:r w:rsidR="00333915" w:rsidRPr="00903F89">
              <w:rPr>
                <w:rFonts w:cs="Arial"/>
                <w:sz w:val="20"/>
                <w:szCs w:val="20"/>
              </w:rPr>
              <w:t>Απόφαση Επιτροπής Προσωπικού και Κανονισμών</w:t>
            </w:r>
            <w:r w:rsidR="00333915">
              <w:rPr>
                <w:rFonts w:cs="Arial"/>
                <w:sz w:val="20"/>
                <w:szCs w:val="20"/>
              </w:rPr>
              <w:t xml:space="preserve"> του Συμβουλίου</w:t>
            </w:r>
            <w:r w:rsidR="00DD1E0D" w:rsidRPr="00903F89">
              <w:rPr>
                <w:rFonts w:cs="Arial"/>
                <w:sz w:val="20"/>
                <w:szCs w:val="20"/>
              </w:rPr>
              <w:t xml:space="preserve">, Συνεδρία </w:t>
            </w:r>
            <w:r w:rsidR="00B64187" w:rsidRPr="00903F89">
              <w:rPr>
                <w:rFonts w:cs="Arial"/>
                <w:sz w:val="20"/>
                <w:szCs w:val="20"/>
              </w:rPr>
              <w:t xml:space="preserve">Αρ. </w:t>
            </w:r>
            <w:r w:rsidR="00DD1E0D" w:rsidRPr="00903F89">
              <w:rPr>
                <w:rFonts w:cs="Arial"/>
                <w:sz w:val="20"/>
                <w:szCs w:val="20"/>
              </w:rPr>
              <w:t>17/2017, ημερ. 18/10/2017)</w:t>
            </w:r>
            <w:r w:rsidR="008F26E9" w:rsidRPr="00903F89">
              <w:rPr>
                <w:rFonts w:cs="Arial"/>
                <w:sz w:val="20"/>
                <w:szCs w:val="20"/>
              </w:rPr>
              <w:t>.</w:t>
            </w:r>
            <w:bookmarkEnd w:id="48"/>
          </w:p>
        </w:tc>
      </w:tr>
      <w:tr w:rsidR="00DD1E0D" w:rsidRPr="00903F89" w14:paraId="7E62ED22" w14:textId="77777777" w:rsidTr="007353AA">
        <w:tc>
          <w:tcPr>
            <w:tcW w:w="2721" w:type="dxa"/>
            <w:gridSpan w:val="2"/>
          </w:tcPr>
          <w:p w14:paraId="52E189DE" w14:textId="77777777" w:rsidR="00DD1E0D" w:rsidRPr="00903F89" w:rsidRDefault="00DD1E0D" w:rsidP="00903F89">
            <w:pPr>
              <w:jc w:val="both"/>
              <w:rPr>
                <w:rFonts w:cs="Arial"/>
                <w:b/>
                <w:sz w:val="20"/>
                <w:szCs w:val="20"/>
                <w:u w:val="single"/>
              </w:rPr>
            </w:pPr>
          </w:p>
        </w:tc>
        <w:tc>
          <w:tcPr>
            <w:tcW w:w="2559" w:type="dxa"/>
            <w:gridSpan w:val="2"/>
          </w:tcPr>
          <w:p w14:paraId="3172F698" w14:textId="77777777" w:rsidR="00DD1E0D" w:rsidRPr="00903F89" w:rsidRDefault="00DD1E0D" w:rsidP="00903F89">
            <w:pPr>
              <w:jc w:val="both"/>
              <w:rPr>
                <w:rFonts w:cs="Arial"/>
                <w:sz w:val="20"/>
                <w:szCs w:val="20"/>
              </w:rPr>
            </w:pPr>
          </w:p>
        </w:tc>
        <w:tc>
          <w:tcPr>
            <w:tcW w:w="5352" w:type="dxa"/>
            <w:gridSpan w:val="4"/>
          </w:tcPr>
          <w:p w14:paraId="226B031B" w14:textId="77777777" w:rsidR="00DD1E0D" w:rsidRPr="00903F89" w:rsidRDefault="00DD1E0D" w:rsidP="00903F89">
            <w:pPr>
              <w:jc w:val="both"/>
              <w:rPr>
                <w:rFonts w:cs="Arial"/>
                <w:b/>
                <w:sz w:val="20"/>
                <w:szCs w:val="20"/>
                <w:u w:val="single"/>
              </w:rPr>
            </w:pPr>
          </w:p>
        </w:tc>
      </w:tr>
      <w:tr w:rsidR="00DD1E0D" w:rsidRPr="00903F89" w14:paraId="1FCC7543" w14:textId="77777777" w:rsidTr="007353AA">
        <w:tc>
          <w:tcPr>
            <w:tcW w:w="10632" w:type="dxa"/>
            <w:gridSpan w:val="8"/>
            <w:shd w:val="clear" w:color="auto" w:fill="auto"/>
          </w:tcPr>
          <w:p w14:paraId="3064A2F6" w14:textId="30B5101E" w:rsidR="00DD1E0D" w:rsidRPr="00903F89" w:rsidRDefault="008F26E9" w:rsidP="00903F89">
            <w:pPr>
              <w:jc w:val="both"/>
              <w:rPr>
                <w:rFonts w:cs="Arial"/>
                <w:sz w:val="20"/>
                <w:szCs w:val="20"/>
              </w:rPr>
            </w:pPr>
            <w:r w:rsidRPr="00903F89">
              <w:rPr>
                <w:rFonts w:cs="Arial"/>
                <w:sz w:val="20"/>
                <w:szCs w:val="20"/>
              </w:rPr>
              <w:t>Η πρόνοια προορίζεται να καλύψει μεταξύ άλλων και δαπάνες επιμόρφωσης του προσωπικού της</w:t>
            </w:r>
            <w:r w:rsidR="00DD1E0D" w:rsidRPr="00903F89">
              <w:rPr>
                <w:rFonts w:cs="Arial"/>
                <w:sz w:val="20"/>
                <w:szCs w:val="20"/>
              </w:rPr>
              <w:t xml:space="preserve"> Υπηρεσίας Πληροφορικής Υποδομής σε εξειδικευμένα σεμινάρια σε θέματα πληροφορικής όπως λειτουργικά συστήματα, ειδικές εφαρμογές, Δίκτυα πληροφορικής, ασφάλεια συστημάτων πληροφορικής, και άλλα. Η συμμετοχή σε αυτού του είδους τα συνέδρια κρίνεται εξαιρετικά χρήσιμη για την ορθή διαχείριση των υπηρεσιών εκ μέρους των υπεύθυνων τεχνικών διαχειριστών. Η γνώση που θα αποκτηθεί θα έχει τεράστια οφέλη για το Πανεπιστήμιο Κύπρου.</w:t>
            </w:r>
          </w:p>
        </w:tc>
      </w:tr>
      <w:tr w:rsidR="00DD1E0D" w:rsidRPr="00903F89" w14:paraId="7E7DC7C3" w14:textId="77777777" w:rsidTr="007353AA">
        <w:tc>
          <w:tcPr>
            <w:tcW w:w="2721" w:type="dxa"/>
            <w:gridSpan w:val="2"/>
          </w:tcPr>
          <w:p w14:paraId="146AFD19" w14:textId="77777777" w:rsidR="00DD1E0D" w:rsidRPr="00903F89" w:rsidRDefault="00DD1E0D" w:rsidP="00903F89">
            <w:pPr>
              <w:jc w:val="both"/>
              <w:rPr>
                <w:rFonts w:cs="Arial"/>
                <w:b/>
                <w:sz w:val="20"/>
                <w:szCs w:val="20"/>
                <w:u w:val="single"/>
              </w:rPr>
            </w:pPr>
          </w:p>
        </w:tc>
        <w:tc>
          <w:tcPr>
            <w:tcW w:w="2559" w:type="dxa"/>
            <w:gridSpan w:val="2"/>
          </w:tcPr>
          <w:p w14:paraId="677C6778" w14:textId="77777777" w:rsidR="00DD1E0D" w:rsidRPr="00903F89" w:rsidRDefault="00DD1E0D" w:rsidP="00903F89">
            <w:pPr>
              <w:jc w:val="both"/>
              <w:rPr>
                <w:rFonts w:cs="Arial"/>
                <w:sz w:val="20"/>
                <w:szCs w:val="20"/>
              </w:rPr>
            </w:pPr>
          </w:p>
        </w:tc>
        <w:tc>
          <w:tcPr>
            <w:tcW w:w="5352" w:type="dxa"/>
            <w:gridSpan w:val="4"/>
          </w:tcPr>
          <w:p w14:paraId="2A9A5A0F" w14:textId="77777777" w:rsidR="00DD1E0D" w:rsidRPr="00903F89" w:rsidRDefault="00DD1E0D" w:rsidP="00903F89">
            <w:pPr>
              <w:jc w:val="both"/>
              <w:rPr>
                <w:rFonts w:cs="Arial"/>
                <w:sz w:val="20"/>
                <w:szCs w:val="20"/>
              </w:rPr>
            </w:pPr>
          </w:p>
        </w:tc>
      </w:tr>
      <w:tr w:rsidR="00DD1E0D" w:rsidRPr="00903F89" w14:paraId="183072A0" w14:textId="77777777" w:rsidTr="007353AA">
        <w:tc>
          <w:tcPr>
            <w:tcW w:w="10632" w:type="dxa"/>
            <w:gridSpan w:val="8"/>
          </w:tcPr>
          <w:p w14:paraId="6270B083" w14:textId="2DE43796"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344 – Έξοδα Εξετάσεων – €</w:t>
            </w:r>
            <w:r w:rsidR="00662A63" w:rsidRPr="00903F89">
              <w:rPr>
                <w:rFonts w:cs="Arial"/>
                <w:b/>
                <w:bCs/>
                <w:sz w:val="20"/>
                <w:szCs w:val="20"/>
                <w:u w:val="single"/>
              </w:rPr>
              <w:t>4</w:t>
            </w:r>
            <w:r w:rsidRPr="00903F89">
              <w:rPr>
                <w:rFonts w:cs="Arial"/>
                <w:b/>
                <w:bCs/>
                <w:sz w:val="20"/>
                <w:szCs w:val="20"/>
                <w:u w:val="single"/>
              </w:rPr>
              <w:t>0.000</w:t>
            </w:r>
          </w:p>
        </w:tc>
      </w:tr>
      <w:tr w:rsidR="00DD1E0D" w:rsidRPr="00903F89" w14:paraId="41F0C80C" w14:textId="77777777" w:rsidTr="007353AA">
        <w:tc>
          <w:tcPr>
            <w:tcW w:w="2721" w:type="dxa"/>
            <w:gridSpan w:val="2"/>
          </w:tcPr>
          <w:p w14:paraId="4C2608ED" w14:textId="77777777" w:rsidR="00DD1E0D" w:rsidRPr="00903F89" w:rsidRDefault="00DD1E0D" w:rsidP="00903F89">
            <w:pPr>
              <w:jc w:val="both"/>
              <w:rPr>
                <w:rFonts w:cs="Arial"/>
                <w:b/>
                <w:sz w:val="20"/>
                <w:szCs w:val="20"/>
                <w:u w:val="single"/>
              </w:rPr>
            </w:pPr>
          </w:p>
        </w:tc>
        <w:tc>
          <w:tcPr>
            <w:tcW w:w="2559" w:type="dxa"/>
            <w:gridSpan w:val="2"/>
          </w:tcPr>
          <w:p w14:paraId="6A3148DB" w14:textId="77777777" w:rsidR="00DD1E0D" w:rsidRPr="00903F89" w:rsidRDefault="00DD1E0D" w:rsidP="00903F89">
            <w:pPr>
              <w:jc w:val="both"/>
              <w:rPr>
                <w:rFonts w:cs="Arial"/>
                <w:sz w:val="20"/>
                <w:szCs w:val="20"/>
              </w:rPr>
            </w:pPr>
          </w:p>
        </w:tc>
        <w:tc>
          <w:tcPr>
            <w:tcW w:w="5352" w:type="dxa"/>
            <w:gridSpan w:val="4"/>
          </w:tcPr>
          <w:p w14:paraId="7FC4F4D0" w14:textId="77777777" w:rsidR="00DD1E0D" w:rsidRPr="00903F89" w:rsidRDefault="00DD1E0D" w:rsidP="00903F89">
            <w:pPr>
              <w:jc w:val="both"/>
              <w:rPr>
                <w:rFonts w:cs="Arial"/>
                <w:b/>
                <w:sz w:val="20"/>
                <w:szCs w:val="20"/>
                <w:u w:val="single"/>
              </w:rPr>
            </w:pPr>
          </w:p>
        </w:tc>
      </w:tr>
      <w:tr w:rsidR="00DD1E0D" w:rsidRPr="00903F89" w14:paraId="25802168" w14:textId="77777777" w:rsidTr="007353AA">
        <w:tc>
          <w:tcPr>
            <w:tcW w:w="10632" w:type="dxa"/>
            <w:gridSpan w:val="8"/>
          </w:tcPr>
          <w:p w14:paraId="60A1427A" w14:textId="3F34CADE" w:rsidR="00DD1E0D" w:rsidRPr="00903F89" w:rsidRDefault="00DD1E0D" w:rsidP="00903F89">
            <w:pPr>
              <w:jc w:val="both"/>
              <w:rPr>
                <w:rFonts w:cs="Arial"/>
                <w:sz w:val="20"/>
                <w:szCs w:val="20"/>
              </w:rPr>
            </w:pPr>
            <w:r w:rsidRPr="00903F89">
              <w:rPr>
                <w:rFonts w:cs="Arial"/>
                <w:sz w:val="20"/>
                <w:szCs w:val="20"/>
              </w:rPr>
              <w:t>Η πρόνοια θα καλύψει έξοδα εκπόνησης θεμάτων εξετάσεων, επιτήρησης και διόρθωσης θεμάτων, που αφορούν στην πρόσληψη διοικητικού και άλλου προσωπικού στο Πανεπιστήμιο Κύπρου ενόψει του αιτήματος του Πανεπιστημίου Κύπρου για αναστολή της απαγόρευσης πλήρωσης κενών θέσεων, καθώς και έξοδα εξετάσεων στις οποίες το Πανεπιστήμιο Κύπρου έχει αναλάβει να διεξάγει έναντι τρίτων φορέων και τα οποία καλύπτονται από έσοδα εκτός της κρατικής χορηγίας.</w:t>
            </w:r>
          </w:p>
        </w:tc>
      </w:tr>
      <w:tr w:rsidR="00DD1E0D" w:rsidRPr="00903F89" w14:paraId="43E71E93" w14:textId="77777777" w:rsidTr="007353AA">
        <w:tc>
          <w:tcPr>
            <w:tcW w:w="10632" w:type="dxa"/>
            <w:gridSpan w:val="8"/>
          </w:tcPr>
          <w:p w14:paraId="714A2129" w14:textId="44678082" w:rsidR="00DD1E0D" w:rsidRPr="00903F89" w:rsidRDefault="00DD1E0D" w:rsidP="00903F89">
            <w:pPr>
              <w:tabs>
                <w:tab w:val="left" w:pos="1335"/>
              </w:tabs>
              <w:jc w:val="both"/>
              <w:rPr>
                <w:rFonts w:cs="Arial"/>
                <w:sz w:val="20"/>
                <w:szCs w:val="20"/>
              </w:rPr>
            </w:pPr>
            <w:r w:rsidRPr="00903F89">
              <w:rPr>
                <w:rFonts w:cs="Arial"/>
                <w:sz w:val="20"/>
                <w:szCs w:val="20"/>
              </w:rPr>
              <w:tab/>
            </w:r>
          </w:p>
        </w:tc>
      </w:tr>
      <w:tr w:rsidR="00DD1E0D" w:rsidRPr="00903F89" w14:paraId="21EC6C64" w14:textId="77777777" w:rsidTr="007353AA">
        <w:tc>
          <w:tcPr>
            <w:tcW w:w="10632" w:type="dxa"/>
            <w:gridSpan w:val="8"/>
          </w:tcPr>
          <w:p w14:paraId="6130A30F" w14:textId="51E23A2F"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345 – Στήριξη Φοιτητών με Ειδικές Ανάγκες – €</w:t>
            </w:r>
            <w:r w:rsidR="00662A63" w:rsidRPr="00903F89">
              <w:rPr>
                <w:rFonts w:cs="Arial"/>
                <w:b/>
                <w:bCs/>
                <w:sz w:val="20"/>
                <w:szCs w:val="20"/>
                <w:u w:val="single"/>
              </w:rPr>
              <w:t>138.300</w:t>
            </w:r>
          </w:p>
        </w:tc>
      </w:tr>
      <w:tr w:rsidR="00DD1E0D" w:rsidRPr="00903F89" w14:paraId="554DCCD5" w14:textId="77777777" w:rsidTr="007353AA">
        <w:tc>
          <w:tcPr>
            <w:tcW w:w="2721" w:type="dxa"/>
            <w:gridSpan w:val="2"/>
          </w:tcPr>
          <w:p w14:paraId="58F5A5FB" w14:textId="77777777" w:rsidR="00DD1E0D" w:rsidRPr="00903F89" w:rsidRDefault="00DD1E0D" w:rsidP="00903F89">
            <w:pPr>
              <w:jc w:val="both"/>
              <w:rPr>
                <w:rFonts w:cs="Arial"/>
                <w:b/>
                <w:sz w:val="20"/>
                <w:szCs w:val="20"/>
                <w:u w:val="single"/>
              </w:rPr>
            </w:pPr>
          </w:p>
        </w:tc>
        <w:tc>
          <w:tcPr>
            <w:tcW w:w="2559" w:type="dxa"/>
            <w:gridSpan w:val="2"/>
          </w:tcPr>
          <w:p w14:paraId="62ED646D" w14:textId="77777777" w:rsidR="00DD1E0D" w:rsidRPr="00903F89" w:rsidRDefault="00DD1E0D" w:rsidP="00903F89">
            <w:pPr>
              <w:jc w:val="both"/>
              <w:rPr>
                <w:rFonts w:cs="Arial"/>
                <w:sz w:val="20"/>
                <w:szCs w:val="20"/>
              </w:rPr>
            </w:pPr>
          </w:p>
        </w:tc>
        <w:tc>
          <w:tcPr>
            <w:tcW w:w="5352" w:type="dxa"/>
            <w:gridSpan w:val="4"/>
          </w:tcPr>
          <w:p w14:paraId="4832860F" w14:textId="77777777" w:rsidR="00DD1E0D" w:rsidRPr="00903F89" w:rsidRDefault="00DD1E0D" w:rsidP="00903F89">
            <w:pPr>
              <w:jc w:val="both"/>
              <w:rPr>
                <w:rFonts w:cs="Arial"/>
                <w:b/>
                <w:sz w:val="20"/>
                <w:szCs w:val="20"/>
                <w:u w:val="single"/>
              </w:rPr>
            </w:pPr>
          </w:p>
        </w:tc>
      </w:tr>
      <w:tr w:rsidR="00DD1E0D" w:rsidRPr="00903F89" w14:paraId="79A2A28B" w14:textId="77777777" w:rsidTr="007353AA">
        <w:tc>
          <w:tcPr>
            <w:tcW w:w="10632" w:type="dxa"/>
            <w:gridSpan w:val="8"/>
            <w:shd w:val="clear" w:color="auto" w:fill="auto"/>
          </w:tcPr>
          <w:p w14:paraId="47CC09D9" w14:textId="1B503B8A" w:rsidR="00DD1E0D" w:rsidRPr="00903F89" w:rsidRDefault="00DD1E0D" w:rsidP="00903F89">
            <w:pPr>
              <w:jc w:val="both"/>
              <w:rPr>
                <w:rFonts w:eastAsia="Arial" w:cs="Arial"/>
                <w:b/>
                <w:bCs/>
                <w:sz w:val="20"/>
                <w:szCs w:val="20"/>
                <w:u w:val="single"/>
              </w:rPr>
            </w:pPr>
            <w:r w:rsidRPr="00903F89">
              <w:rPr>
                <w:rFonts w:cs="Arial"/>
                <w:sz w:val="20"/>
                <w:szCs w:val="20"/>
              </w:rPr>
              <w:t xml:space="preserve">Η πρόνοια  προορίζεται να καλύψει τις συνεχώς αυξανόμενες ανάγκες για την κάλυψη δαπανών που στοχεύουν στην ακαδημαϊκή και προσωπική στήριξη φοιτητών με αναπηρίες και ιδιαιτερότητες. Η πρόνοια καλύπτει επίσης δαπάνες σχετικά με την εισαγωγή φοιτητών στο Πανεπιστήμιο Κύπρου με ειδικά κριτήρια, πρόσληψη ειδικών συνεργατών για θέματα φοιτητών με αναπηρίες, </w:t>
            </w:r>
            <w:r w:rsidR="00D55285" w:rsidRPr="00903F89">
              <w:rPr>
                <w:rFonts w:cs="Arial"/>
                <w:sz w:val="20"/>
                <w:szCs w:val="20"/>
              </w:rPr>
              <w:t>κ.λπ</w:t>
            </w:r>
            <w:r w:rsidRPr="00903F89">
              <w:rPr>
                <w:rFonts w:cs="Arial"/>
                <w:sz w:val="20"/>
                <w:szCs w:val="20"/>
              </w:rPr>
              <w:t xml:space="preserve">. όπως δίνονται πιο κάτω αναλυτικά: </w:t>
            </w:r>
          </w:p>
        </w:tc>
      </w:tr>
      <w:tr w:rsidR="00DD1E0D" w:rsidRPr="00903F89" w14:paraId="5331F725" w14:textId="77777777" w:rsidTr="007353AA">
        <w:tc>
          <w:tcPr>
            <w:tcW w:w="2721" w:type="dxa"/>
            <w:gridSpan w:val="2"/>
            <w:shd w:val="clear" w:color="auto" w:fill="auto"/>
          </w:tcPr>
          <w:p w14:paraId="5452CD6C" w14:textId="77777777" w:rsidR="00DD1E0D" w:rsidRPr="00903F89" w:rsidRDefault="00DD1E0D" w:rsidP="00903F89">
            <w:pPr>
              <w:jc w:val="both"/>
              <w:rPr>
                <w:rFonts w:cs="Arial"/>
                <w:b/>
                <w:sz w:val="20"/>
                <w:szCs w:val="20"/>
                <w:u w:val="single"/>
              </w:rPr>
            </w:pPr>
          </w:p>
        </w:tc>
        <w:tc>
          <w:tcPr>
            <w:tcW w:w="2559" w:type="dxa"/>
            <w:gridSpan w:val="2"/>
            <w:shd w:val="clear" w:color="auto" w:fill="auto"/>
          </w:tcPr>
          <w:p w14:paraId="079F799C" w14:textId="77777777" w:rsidR="00DD1E0D" w:rsidRPr="00903F89" w:rsidRDefault="00DD1E0D" w:rsidP="00903F89">
            <w:pPr>
              <w:jc w:val="both"/>
              <w:rPr>
                <w:rFonts w:cs="Arial"/>
                <w:sz w:val="20"/>
                <w:szCs w:val="20"/>
              </w:rPr>
            </w:pPr>
          </w:p>
        </w:tc>
        <w:tc>
          <w:tcPr>
            <w:tcW w:w="5352" w:type="dxa"/>
            <w:gridSpan w:val="4"/>
            <w:shd w:val="clear" w:color="auto" w:fill="auto"/>
          </w:tcPr>
          <w:p w14:paraId="0C091331" w14:textId="77777777" w:rsidR="00DD1E0D" w:rsidRPr="00903F89" w:rsidRDefault="00DD1E0D" w:rsidP="00903F89">
            <w:pPr>
              <w:jc w:val="both"/>
              <w:rPr>
                <w:rFonts w:cs="Arial"/>
                <w:b/>
                <w:sz w:val="20"/>
                <w:szCs w:val="20"/>
                <w:u w:val="single"/>
              </w:rPr>
            </w:pPr>
          </w:p>
        </w:tc>
      </w:tr>
      <w:tr w:rsidR="00DD1E0D" w:rsidRPr="00903F89" w14:paraId="2847DE3C" w14:textId="77777777" w:rsidTr="007353AA">
        <w:tc>
          <w:tcPr>
            <w:tcW w:w="10632" w:type="dxa"/>
            <w:gridSpan w:val="8"/>
            <w:shd w:val="clear" w:color="auto" w:fill="auto"/>
          </w:tcPr>
          <w:p w14:paraId="4699437C" w14:textId="77777777"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 xml:space="preserve">Συνοδεία στη Σχολική Εμπειρία και Διακίνηση </w:t>
            </w:r>
          </w:p>
          <w:p w14:paraId="00BEB81A" w14:textId="05D4D228"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Χρηματοδότηση Φοιτητών για στήριξη (συνοδεία και διακίνηση)</w:t>
            </w:r>
          </w:p>
          <w:p w14:paraId="2FA97EEF" w14:textId="77777777"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 xml:space="preserve">Αποδελτίωση και Μαγνητοφώνηση Μαθημάτων/Διαλέξεων </w:t>
            </w:r>
          </w:p>
          <w:p w14:paraId="1477673A" w14:textId="3E98D075"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 xml:space="preserve">Φροντιστηριακή στήριξη,  Λήψη ή/και δακτυλογράφηση σημειώσεων μαθημάτων – </w:t>
            </w:r>
            <w:proofErr w:type="spellStart"/>
            <w:r w:rsidRPr="00903F89">
              <w:rPr>
                <w:rFonts w:cs="Arial"/>
                <w:sz w:val="20"/>
                <w:szCs w:val="20"/>
              </w:rPr>
              <w:t>Μεταγραφέας</w:t>
            </w:r>
            <w:proofErr w:type="spellEnd"/>
            <w:r w:rsidRPr="00903F89">
              <w:rPr>
                <w:rFonts w:cs="Arial"/>
                <w:sz w:val="20"/>
                <w:szCs w:val="20"/>
              </w:rPr>
              <w:t xml:space="preserve"> – Διερμηνέα</w:t>
            </w:r>
            <w:r w:rsidRPr="00903F89">
              <w:rPr>
                <w:rFonts w:cs="Arial"/>
                <w:strike/>
                <w:sz w:val="20"/>
                <w:szCs w:val="20"/>
              </w:rPr>
              <w:t>ς</w:t>
            </w:r>
          </w:p>
          <w:p w14:paraId="43BFD73A" w14:textId="77777777"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Διοργάνωση Ημερίδας για χρήση της τεχνολογίας</w:t>
            </w:r>
          </w:p>
          <w:p w14:paraId="31B0A247" w14:textId="77777777"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 xml:space="preserve">Συμμετοχή σε σεμινάρια στο εξωτερικό </w:t>
            </w:r>
          </w:p>
          <w:p w14:paraId="604E43A0" w14:textId="77777777"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 xml:space="preserve">Αγορά Υπηρεσιών από Ειδικούς/Συνεργάτες </w:t>
            </w:r>
          </w:p>
          <w:p w14:paraId="3585360E" w14:textId="77777777"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Αμοιβές Ιατροσυμβουλίου</w:t>
            </w:r>
          </w:p>
          <w:p w14:paraId="52778443" w14:textId="77777777"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Ειδικές Υπηρεσίες (π.χ. εκπαίδευση προσωπικού)</w:t>
            </w:r>
          </w:p>
          <w:p w14:paraId="4E19DBA0" w14:textId="1785073A"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Αγορά υποστηρικτικής τεχνολογίας</w:t>
            </w:r>
          </w:p>
          <w:p w14:paraId="13B52B39" w14:textId="1CB6682A" w:rsidR="00DD1E0D" w:rsidRPr="00903F89" w:rsidRDefault="00DD1E0D" w:rsidP="00903F89">
            <w:pPr>
              <w:numPr>
                <w:ilvl w:val="0"/>
                <w:numId w:val="9"/>
              </w:numPr>
              <w:ind w:left="0" w:firstLine="0"/>
              <w:jc w:val="both"/>
              <w:rPr>
                <w:rFonts w:eastAsia="Arial" w:cs="Arial"/>
                <w:sz w:val="20"/>
                <w:szCs w:val="20"/>
              </w:rPr>
            </w:pPr>
            <w:r w:rsidRPr="00903F89">
              <w:rPr>
                <w:rFonts w:cs="Arial"/>
                <w:sz w:val="20"/>
                <w:szCs w:val="20"/>
              </w:rPr>
              <w:t xml:space="preserve">Άλλα (π.χ. διεξαγωγή σεμιναρίων, συνεδρίων, </w:t>
            </w:r>
            <w:r w:rsidR="00D55285" w:rsidRPr="00903F89">
              <w:rPr>
                <w:rFonts w:cs="Arial"/>
                <w:sz w:val="20"/>
                <w:szCs w:val="20"/>
              </w:rPr>
              <w:t>κ.λπ</w:t>
            </w:r>
            <w:r w:rsidRPr="00903F89">
              <w:rPr>
                <w:rFonts w:cs="Arial"/>
                <w:sz w:val="20"/>
                <w:szCs w:val="20"/>
              </w:rPr>
              <w:t>.)</w:t>
            </w:r>
          </w:p>
        </w:tc>
      </w:tr>
    </w:tbl>
    <w:p w14:paraId="33CF0160" w14:textId="77777777" w:rsidR="00B1212B" w:rsidRDefault="00B1212B">
      <w:r>
        <w:br w:type="page"/>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1"/>
        <w:gridCol w:w="2559"/>
        <w:gridCol w:w="5352"/>
      </w:tblGrid>
      <w:tr w:rsidR="00DD1E0D" w:rsidRPr="00903F89" w14:paraId="65C02D24" w14:textId="77777777" w:rsidTr="007353AA">
        <w:tc>
          <w:tcPr>
            <w:tcW w:w="10632" w:type="dxa"/>
            <w:gridSpan w:val="3"/>
            <w:shd w:val="clear" w:color="auto" w:fill="auto"/>
          </w:tcPr>
          <w:p w14:paraId="53F7D556" w14:textId="61BD5839"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346 – Υλικά Εργαστηρίων – €</w:t>
            </w:r>
            <w:r w:rsidR="008F26E9" w:rsidRPr="00903F89">
              <w:rPr>
                <w:rFonts w:cs="Arial"/>
                <w:b/>
                <w:bCs/>
                <w:sz w:val="20"/>
                <w:szCs w:val="20"/>
                <w:u w:val="single"/>
              </w:rPr>
              <w:t>647.690</w:t>
            </w:r>
          </w:p>
        </w:tc>
      </w:tr>
      <w:tr w:rsidR="00DD1E0D" w:rsidRPr="00903F89" w14:paraId="561635E0" w14:textId="77777777" w:rsidTr="007353AA">
        <w:tc>
          <w:tcPr>
            <w:tcW w:w="2721" w:type="dxa"/>
            <w:shd w:val="clear" w:color="auto" w:fill="auto"/>
          </w:tcPr>
          <w:p w14:paraId="77B06A15" w14:textId="77777777" w:rsidR="00DD1E0D" w:rsidRPr="00903F89" w:rsidRDefault="00DD1E0D" w:rsidP="00903F89">
            <w:pPr>
              <w:jc w:val="both"/>
              <w:rPr>
                <w:rFonts w:cs="Arial"/>
                <w:b/>
                <w:sz w:val="20"/>
                <w:szCs w:val="20"/>
                <w:u w:val="single"/>
              </w:rPr>
            </w:pPr>
          </w:p>
        </w:tc>
        <w:tc>
          <w:tcPr>
            <w:tcW w:w="2559" w:type="dxa"/>
            <w:shd w:val="clear" w:color="auto" w:fill="auto"/>
          </w:tcPr>
          <w:p w14:paraId="45E2A283" w14:textId="77777777" w:rsidR="00DD1E0D" w:rsidRPr="00903F89" w:rsidRDefault="00DD1E0D" w:rsidP="00903F89">
            <w:pPr>
              <w:jc w:val="both"/>
              <w:rPr>
                <w:rFonts w:cs="Arial"/>
                <w:sz w:val="20"/>
                <w:szCs w:val="20"/>
              </w:rPr>
            </w:pPr>
          </w:p>
        </w:tc>
        <w:tc>
          <w:tcPr>
            <w:tcW w:w="5352" w:type="dxa"/>
            <w:shd w:val="clear" w:color="auto" w:fill="auto"/>
          </w:tcPr>
          <w:p w14:paraId="2281513C" w14:textId="77777777" w:rsidR="00DD1E0D" w:rsidRPr="00903F89" w:rsidRDefault="00DD1E0D" w:rsidP="00903F89">
            <w:pPr>
              <w:jc w:val="both"/>
              <w:rPr>
                <w:rFonts w:cs="Arial"/>
                <w:b/>
                <w:sz w:val="20"/>
                <w:szCs w:val="20"/>
                <w:u w:val="single"/>
              </w:rPr>
            </w:pPr>
          </w:p>
        </w:tc>
      </w:tr>
      <w:tr w:rsidR="00DD1E0D" w:rsidRPr="00903F89" w14:paraId="2C11E47A" w14:textId="77777777" w:rsidTr="007353AA">
        <w:tc>
          <w:tcPr>
            <w:tcW w:w="10632" w:type="dxa"/>
            <w:gridSpan w:val="3"/>
            <w:shd w:val="clear" w:color="auto" w:fill="auto"/>
          </w:tcPr>
          <w:p w14:paraId="5D80AA4B" w14:textId="32D539AD" w:rsidR="00DD1E0D" w:rsidRPr="00903F89" w:rsidRDefault="00DD1E0D" w:rsidP="00903F89">
            <w:pPr>
              <w:jc w:val="both"/>
              <w:rPr>
                <w:rFonts w:eastAsia="Arial" w:cs="Arial"/>
                <w:b/>
                <w:bCs/>
                <w:sz w:val="20"/>
                <w:szCs w:val="20"/>
                <w:u w:val="single"/>
              </w:rPr>
            </w:pPr>
            <w:r w:rsidRPr="00903F89">
              <w:rPr>
                <w:rFonts w:cs="Arial"/>
                <w:sz w:val="20"/>
                <w:szCs w:val="20"/>
              </w:rPr>
              <w:t xml:space="preserve">Το ποσό προορίζεται για την αγορά διαφόρων υλικών και αναλωσίμων που είναι απαραίτητα για τη λειτουργία διδακτικών και ερευνητικών εργαστηρίων του Πανεπιστημίου.  </w:t>
            </w:r>
          </w:p>
        </w:tc>
      </w:tr>
      <w:tr w:rsidR="00DD1E0D" w:rsidRPr="00903F89" w14:paraId="005302A9" w14:textId="77777777" w:rsidTr="007353AA">
        <w:tc>
          <w:tcPr>
            <w:tcW w:w="2721" w:type="dxa"/>
            <w:shd w:val="clear" w:color="auto" w:fill="auto"/>
          </w:tcPr>
          <w:p w14:paraId="01E4588A" w14:textId="77777777" w:rsidR="00DD1E0D" w:rsidRPr="00903F89" w:rsidRDefault="00DD1E0D" w:rsidP="00903F89">
            <w:pPr>
              <w:jc w:val="both"/>
              <w:rPr>
                <w:rFonts w:cs="Arial"/>
                <w:b/>
                <w:sz w:val="20"/>
                <w:szCs w:val="20"/>
                <w:u w:val="single"/>
              </w:rPr>
            </w:pPr>
          </w:p>
        </w:tc>
        <w:tc>
          <w:tcPr>
            <w:tcW w:w="2559" w:type="dxa"/>
            <w:shd w:val="clear" w:color="auto" w:fill="auto"/>
          </w:tcPr>
          <w:p w14:paraId="3025533E" w14:textId="77777777" w:rsidR="00DD1E0D" w:rsidRPr="00903F89" w:rsidRDefault="00DD1E0D" w:rsidP="00903F89">
            <w:pPr>
              <w:jc w:val="both"/>
              <w:rPr>
                <w:rFonts w:cs="Arial"/>
                <w:sz w:val="20"/>
                <w:szCs w:val="20"/>
              </w:rPr>
            </w:pPr>
          </w:p>
        </w:tc>
        <w:tc>
          <w:tcPr>
            <w:tcW w:w="5352" w:type="dxa"/>
            <w:shd w:val="clear" w:color="auto" w:fill="auto"/>
          </w:tcPr>
          <w:p w14:paraId="22F73257" w14:textId="77777777" w:rsidR="00DD1E0D" w:rsidRPr="00903F89" w:rsidRDefault="00DD1E0D" w:rsidP="00903F89">
            <w:pPr>
              <w:jc w:val="both"/>
              <w:rPr>
                <w:rFonts w:cs="Arial"/>
                <w:b/>
                <w:sz w:val="20"/>
                <w:szCs w:val="20"/>
                <w:u w:val="single"/>
              </w:rPr>
            </w:pPr>
          </w:p>
        </w:tc>
      </w:tr>
      <w:tr w:rsidR="00DD1E0D" w:rsidRPr="00903F89" w14:paraId="4B5287AA" w14:textId="77777777" w:rsidTr="007353AA">
        <w:tc>
          <w:tcPr>
            <w:tcW w:w="10632" w:type="dxa"/>
            <w:gridSpan w:val="3"/>
            <w:shd w:val="clear" w:color="auto" w:fill="auto"/>
          </w:tcPr>
          <w:p w14:paraId="7C5B0818" w14:textId="271302DE" w:rsidR="00DD1E0D" w:rsidRPr="00903F89" w:rsidRDefault="00DD1E0D" w:rsidP="00903F89">
            <w:pPr>
              <w:jc w:val="both"/>
              <w:rPr>
                <w:rFonts w:eastAsia="Arial" w:cs="Arial"/>
                <w:b/>
                <w:bCs/>
                <w:sz w:val="20"/>
                <w:szCs w:val="20"/>
                <w:u w:val="single"/>
              </w:rPr>
            </w:pPr>
            <w:r w:rsidRPr="00903F89">
              <w:rPr>
                <w:rFonts w:cs="Arial"/>
                <w:sz w:val="20"/>
                <w:szCs w:val="20"/>
              </w:rPr>
              <w:t>Οι πιστώσεις του 202</w:t>
            </w:r>
            <w:r w:rsidR="00E41495" w:rsidRPr="00903F89">
              <w:rPr>
                <w:rFonts w:cs="Arial"/>
                <w:sz w:val="20"/>
                <w:szCs w:val="20"/>
              </w:rPr>
              <w:t>2</w:t>
            </w:r>
            <w:r w:rsidRPr="00903F89">
              <w:rPr>
                <w:rFonts w:cs="Arial"/>
                <w:sz w:val="20"/>
                <w:szCs w:val="20"/>
              </w:rPr>
              <w:t xml:space="preserve"> προορίζονται να καλύψουν δαπάνες αγοράς διαφόρων υλικών και αναλωσίμων που είναι απαραίτητα για τη λειτουργία διδακτικών και ερευνητικών εργαστηρίων και αφορούν κυρίως τα Τμήματα στη Σχολή Θετικών και Εφαρμοσμένων Επιστημών, την Πολυτεχνική Σχολή, τη Σχολή Κοινωνικών Επιστημών και Επιστημών Αγωγής και την Ιατρική Σχολή.</w:t>
            </w:r>
          </w:p>
        </w:tc>
      </w:tr>
      <w:tr w:rsidR="00DD1E0D" w:rsidRPr="00903F89" w14:paraId="238D2E07" w14:textId="77777777" w:rsidTr="007353AA">
        <w:tc>
          <w:tcPr>
            <w:tcW w:w="10632" w:type="dxa"/>
            <w:gridSpan w:val="3"/>
            <w:shd w:val="clear" w:color="auto" w:fill="auto"/>
          </w:tcPr>
          <w:p w14:paraId="72B84DCA" w14:textId="77777777" w:rsidR="00DD1E0D" w:rsidRPr="00903F89" w:rsidRDefault="00DD1E0D" w:rsidP="00903F89">
            <w:pPr>
              <w:jc w:val="both"/>
              <w:rPr>
                <w:rFonts w:cs="Arial"/>
                <w:sz w:val="20"/>
                <w:szCs w:val="20"/>
              </w:rPr>
            </w:pPr>
          </w:p>
        </w:tc>
      </w:tr>
      <w:tr w:rsidR="00DD1E0D" w:rsidRPr="00903F89" w14:paraId="758869A7" w14:textId="77777777" w:rsidTr="007353AA">
        <w:tc>
          <w:tcPr>
            <w:tcW w:w="10632" w:type="dxa"/>
            <w:gridSpan w:val="3"/>
            <w:shd w:val="clear" w:color="auto" w:fill="auto"/>
          </w:tcPr>
          <w:p w14:paraId="3BA64A97" w14:textId="122EBD10" w:rsidR="00DD1E0D" w:rsidRPr="00903F89" w:rsidRDefault="00B64187" w:rsidP="00903F89">
            <w:pPr>
              <w:jc w:val="both"/>
              <w:rPr>
                <w:rFonts w:cs="Arial"/>
                <w:sz w:val="20"/>
                <w:szCs w:val="20"/>
              </w:rPr>
            </w:pPr>
            <w:r w:rsidRPr="00903F89">
              <w:rPr>
                <w:rFonts w:cs="Arial"/>
                <w:sz w:val="20"/>
                <w:szCs w:val="20"/>
              </w:rPr>
              <w:t xml:space="preserve">Η </w:t>
            </w:r>
            <w:r w:rsidR="00DD1E0D" w:rsidRPr="00903F89">
              <w:rPr>
                <w:rFonts w:cs="Arial"/>
                <w:sz w:val="20"/>
                <w:szCs w:val="20"/>
              </w:rPr>
              <w:t>πρόνοια του παρόντος άρθρου προορίζεται να καλύψει δαπάνες συγχρηματοδότησης των προτάσεων που θα επιτύχουν (νέες προσκλήσεις προτάσεων Ιδρύματος Έρευνας και Καινοτομίας για την καινοτόμο επιχειρηματικότητα (PRE-SEED, SEED, INNOVATE) από άλλες εισπράξεις του ΠΚ (εκτός κρατικής χορηγίας)</w:t>
            </w:r>
            <w:r w:rsidRPr="00903F89">
              <w:rPr>
                <w:rFonts w:cs="Arial"/>
                <w:sz w:val="20"/>
                <w:szCs w:val="20"/>
              </w:rPr>
              <w:t xml:space="preserve"> (Απόφαση </w:t>
            </w:r>
            <w:bookmarkStart w:id="49" w:name="_Hlk87949606"/>
            <w:r w:rsidRPr="00903F89">
              <w:rPr>
                <w:rFonts w:cs="Arial"/>
                <w:sz w:val="20"/>
                <w:szCs w:val="20"/>
              </w:rPr>
              <w:t>Συμβουλίου, Συνεδρία Αρ. 09/2019, ημερ. 07/10/2019)</w:t>
            </w:r>
            <w:bookmarkEnd w:id="49"/>
            <w:r w:rsidR="00DD1E0D" w:rsidRPr="00903F89">
              <w:rPr>
                <w:rFonts w:cs="Arial"/>
                <w:sz w:val="20"/>
                <w:szCs w:val="20"/>
              </w:rPr>
              <w:t>.</w:t>
            </w:r>
          </w:p>
        </w:tc>
      </w:tr>
      <w:tr w:rsidR="00DD1E0D" w:rsidRPr="00903F89" w14:paraId="2D7AACD8" w14:textId="77777777" w:rsidTr="007353AA">
        <w:tc>
          <w:tcPr>
            <w:tcW w:w="10632" w:type="dxa"/>
            <w:gridSpan w:val="3"/>
            <w:shd w:val="clear" w:color="auto" w:fill="auto"/>
          </w:tcPr>
          <w:p w14:paraId="7FBDBFF9" w14:textId="77777777" w:rsidR="00DD1E0D" w:rsidRPr="00903F89" w:rsidRDefault="00DD1E0D" w:rsidP="00903F89">
            <w:pPr>
              <w:jc w:val="both"/>
              <w:rPr>
                <w:rFonts w:cs="Arial"/>
                <w:sz w:val="20"/>
                <w:szCs w:val="20"/>
              </w:rPr>
            </w:pPr>
          </w:p>
        </w:tc>
      </w:tr>
      <w:tr w:rsidR="00DD1E0D" w:rsidRPr="00903F89" w14:paraId="6A194372" w14:textId="77777777" w:rsidTr="007353AA">
        <w:tc>
          <w:tcPr>
            <w:tcW w:w="10632" w:type="dxa"/>
            <w:gridSpan w:val="3"/>
            <w:shd w:val="clear" w:color="auto" w:fill="auto"/>
          </w:tcPr>
          <w:p w14:paraId="46DEBD84" w14:textId="770EFF85" w:rsidR="00DD1E0D" w:rsidRPr="00903F89" w:rsidRDefault="00DD1E0D" w:rsidP="00903F89">
            <w:pPr>
              <w:jc w:val="both"/>
              <w:rPr>
                <w:rFonts w:cs="Arial"/>
                <w:sz w:val="20"/>
                <w:szCs w:val="20"/>
              </w:rPr>
            </w:pPr>
            <w:r w:rsidRPr="00903F89">
              <w:rPr>
                <w:rFonts w:cs="Arial"/>
                <w:sz w:val="20"/>
                <w:szCs w:val="20"/>
              </w:rPr>
              <w:t xml:space="preserve">Τυχόν δαπάνες αγοράς εργαστηριακής ένδυσης και υπόδησης δύναται να καλύπτονται στο πλαίσιο της πρόνοιας του παρόντος άρθρου. </w:t>
            </w:r>
          </w:p>
        </w:tc>
      </w:tr>
      <w:tr w:rsidR="00DD1E0D" w:rsidRPr="00903F89" w14:paraId="5B1A4538" w14:textId="77777777" w:rsidTr="007353AA">
        <w:tc>
          <w:tcPr>
            <w:tcW w:w="2721" w:type="dxa"/>
            <w:shd w:val="clear" w:color="auto" w:fill="auto"/>
          </w:tcPr>
          <w:p w14:paraId="4ECEA66F" w14:textId="77777777" w:rsidR="00DD1E0D" w:rsidRPr="00903F89" w:rsidRDefault="00DD1E0D" w:rsidP="00903F89">
            <w:pPr>
              <w:jc w:val="both"/>
              <w:rPr>
                <w:rFonts w:cs="Arial"/>
                <w:b/>
                <w:sz w:val="20"/>
                <w:szCs w:val="20"/>
                <w:u w:val="single"/>
              </w:rPr>
            </w:pPr>
          </w:p>
        </w:tc>
        <w:tc>
          <w:tcPr>
            <w:tcW w:w="2559" w:type="dxa"/>
            <w:shd w:val="clear" w:color="auto" w:fill="auto"/>
          </w:tcPr>
          <w:p w14:paraId="68D3C25E" w14:textId="77777777" w:rsidR="00DD1E0D" w:rsidRPr="00903F89" w:rsidRDefault="00DD1E0D" w:rsidP="00903F89">
            <w:pPr>
              <w:jc w:val="both"/>
              <w:rPr>
                <w:rFonts w:cs="Arial"/>
                <w:sz w:val="20"/>
                <w:szCs w:val="20"/>
              </w:rPr>
            </w:pPr>
          </w:p>
        </w:tc>
        <w:tc>
          <w:tcPr>
            <w:tcW w:w="5352" w:type="dxa"/>
            <w:shd w:val="clear" w:color="auto" w:fill="auto"/>
          </w:tcPr>
          <w:p w14:paraId="1ED48C62" w14:textId="77777777" w:rsidR="00DD1E0D" w:rsidRPr="00903F89" w:rsidRDefault="00DD1E0D" w:rsidP="00903F89">
            <w:pPr>
              <w:jc w:val="both"/>
              <w:rPr>
                <w:rFonts w:cs="Arial"/>
                <w:b/>
                <w:sz w:val="20"/>
                <w:szCs w:val="20"/>
                <w:u w:val="single"/>
              </w:rPr>
            </w:pPr>
          </w:p>
        </w:tc>
      </w:tr>
      <w:tr w:rsidR="00DD1E0D" w:rsidRPr="00903F89" w14:paraId="0D73B50D" w14:textId="77777777" w:rsidTr="007353AA">
        <w:tc>
          <w:tcPr>
            <w:tcW w:w="10632" w:type="dxa"/>
            <w:gridSpan w:val="3"/>
            <w:shd w:val="clear" w:color="auto" w:fill="auto"/>
          </w:tcPr>
          <w:p w14:paraId="6A77B550" w14:textId="1638C577"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347 – Πολιτιστικές και Άλλες Εκδηλώσεις – €</w:t>
            </w:r>
            <w:r w:rsidR="00C967D1" w:rsidRPr="00903F89">
              <w:rPr>
                <w:rFonts w:cs="Arial"/>
                <w:b/>
                <w:bCs/>
                <w:sz w:val="20"/>
                <w:szCs w:val="20"/>
                <w:u w:val="single"/>
              </w:rPr>
              <w:t>257.430</w:t>
            </w:r>
          </w:p>
        </w:tc>
      </w:tr>
      <w:tr w:rsidR="00DD1E0D" w:rsidRPr="00903F89" w14:paraId="219DAF72" w14:textId="77777777" w:rsidTr="007353AA">
        <w:tc>
          <w:tcPr>
            <w:tcW w:w="2721" w:type="dxa"/>
            <w:shd w:val="clear" w:color="auto" w:fill="auto"/>
          </w:tcPr>
          <w:p w14:paraId="489885D4" w14:textId="77777777" w:rsidR="00DD1E0D" w:rsidRPr="00903F89" w:rsidRDefault="00DD1E0D" w:rsidP="00903F89">
            <w:pPr>
              <w:jc w:val="both"/>
              <w:rPr>
                <w:rFonts w:cs="Arial"/>
                <w:b/>
                <w:sz w:val="20"/>
                <w:szCs w:val="20"/>
                <w:u w:val="single"/>
              </w:rPr>
            </w:pPr>
          </w:p>
        </w:tc>
        <w:tc>
          <w:tcPr>
            <w:tcW w:w="7911" w:type="dxa"/>
            <w:gridSpan w:val="2"/>
            <w:shd w:val="clear" w:color="auto" w:fill="auto"/>
          </w:tcPr>
          <w:p w14:paraId="6D1389E3" w14:textId="3063A3E8" w:rsidR="00DD1E0D" w:rsidRPr="00903F89" w:rsidRDefault="00DD1E0D" w:rsidP="00903F89">
            <w:pPr>
              <w:jc w:val="both"/>
              <w:rPr>
                <w:rFonts w:cs="Arial"/>
                <w:b/>
                <w:i/>
                <w:sz w:val="20"/>
                <w:szCs w:val="20"/>
                <w:u w:val="single"/>
              </w:rPr>
            </w:pPr>
          </w:p>
        </w:tc>
      </w:tr>
      <w:tr w:rsidR="00DD1E0D" w:rsidRPr="00903F89" w14:paraId="129CD4EE" w14:textId="77777777" w:rsidTr="007353AA">
        <w:tc>
          <w:tcPr>
            <w:tcW w:w="10632" w:type="dxa"/>
            <w:gridSpan w:val="3"/>
            <w:shd w:val="clear" w:color="auto" w:fill="auto"/>
          </w:tcPr>
          <w:p w14:paraId="4DAD7636" w14:textId="157FF565" w:rsidR="00DD1E0D" w:rsidRPr="00903F89" w:rsidRDefault="00DD1E0D" w:rsidP="00903F89">
            <w:pPr>
              <w:jc w:val="both"/>
              <w:rPr>
                <w:rFonts w:eastAsia="Arial" w:cs="Arial"/>
                <w:sz w:val="20"/>
                <w:szCs w:val="20"/>
                <w:u w:val="single"/>
              </w:rPr>
            </w:pPr>
            <w:r w:rsidRPr="00903F89">
              <w:rPr>
                <w:rFonts w:cs="Arial"/>
                <w:sz w:val="20"/>
                <w:szCs w:val="20"/>
              </w:rPr>
              <w:t xml:space="preserve">Η πρόνοια προορίζεται να καλύψει δαπάνες για τις διάφορες πολιτιστικές εκδηλώσεις του Πανεπιστημίου Κύπρου όπως, δημόσιες διαλέξεις, παραστάσεις, τελετές αποφοίτησης προπτυχιακών και μεταπτυχιακών φοιτητών (εξαιρουμένων των εξόδων ενοικίασης τηβέννων), πολιτιστικές εκδηλώσεις, τον θεσμό του Ελεύθερου Πανεπιστήμιου, εκθέσεις, αναγορεύσεις, </w:t>
            </w:r>
            <w:r w:rsidR="00D55285" w:rsidRPr="00903F89">
              <w:rPr>
                <w:rFonts w:cs="Arial"/>
                <w:sz w:val="20"/>
                <w:szCs w:val="20"/>
              </w:rPr>
              <w:t>κ.λπ</w:t>
            </w:r>
            <w:r w:rsidRPr="00903F89">
              <w:rPr>
                <w:rFonts w:cs="Arial"/>
                <w:sz w:val="20"/>
                <w:szCs w:val="20"/>
              </w:rPr>
              <w:t>.</w:t>
            </w:r>
          </w:p>
        </w:tc>
      </w:tr>
      <w:tr w:rsidR="00DD1E0D" w:rsidRPr="00903F89" w14:paraId="23CD7C43" w14:textId="77777777" w:rsidTr="007353AA">
        <w:tc>
          <w:tcPr>
            <w:tcW w:w="2721" w:type="dxa"/>
            <w:shd w:val="clear" w:color="auto" w:fill="auto"/>
          </w:tcPr>
          <w:p w14:paraId="6ECF2A27" w14:textId="77777777" w:rsidR="00DD1E0D" w:rsidRPr="00903F89" w:rsidRDefault="00DD1E0D" w:rsidP="00903F89">
            <w:pPr>
              <w:jc w:val="both"/>
              <w:rPr>
                <w:rFonts w:cs="Arial"/>
                <w:b/>
                <w:sz w:val="20"/>
                <w:szCs w:val="20"/>
                <w:u w:val="single"/>
              </w:rPr>
            </w:pPr>
          </w:p>
        </w:tc>
        <w:tc>
          <w:tcPr>
            <w:tcW w:w="2559" w:type="dxa"/>
            <w:shd w:val="clear" w:color="auto" w:fill="auto"/>
          </w:tcPr>
          <w:p w14:paraId="1C91047E" w14:textId="77777777" w:rsidR="00DD1E0D" w:rsidRPr="00903F89" w:rsidRDefault="00DD1E0D" w:rsidP="00903F89">
            <w:pPr>
              <w:jc w:val="both"/>
              <w:rPr>
                <w:rFonts w:cs="Arial"/>
                <w:sz w:val="20"/>
                <w:szCs w:val="20"/>
              </w:rPr>
            </w:pPr>
          </w:p>
        </w:tc>
        <w:tc>
          <w:tcPr>
            <w:tcW w:w="5352" w:type="dxa"/>
            <w:shd w:val="clear" w:color="auto" w:fill="auto"/>
          </w:tcPr>
          <w:p w14:paraId="02662607" w14:textId="77777777" w:rsidR="00DD1E0D" w:rsidRPr="00903F89" w:rsidRDefault="00DD1E0D" w:rsidP="00903F89">
            <w:pPr>
              <w:jc w:val="both"/>
              <w:rPr>
                <w:rFonts w:cs="Arial"/>
                <w:b/>
                <w:sz w:val="20"/>
                <w:szCs w:val="20"/>
                <w:u w:val="single"/>
              </w:rPr>
            </w:pPr>
          </w:p>
        </w:tc>
      </w:tr>
      <w:tr w:rsidR="00DD1E0D" w:rsidRPr="00903F89" w14:paraId="5D3F8451" w14:textId="77777777" w:rsidTr="007353AA">
        <w:tc>
          <w:tcPr>
            <w:tcW w:w="10632" w:type="dxa"/>
            <w:gridSpan w:val="3"/>
            <w:shd w:val="clear" w:color="auto" w:fill="auto"/>
          </w:tcPr>
          <w:p w14:paraId="738F5868" w14:textId="42711121" w:rsidR="00DD1E0D" w:rsidRPr="00903F89" w:rsidRDefault="00DD1E0D" w:rsidP="00903F89">
            <w:pPr>
              <w:jc w:val="both"/>
              <w:rPr>
                <w:rFonts w:eastAsia="Arial" w:cs="Arial"/>
                <w:b/>
                <w:bCs/>
                <w:sz w:val="20"/>
                <w:szCs w:val="20"/>
                <w:u w:val="single"/>
              </w:rPr>
            </w:pPr>
            <w:r w:rsidRPr="00903F89">
              <w:rPr>
                <w:rFonts w:cs="Arial"/>
                <w:sz w:val="20"/>
                <w:szCs w:val="20"/>
              </w:rPr>
              <w:t>Η πρόνοια προορίζεται να καλύψει επίσης δαπάνες που σχετίζονται με τη διοργάνωση του Πολιτιστικού Φεστιβάλ από το Πολιτιστικό Κέντρο του Πανεπιστημίου Κύπρου το οποίο αναπτύσσει τις εισοδηματικές του δραστηριότητες και επιφέρει έσοδα τα οποία χρηματοδοτούν μεγάλο μέρος των εκδηλώσεων του, καθώς και σχετικές δαπάνες των οργανωτικών οντοτήτων του Πανεπιστημίου οι οποίες αναμένεται ότι θα χρηματοδοτηθούν από έσοδα εκτός της κρατικής χορηγίας.</w:t>
            </w:r>
          </w:p>
        </w:tc>
      </w:tr>
      <w:tr w:rsidR="00DD1E0D" w:rsidRPr="00903F89" w14:paraId="24F31EC9" w14:textId="77777777" w:rsidTr="007353AA">
        <w:tc>
          <w:tcPr>
            <w:tcW w:w="10632" w:type="dxa"/>
            <w:gridSpan w:val="3"/>
            <w:shd w:val="clear" w:color="auto" w:fill="auto"/>
          </w:tcPr>
          <w:p w14:paraId="48028D4A" w14:textId="60685E6C" w:rsidR="00DD1E0D" w:rsidRPr="00903F89" w:rsidRDefault="00DD1E0D" w:rsidP="00903F89">
            <w:pPr>
              <w:jc w:val="both"/>
              <w:rPr>
                <w:rFonts w:cs="Arial"/>
                <w:sz w:val="20"/>
                <w:szCs w:val="20"/>
              </w:rPr>
            </w:pPr>
          </w:p>
        </w:tc>
      </w:tr>
      <w:tr w:rsidR="00DD1E0D" w:rsidRPr="00903F89" w14:paraId="2A007E0C" w14:textId="77777777" w:rsidTr="007353AA">
        <w:tc>
          <w:tcPr>
            <w:tcW w:w="10632" w:type="dxa"/>
            <w:gridSpan w:val="3"/>
            <w:shd w:val="clear" w:color="auto" w:fill="auto"/>
          </w:tcPr>
          <w:p w14:paraId="48F2E9CF" w14:textId="0FE1D75D" w:rsidR="00DD1E0D" w:rsidRPr="00903F89" w:rsidRDefault="00DD1E0D" w:rsidP="00903F89">
            <w:pPr>
              <w:jc w:val="both"/>
              <w:rPr>
                <w:rFonts w:eastAsia="Arial" w:cs="Arial"/>
                <w:b/>
                <w:bCs/>
                <w:sz w:val="20"/>
                <w:szCs w:val="20"/>
                <w:u w:val="single"/>
              </w:rPr>
            </w:pPr>
            <w:r w:rsidRPr="00903F89">
              <w:rPr>
                <w:rFonts w:cs="Arial"/>
                <w:b/>
                <w:bCs/>
                <w:sz w:val="20"/>
                <w:szCs w:val="20"/>
                <w:u w:val="single"/>
              </w:rPr>
              <w:t>Άρθρο 348 – Δικαιώματα Εμπειρογνωμόνων/Συμβούλων, Μελέτες, Υπηρεσίες – €</w:t>
            </w:r>
            <w:r w:rsidR="00C967D1" w:rsidRPr="00903F89">
              <w:rPr>
                <w:rFonts w:cs="Arial"/>
                <w:b/>
                <w:bCs/>
                <w:sz w:val="20"/>
                <w:szCs w:val="20"/>
                <w:u w:val="single"/>
              </w:rPr>
              <w:t>210.560</w:t>
            </w:r>
          </w:p>
        </w:tc>
      </w:tr>
      <w:tr w:rsidR="00DD1E0D" w:rsidRPr="00903F89" w14:paraId="28C135F4" w14:textId="77777777" w:rsidTr="007353AA">
        <w:tc>
          <w:tcPr>
            <w:tcW w:w="2721" w:type="dxa"/>
            <w:shd w:val="clear" w:color="auto" w:fill="auto"/>
          </w:tcPr>
          <w:p w14:paraId="03DFB34B" w14:textId="77777777" w:rsidR="00DD1E0D" w:rsidRPr="00903F89" w:rsidRDefault="00DD1E0D" w:rsidP="00903F89">
            <w:pPr>
              <w:jc w:val="both"/>
              <w:rPr>
                <w:rFonts w:cs="Arial"/>
                <w:b/>
                <w:sz w:val="20"/>
                <w:szCs w:val="20"/>
                <w:u w:val="single"/>
              </w:rPr>
            </w:pPr>
          </w:p>
        </w:tc>
        <w:tc>
          <w:tcPr>
            <w:tcW w:w="2559" w:type="dxa"/>
            <w:shd w:val="clear" w:color="auto" w:fill="auto"/>
          </w:tcPr>
          <w:p w14:paraId="37EDEB82" w14:textId="77777777" w:rsidR="00DD1E0D" w:rsidRPr="00903F89" w:rsidRDefault="00DD1E0D" w:rsidP="00903F89">
            <w:pPr>
              <w:jc w:val="both"/>
              <w:rPr>
                <w:rFonts w:cs="Arial"/>
                <w:sz w:val="20"/>
                <w:szCs w:val="20"/>
              </w:rPr>
            </w:pPr>
          </w:p>
        </w:tc>
        <w:tc>
          <w:tcPr>
            <w:tcW w:w="5352" w:type="dxa"/>
            <w:shd w:val="clear" w:color="auto" w:fill="auto"/>
          </w:tcPr>
          <w:p w14:paraId="3D70BAF6" w14:textId="77777777" w:rsidR="00DD1E0D" w:rsidRPr="00903F89" w:rsidRDefault="00DD1E0D" w:rsidP="00903F89">
            <w:pPr>
              <w:jc w:val="both"/>
              <w:rPr>
                <w:rFonts w:cs="Arial"/>
                <w:b/>
                <w:sz w:val="20"/>
                <w:szCs w:val="20"/>
                <w:u w:val="single"/>
              </w:rPr>
            </w:pPr>
          </w:p>
        </w:tc>
      </w:tr>
      <w:tr w:rsidR="00DD1E0D" w:rsidRPr="00903F89" w14:paraId="616D9175" w14:textId="77777777" w:rsidTr="007353AA">
        <w:tc>
          <w:tcPr>
            <w:tcW w:w="10632" w:type="dxa"/>
            <w:gridSpan w:val="3"/>
            <w:shd w:val="clear" w:color="auto" w:fill="auto"/>
          </w:tcPr>
          <w:p w14:paraId="6D86A4CF" w14:textId="0E3EA679" w:rsidR="00DD1E0D" w:rsidRPr="00903F89" w:rsidRDefault="00DD1E0D" w:rsidP="00903F89">
            <w:pPr>
              <w:jc w:val="both"/>
              <w:rPr>
                <w:rFonts w:cs="Arial"/>
                <w:sz w:val="20"/>
                <w:szCs w:val="20"/>
              </w:rPr>
            </w:pPr>
            <w:r w:rsidRPr="00903F89">
              <w:rPr>
                <w:rFonts w:cs="Arial"/>
                <w:sz w:val="20"/>
                <w:szCs w:val="20"/>
              </w:rPr>
              <w:t xml:space="preserve">Η πρόνοια αφορά την αγορά συμβουλευτικών και άλλων υπηρεσιών που έχουν σχέση με μελέτες για τη δημιουργία νέων οργανωτικών μονάδων (π.χ. Σχολές/Τμήματα/Προγράμματα Σπουδών κ.ά.), σύμφωνα με το στρατηγικό σχέδιο του Πανεπιστημίου Κύπρου, καθώς και για ανάλυση των αναγκών και καταρτισμό προδιαγραφών συστημάτων, ασφάλειας, υπηρεσιών κατασκευής ιστοσελίδων, υπηρεσιών διαχείρισης έργου, καταγραφή περιουσιακών στοιχείων και άλλων συμβουλευτικών υπηρεσιών. Η πρόνοια καλύπτει δαπάνες που αφορούν κατ’ αποκοπή αποζημίωση και επίδομα για κάλυψη εξόδων διαμονής, διατροφής </w:t>
            </w:r>
            <w:r w:rsidR="00D55285" w:rsidRPr="00903F89">
              <w:rPr>
                <w:rFonts w:cs="Arial"/>
                <w:sz w:val="20"/>
                <w:szCs w:val="20"/>
              </w:rPr>
              <w:t>κ.λπ</w:t>
            </w:r>
            <w:r w:rsidRPr="00903F89">
              <w:rPr>
                <w:rFonts w:cs="Arial"/>
                <w:sz w:val="20"/>
                <w:szCs w:val="20"/>
              </w:rPr>
              <w:t>., σε εμπειρογνώμονες για την ετοιμασία σχετικών προτάσεων.</w:t>
            </w:r>
          </w:p>
        </w:tc>
      </w:tr>
      <w:tr w:rsidR="00FC64AF" w:rsidRPr="00903F89" w14:paraId="3B40A6E8" w14:textId="77777777" w:rsidTr="007353AA">
        <w:tc>
          <w:tcPr>
            <w:tcW w:w="10632" w:type="dxa"/>
            <w:gridSpan w:val="3"/>
            <w:shd w:val="clear" w:color="auto" w:fill="auto"/>
          </w:tcPr>
          <w:p w14:paraId="22ABFE1F" w14:textId="77777777" w:rsidR="00FC64AF" w:rsidRPr="00903F89" w:rsidRDefault="00FC64AF" w:rsidP="00903F89">
            <w:pPr>
              <w:jc w:val="both"/>
              <w:rPr>
                <w:rFonts w:cs="Arial"/>
                <w:sz w:val="20"/>
                <w:szCs w:val="20"/>
              </w:rPr>
            </w:pPr>
          </w:p>
        </w:tc>
      </w:tr>
    </w:tbl>
    <w:tbl>
      <w:tblPr>
        <w:tblStyle w:val="TableGrid"/>
        <w:tblpPr w:leftFromText="180" w:rightFromText="180" w:vertAnchor="text" w:horzAnchor="margin" w:tblpY="168"/>
        <w:tblW w:w="10648" w:type="dxa"/>
        <w:tblCellMar>
          <w:left w:w="57" w:type="dxa"/>
          <w:right w:w="57" w:type="dxa"/>
        </w:tblCellMar>
        <w:tblLook w:val="04A0" w:firstRow="1" w:lastRow="0" w:firstColumn="1" w:lastColumn="0" w:noHBand="0" w:noVBand="1"/>
      </w:tblPr>
      <w:tblGrid>
        <w:gridCol w:w="6241"/>
        <w:gridCol w:w="2203"/>
        <w:gridCol w:w="2204"/>
      </w:tblGrid>
      <w:tr w:rsidR="00FD174F" w:rsidRPr="00903F89" w14:paraId="3651A9D6" w14:textId="77777777" w:rsidTr="00C61D41">
        <w:trPr>
          <w:trHeight w:val="12"/>
        </w:trPr>
        <w:tc>
          <w:tcPr>
            <w:tcW w:w="6241" w:type="dxa"/>
            <w:shd w:val="clear" w:color="auto" w:fill="auto"/>
          </w:tcPr>
          <w:p w14:paraId="7FBB1521" w14:textId="658233CF" w:rsidR="00BF7B0F" w:rsidRPr="00903F89" w:rsidRDefault="005F1DBA" w:rsidP="00903F89">
            <w:pPr>
              <w:jc w:val="both"/>
              <w:rPr>
                <w:rFonts w:cs="Arial"/>
                <w:sz w:val="20"/>
                <w:szCs w:val="20"/>
              </w:rPr>
            </w:pPr>
            <w:r w:rsidRPr="00903F89">
              <w:rPr>
                <w:rFonts w:cs="Arial"/>
                <w:sz w:val="20"/>
                <w:szCs w:val="20"/>
              </w:rPr>
              <w:t>Συνοπτικός πίνακας αποζημιώσεων</w:t>
            </w:r>
          </w:p>
        </w:tc>
        <w:tc>
          <w:tcPr>
            <w:tcW w:w="4407" w:type="dxa"/>
            <w:gridSpan w:val="2"/>
            <w:shd w:val="clear" w:color="auto" w:fill="auto"/>
          </w:tcPr>
          <w:p w14:paraId="2F7BFE71" w14:textId="20484846" w:rsidR="00BF7B0F" w:rsidRPr="00903F89" w:rsidRDefault="00C03FBC" w:rsidP="00941D04">
            <w:pPr>
              <w:jc w:val="center"/>
              <w:rPr>
                <w:rFonts w:eastAsia="Arial" w:cs="Arial"/>
                <w:bCs/>
                <w:sz w:val="20"/>
                <w:szCs w:val="20"/>
              </w:rPr>
            </w:pPr>
            <w:r w:rsidRPr="00903F89">
              <w:rPr>
                <w:rFonts w:cs="Arial"/>
                <w:bCs/>
                <w:sz w:val="20"/>
                <w:szCs w:val="20"/>
              </w:rPr>
              <w:t>Εξωτερικά μέλη Σ</w:t>
            </w:r>
            <w:r w:rsidR="045AFEAA" w:rsidRPr="00903F89">
              <w:rPr>
                <w:rFonts w:cs="Arial"/>
                <w:bCs/>
                <w:sz w:val="20"/>
                <w:szCs w:val="20"/>
              </w:rPr>
              <w:t>υμβουλευτικών Επιτροπών για ίδρυση Τμήματος ή Σχολής</w:t>
            </w:r>
          </w:p>
        </w:tc>
      </w:tr>
      <w:tr w:rsidR="00FD174F" w:rsidRPr="00903F89" w14:paraId="0FD57918" w14:textId="77777777" w:rsidTr="00C61D41">
        <w:trPr>
          <w:trHeight w:val="12"/>
        </w:trPr>
        <w:tc>
          <w:tcPr>
            <w:tcW w:w="6241" w:type="dxa"/>
            <w:shd w:val="clear" w:color="auto" w:fill="auto"/>
          </w:tcPr>
          <w:p w14:paraId="2C115429" w14:textId="77777777" w:rsidR="00BF7B0F" w:rsidRPr="00903F89" w:rsidRDefault="00BF7B0F" w:rsidP="00903F89">
            <w:pPr>
              <w:jc w:val="both"/>
              <w:rPr>
                <w:rFonts w:cs="Arial"/>
                <w:sz w:val="20"/>
                <w:szCs w:val="20"/>
              </w:rPr>
            </w:pPr>
          </w:p>
        </w:tc>
        <w:tc>
          <w:tcPr>
            <w:tcW w:w="2203" w:type="dxa"/>
            <w:shd w:val="clear" w:color="auto" w:fill="auto"/>
          </w:tcPr>
          <w:p w14:paraId="2FD67DA4" w14:textId="77777777" w:rsidR="00BF7B0F" w:rsidRPr="00903F89" w:rsidRDefault="045AFEAA" w:rsidP="00941D04">
            <w:pPr>
              <w:jc w:val="center"/>
              <w:rPr>
                <w:rFonts w:eastAsia="Arial" w:cs="Arial"/>
                <w:sz w:val="20"/>
                <w:szCs w:val="20"/>
              </w:rPr>
            </w:pPr>
            <w:r w:rsidRPr="00903F89">
              <w:rPr>
                <w:rFonts w:cs="Arial"/>
                <w:sz w:val="20"/>
                <w:szCs w:val="20"/>
              </w:rPr>
              <w:t>Εκτός Κύπρου</w:t>
            </w:r>
          </w:p>
        </w:tc>
        <w:tc>
          <w:tcPr>
            <w:tcW w:w="2204" w:type="dxa"/>
            <w:shd w:val="clear" w:color="auto" w:fill="auto"/>
          </w:tcPr>
          <w:p w14:paraId="529EC0C3" w14:textId="77777777" w:rsidR="00BF7B0F" w:rsidRPr="00903F89" w:rsidRDefault="045AFEAA" w:rsidP="00941D04">
            <w:pPr>
              <w:jc w:val="center"/>
              <w:rPr>
                <w:rFonts w:eastAsia="Arial" w:cs="Arial"/>
                <w:sz w:val="20"/>
                <w:szCs w:val="20"/>
              </w:rPr>
            </w:pPr>
            <w:r w:rsidRPr="00903F89">
              <w:rPr>
                <w:rFonts w:cs="Arial"/>
                <w:sz w:val="20"/>
                <w:szCs w:val="20"/>
              </w:rPr>
              <w:t>Εντός Κύπρου</w:t>
            </w:r>
          </w:p>
        </w:tc>
      </w:tr>
      <w:tr w:rsidR="00FD174F" w:rsidRPr="00903F89" w14:paraId="33B3D088" w14:textId="77777777" w:rsidTr="00C61D41">
        <w:trPr>
          <w:trHeight w:val="232"/>
        </w:trPr>
        <w:tc>
          <w:tcPr>
            <w:tcW w:w="6241" w:type="dxa"/>
            <w:shd w:val="clear" w:color="auto" w:fill="auto"/>
          </w:tcPr>
          <w:p w14:paraId="0B93476B" w14:textId="7995237B" w:rsidR="00BF7B0F" w:rsidRPr="00903F89" w:rsidRDefault="4407E268" w:rsidP="00903F89">
            <w:pPr>
              <w:jc w:val="both"/>
              <w:rPr>
                <w:rFonts w:eastAsia="Arial" w:cs="Arial"/>
                <w:sz w:val="20"/>
                <w:szCs w:val="20"/>
              </w:rPr>
            </w:pPr>
            <w:r w:rsidRPr="00903F89">
              <w:rPr>
                <w:rFonts w:cs="Arial"/>
                <w:sz w:val="20"/>
                <w:szCs w:val="20"/>
              </w:rPr>
              <w:t xml:space="preserve">Κατ’ αποκοπή </w:t>
            </w:r>
            <w:r w:rsidR="005F1DBA" w:rsidRPr="00903F89">
              <w:rPr>
                <w:rFonts w:cs="Arial"/>
                <w:sz w:val="20"/>
                <w:szCs w:val="20"/>
              </w:rPr>
              <w:t>αμοιβή</w:t>
            </w:r>
            <w:r w:rsidRPr="00903F89">
              <w:rPr>
                <w:rFonts w:cs="Arial"/>
                <w:sz w:val="20"/>
                <w:szCs w:val="20"/>
              </w:rPr>
              <w:t xml:space="preserve"> (honorarium)</w:t>
            </w:r>
          </w:p>
        </w:tc>
        <w:tc>
          <w:tcPr>
            <w:tcW w:w="2203" w:type="dxa"/>
            <w:shd w:val="clear" w:color="auto" w:fill="auto"/>
          </w:tcPr>
          <w:p w14:paraId="2C27821A" w14:textId="44EED496" w:rsidR="00BF7B0F" w:rsidRPr="00903F89" w:rsidRDefault="045AFEAA" w:rsidP="00941D04">
            <w:pPr>
              <w:jc w:val="center"/>
              <w:rPr>
                <w:rFonts w:eastAsia="Arial" w:cs="Arial"/>
                <w:sz w:val="20"/>
                <w:szCs w:val="20"/>
              </w:rPr>
            </w:pPr>
            <w:r w:rsidRPr="00903F89">
              <w:rPr>
                <w:rFonts w:cs="Arial"/>
                <w:sz w:val="20"/>
                <w:szCs w:val="20"/>
              </w:rPr>
              <w:t>€500</w:t>
            </w:r>
          </w:p>
        </w:tc>
        <w:tc>
          <w:tcPr>
            <w:tcW w:w="2204" w:type="dxa"/>
            <w:shd w:val="clear" w:color="auto" w:fill="auto"/>
          </w:tcPr>
          <w:p w14:paraId="02B6FC10" w14:textId="523ED442" w:rsidR="00BF7B0F" w:rsidRPr="00903F89" w:rsidRDefault="045AFEAA" w:rsidP="00941D04">
            <w:pPr>
              <w:jc w:val="center"/>
              <w:rPr>
                <w:rFonts w:eastAsia="Arial" w:cs="Arial"/>
                <w:sz w:val="20"/>
                <w:szCs w:val="20"/>
              </w:rPr>
            </w:pPr>
            <w:r w:rsidRPr="00903F89">
              <w:rPr>
                <w:rFonts w:cs="Arial"/>
                <w:sz w:val="20"/>
                <w:szCs w:val="20"/>
              </w:rPr>
              <w:t>€300</w:t>
            </w:r>
          </w:p>
        </w:tc>
      </w:tr>
      <w:tr w:rsidR="00E41024" w:rsidRPr="00903F89" w14:paraId="4A49CC38" w14:textId="77777777" w:rsidTr="00C61D41">
        <w:trPr>
          <w:trHeight w:val="232"/>
        </w:trPr>
        <w:tc>
          <w:tcPr>
            <w:tcW w:w="6241" w:type="dxa"/>
            <w:shd w:val="clear" w:color="auto" w:fill="auto"/>
          </w:tcPr>
          <w:p w14:paraId="1453CB40" w14:textId="5EC832E7" w:rsidR="00E41024" w:rsidRPr="00903F89" w:rsidRDefault="00E41024" w:rsidP="00903F89">
            <w:pPr>
              <w:jc w:val="both"/>
              <w:rPr>
                <w:rFonts w:eastAsia="Arial" w:cs="Arial"/>
                <w:sz w:val="20"/>
                <w:szCs w:val="20"/>
              </w:rPr>
            </w:pPr>
            <w:r w:rsidRPr="00903F89">
              <w:rPr>
                <w:rFonts w:cs="Arial"/>
                <w:sz w:val="20"/>
                <w:szCs w:val="20"/>
              </w:rPr>
              <w:t>Μέγιστο όριο βραδιών διαμονής</w:t>
            </w:r>
          </w:p>
        </w:tc>
        <w:tc>
          <w:tcPr>
            <w:tcW w:w="2203" w:type="dxa"/>
            <w:shd w:val="clear" w:color="auto" w:fill="auto"/>
          </w:tcPr>
          <w:p w14:paraId="6DA9018E" w14:textId="41720D36" w:rsidR="00E41024" w:rsidRPr="00941D04" w:rsidRDefault="00E41024" w:rsidP="00941D04">
            <w:pPr>
              <w:jc w:val="center"/>
              <w:rPr>
                <w:rFonts w:eastAsia="Arial" w:cs="Arial"/>
                <w:sz w:val="14"/>
                <w:szCs w:val="20"/>
              </w:rPr>
            </w:pPr>
            <w:r w:rsidRPr="00941D04">
              <w:rPr>
                <w:rFonts w:cs="Arial"/>
                <w:sz w:val="14"/>
                <w:szCs w:val="20"/>
              </w:rPr>
              <w:t>Αρ. ημερών εργασιών +2 βράδια</w:t>
            </w:r>
          </w:p>
        </w:tc>
        <w:tc>
          <w:tcPr>
            <w:tcW w:w="2204" w:type="dxa"/>
            <w:shd w:val="clear" w:color="auto" w:fill="auto"/>
          </w:tcPr>
          <w:p w14:paraId="07ADA458" w14:textId="102DF48C" w:rsidR="00E41024" w:rsidRPr="00941D04" w:rsidRDefault="00E41024" w:rsidP="00941D04">
            <w:pPr>
              <w:jc w:val="center"/>
              <w:rPr>
                <w:rFonts w:eastAsia="Arial" w:cs="Arial"/>
                <w:sz w:val="14"/>
                <w:szCs w:val="20"/>
              </w:rPr>
            </w:pPr>
            <w:r w:rsidRPr="00941D04">
              <w:rPr>
                <w:rFonts w:cs="Arial"/>
                <w:sz w:val="14"/>
                <w:szCs w:val="20"/>
              </w:rPr>
              <w:t>Αρ. ημερών  εργασιών</w:t>
            </w:r>
          </w:p>
        </w:tc>
      </w:tr>
      <w:tr w:rsidR="00E41024" w:rsidRPr="00903F89" w14:paraId="6F26B61F" w14:textId="77777777" w:rsidTr="00C61D41">
        <w:trPr>
          <w:trHeight w:val="232"/>
        </w:trPr>
        <w:tc>
          <w:tcPr>
            <w:tcW w:w="6241" w:type="dxa"/>
            <w:shd w:val="clear" w:color="auto" w:fill="auto"/>
          </w:tcPr>
          <w:p w14:paraId="0C2C619B" w14:textId="4155A97A" w:rsidR="00E41024" w:rsidRPr="00903F89" w:rsidRDefault="00E41024" w:rsidP="00903F89">
            <w:pPr>
              <w:jc w:val="both"/>
              <w:rPr>
                <w:rFonts w:eastAsia="Arial" w:cs="Arial"/>
                <w:sz w:val="20"/>
                <w:szCs w:val="20"/>
              </w:rPr>
            </w:pPr>
            <w:r w:rsidRPr="00903F89">
              <w:rPr>
                <w:rFonts w:cs="Arial"/>
                <w:sz w:val="20"/>
                <w:szCs w:val="20"/>
              </w:rPr>
              <w:t>Αεροπορικό εισιτήριο</w:t>
            </w:r>
          </w:p>
        </w:tc>
        <w:tc>
          <w:tcPr>
            <w:tcW w:w="2203" w:type="dxa"/>
            <w:shd w:val="clear" w:color="auto" w:fill="auto"/>
          </w:tcPr>
          <w:p w14:paraId="1DA921F2" w14:textId="5AF3227F" w:rsidR="00E41024" w:rsidRPr="00903F89" w:rsidRDefault="00E41024" w:rsidP="00941D04">
            <w:pPr>
              <w:jc w:val="center"/>
              <w:rPr>
                <w:rFonts w:eastAsia="Arial" w:cs="Arial"/>
                <w:sz w:val="20"/>
                <w:szCs w:val="20"/>
              </w:rPr>
            </w:pPr>
            <w:r w:rsidRPr="00903F89">
              <w:rPr>
                <w:rFonts w:cs="Arial"/>
                <w:sz w:val="20"/>
                <w:szCs w:val="20"/>
              </w:rPr>
              <w:t>√</w:t>
            </w:r>
          </w:p>
        </w:tc>
        <w:tc>
          <w:tcPr>
            <w:tcW w:w="2204" w:type="dxa"/>
            <w:shd w:val="clear" w:color="auto" w:fill="auto"/>
          </w:tcPr>
          <w:p w14:paraId="7C8801F3" w14:textId="23F7F831" w:rsidR="00E41024" w:rsidRPr="00903F89" w:rsidRDefault="00E41024" w:rsidP="00941D04">
            <w:pPr>
              <w:jc w:val="center"/>
              <w:rPr>
                <w:rFonts w:eastAsia="Arial" w:cs="Arial"/>
                <w:sz w:val="20"/>
                <w:szCs w:val="20"/>
              </w:rPr>
            </w:pPr>
            <w:r w:rsidRPr="00903F89">
              <w:rPr>
                <w:rFonts w:eastAsia="Arial" w:cs="Arial"/>
                <w:sz w:val="20"/>
                <w:szCs w:val="20"/>
              </w:rPr>
              <w:t>---</w:t>
            </w:r>
          </w:p>
        </w:tc>
      </w:tr>
      <w:tr w:rsidR="00E41024" w:rsidRPr="00903F89" w14:paraId="7102FFB7" w14:textId="77777777" w:rsidTr="00C61D41">
        <w:trPr>
          <w:trHeight w:val="232"/>
        </w:trPr>
        <w:tc>
          <w:tcPr>
            <w:tcW w:w="6241" w:type="dxa"/>
            <w:shd w:val="clear" w:color="auto" w:fill="auto"/>
          </w:tcPr>
          <w:p w14:paraId="3B25C005" w14:textId="0E5373D5" w:rsidR="00E41024" w:rsidRPr="00903F89" w:rsidRDefault="00E41024" w:rsidP="00903F89">
            <w:pPr>
              <w:jc w:val="both"/>
              <w:rPr>
                <w:rFonts w:eastAsia="Arial" w:cs="Arial"/>
                <w:sz w:val="20"/>
                <w:szCs w:val="20"/>
              </w:rPr>
            </w:pPr>
            <w:r w:rsidRPr="00903F89">
              <w:rPr>
                <w:rFonts w:cs="Arial"/>
                <w:sz w:val="20"/>
                <w:szCs w:val="20"/>
              </w:rPr>
              <w:t>Μεταφορικά έξοδα</w:t>
            </w:r>
          </w:p>
        </w:tc>
        <w:tc>
          <w:tcPr>
            <w:tcW w:w="2203" w:type="dxa"/>
            <w:shd w:val="clear" w:color="auto" w:fill="auto"/>
          </w:tcPr>
          <w:p w14:paraId="324443ED" w14:textId="604BDA66" w:rsidR="00E41024" w:rsidRPr="00903F89" w:rsidRDefault="00E41024" w:rsidP="00941D04">
            <w:pPr>
              <w:jc w:val="center"/>
              <w:rPr>
                <w:rFonts w:eastAsia="Arial" w:cs="Arial"/>
                <w:sz w:val="20"/>
                <w:szCs w:val="20"/>
              </w:rPr>
            </w:pPr>
            <w:r w:rsidRPr="00903F89">
              <w:rPr>
                <w:rFonts w:cs="Arial"/>
                <w:sz w:val="20"/>
                <w:szCs w:val="20"/>
              </w:rPr>
              <w:t>√</w:t>
            </w:r>
          </w:p>
        </w:tc>
        <w:tc>
          <w:tcPr>
            <w:tcW w:w="2204" w:type="dxa"/>
            <w:shd w:val="clear" w:color="auto" w:fill="auto"/>
          </w:tcPr>
          <w:p w14:paraId="7FEEB934" w14:textId="451B51D3" w:rsidR="00E41024" w:rsidRPr="00903F89" w:rsidRDefault="00E41024" w:rsidP="00941D04">
            <w:pPr>
              <w:jc w:val="center"/>
              <w:rPr>
                <w:rFonts w:eastAsia="Arial" w:cs="Arial"/>
                <w:sz w:val="20"/>
                <w:szCs w:val="20"/>
              </w:rPr>
            </w:pPr>
            <w:r w:rsidRPr="00903F89">
              <w:rPr>
                <w:rFonts w:cs="Arial"/>
                <w:sz w:val="20"/>
                <w:szCs w:val="20"/>
              </w:rPr>
              <w:t>(Βλ. Ανάλυση)</w:t>
            </w:r>
          </w:p>
        </w:tc>
      </w:tr>
      <w:tr w:rsidR="00E41024" w:rsidRPr="00903F89" w14:paraId="190C3942" w14:textId="77777777" w:rsidTr="00C61D41">
        <w:trPr>
          <w:trHeight w:val="232"/>
        </w:trPr>
        <w:tc>
          <w:tcPr>
            <w:tcW w:w="6241" w:type="dxa"/>
            <w:shd w:val="clear" w:color="auto" w:fill="auto"/>
          </w:tcPr>
          <w:p w14:paraId="1B18F490" w14:textId="328F62EF" w:rsidR="00E41024" w:rsidRPr="00903F89" w:rsidRDefault="00E41024" w:rsidP="00903F89">
            <w:pPr>
              <w:jc w:val="both"/>
              <w:rPr>
                <w:rFonts w:eastAsia="Arial" w:cs="Arial"/>
                <w:sz w:val="20"/>
                <w:szCs w:val="20"/>
              </w:rPr>
            </w:pPr>
            <w:r w:rsidRPr="00903F89">
              <w:rPr>
                <w:rFonts w:cs="Arial"/>
                <w:sz w:val="20"/>
                <w:szCs w:val="20"/>
              </w:rPr>
              <w:t>Διαμονή με πρόγευμα</w:t>
            </w:r>
          </w:p>
        </w:tc>
        <w:tc>
          <w:tcPr>
            <w:tcW w:w="2203" w:type="dxa"/>
            <w:shd w:val="clear" w:color="auto" w:fill="auto"/>
          </w:tcPr>
          <w:p w14:paraId="276AED24" w14:textId="5B4228D5" w:rsidR="00E41024" w:rsidRPr="00903F89" w:rsidRDefault="00E41024" w:rsidP="00941D04">
            <w:pPr>
              <w:jc w:val="center"/>
              <w:rPr>
                <w:rFonts w:eastAsia="Arial" w:cs="Arial"/>
                <w:sz w:val="20"/>
                <w:szCs w:val="20"/>
              </w:rPr>
            </w:pPr>
            <w:r w:rsidRPr="00903F89">
              <w:rPr>
                <w:rFonts w:cs="Arial"/>
                <w:sz w:val="20"/>
                <w:szCs w:val="20"/>
              </w:rPr>
              <w:t>√</w:t>
            </w:r>
          </w:p>
        </w:tc>
        <w:tc>
          <w:tcPr>
            <w:tcW w:w="2204" w:type="dxa"/>
            <w:shd w:val="clear" w:color="auto" w:fill="auto"/>
          </w:tcPr>
          <w:p w14:paraId="4C1833BA" w14:textId="6F87EDC1" w:rsidR="00E41024" w:rsidRPr="00903F89" w:rsidRDefault="00E41024" w:rsidP="00941D04">
            <w:pPr>
              <w:jc w:val="center"/>
              <w:rPr>
                <w:rFonts w:eastAsia="Arial" w:cs="Arial"/>
                <w:sz w:val="20"/>
                <w:szCs w:val="20"/>
              </w:rPr>
            </w:pPr>
            <w:r w:rsidRPr="00903F89">
              <w:rPr>
                <w:rFonts w:cs="Arial"/>
                <w:sz w:val="20"/>
                <w:szCs w:val="20"/>
              </w:rPr>
              <w:t>(Βλ. Ανάλυση)</w:t>
            </w:r>
          </w:p>
        </w:tc>
      </w:tr>
      <w:tr w:rsidR="00E41024" w:rsidRPr="00903F89" w14:paraId="2CDB00CD" w14:textId="77777777" w:rsidTr="00C61D41">
        <w:trPr>
          <w:trHeight w:val="232"/>
        </w:trPr>
        <w:tc>
          <w:tcPr>
            <w:tcW w:w="6241" w:type="dxa"/>
            <w:shd w:val="clear" w:color="auto" w:fill="auto"/>
          </w:tcPr>
          <w:p w14:paraId="04FD4B55" w14:textId="41D33946" w:rsidR="00E41024" w:rsidRPr="00903F89" w:rsidRDefault="00E41024" w:rsidP="00903F89">
            <w:pPr>
              <w:jc w:val="both"/>
              <w:rPr>
                <w:rFonts w:eastAsia="Arial" w:cs="Arial"/>
                <w:sz w:val="20"/>
                <w:szCs w:val="20"/>
              </w:rPr>
            </w:pPr>
            <w:r w:rsidRPr="00903F89">
              <w:rPr>
                <w:rFonts w:cs="Arial"/>
                <w:sz w:val="20"/>
                <w:szCs w:val="20"/>
              </w:rPr>
              <w:t>Ημερήσιο επίδομα διατροφής</w:t>
            </w:r>
          </w:p>
        </w:tc>
        <w:tc>
          <w:tcPr>
            <w:tcW w:w="2203" w:type="dxa"/>
            <w:shd w:val="clear" w:color="auto" w:fill="auto"/>
          </w:tcPr>
          <w:p w14:paraId="043FB1C2" w14:textId="2A67067C" w:rsidR="00E41024" w:rsidRPr="00903F89" w:rsidRDefault="00E41024" w:rsidP="00941D04">
            <w:pPr>
              <w:jc w:val="center"/>
              <w:rPr>
                <w:rFonts w:eastAsia="Arial" w:cs="Arial"/>
                <w:sz w:val="20"/>
                <w:szCs w:val="20"/>
              </w:rPr>
            </w:pPr>
            <w:r w:rsidRPr="00903F89">
              <w:rPr>
                <w:rFonts w:cs="Arial"/>
                <w:sz w:val="20"/>
                <w:szCs w:val="20"/>
              </w:rPr>
              <w:t>√</w:t>
            </w:r>
          </w:p>
        </w:tc>
        <w:tc>
          <w:tcPr>
            <w:tcW w:w="2204" w:type="dxa"/>
            <w:shd w:val="clear" w:color="auto" w:fill="auto"/>
          </w:tcPr>
          <w:p w14:paraId="1A930398" w14:textId="6F759889" w:rsidR="00E41024" w:rsidRPr="00903F89" w:rsidRDefault="00E41024" w:rsidP="00941D04">
            <w:pPr>
              <w:jc w:val="center"/>
              <w:rPr>
                <w:rFonts w:eastAsia="Arial" w:cs="Arial"/>
                <w:sz w:val="20"/>
                <w:szCs w:val="20"/>
              </w:rPr>
            </w:pPr>
            <w:r w:rsidRPr="00903F89">
              <w:rPr>
                <w:rFonts w:cs="Arial"/>
                <w:sz w:val="20"/>
                <w:szCs w:val="20"/>
              </w:rPr>
              <w:t>(Βλ. Ανάλυση)</w:t>
            </w:r>
          </w:p>
        </w:tc>
      </w:tr>
    </w:tbl>
    <w:p w14:paraId="65A4D638" w14:textId="77777777" w:rsidR="00BF7B0F" w:rsidRPr="00903F89" w:rsidRDefault="00BF7B0F" w:rsidP="00903F89">
      <w:pPr>
        <w:jc w:val="both"/>
        <w:rPr>
          <w:rFonts w:cs="Arial"/>
          <w:sz w:val="20"/>
          <w:szCs w:val="20"/>
        </w:rPr>
      </w:pPr>
    </w:p>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182"/>
        <w:gridCol w:w="788"/>
        <w:gridCol w:w="292"/>
        <w:gridCol w:w="1689"/>
        <w:gridCol w:w="2606"/>
        <w:gridCol w:w="848"/>
        <w:gridCol w:w="1505"/>
        <w:gridCol w:w="912"/>
        <w:gridCol w:w="168"/>
      </w:tblGrid>
      <w:tr w:rsidR="00903F89" w:rsidRPr="00903F89" w14:paraId="12FF4272" w14:textId="77777777" w:rsidTr="00B1212B">
        <w:tc>
          <w:tcPr>
            <w:tcW w:w="10800" w:type="dxa"/>
            <w:gridSpan w:val="10"/>
            <w:shd w:val="clear" w:color="auto" w:fill="auto"/>
          </w:tcPr>
          <w:p w14:paraId="55C573FB" w14:textId="7EA2952C" w:rsidR="00252B3B" w:rsidRPr="00903F89" w:rsidRDefault="00252B3B" w:rsidP="00903F89">
            <w:pPr>
              <w:jc w:val="both"/>
              <w:rPr>
                <w:rFonts w:cs="Arial"/>
                <w:sz w:val="20"/>
                <w:szCs w:val="20"/>
              </w:rPr>
            </w:pPr>
          </w:p>
        </w:tc>
      </w:tr>
      <w:tr w:rsidR="00903F89" w:rsidRPr="00903F89" w14:paraId="6DCFBA61" w14:textId="77777777" w:rsidTr="00B1212B">
        <w:tc>
          <w:tcPr>
            <w:tcW w:w="10800" w:type="dxa"/>
            <w:gridSpan w:val="10"/>
            <w:shd w:val="clear" w:color="auto" w:fill="auto"/>
          </w:tcPr>
          <w:p w14:paraId="32914018" w14:textId="11E944A6" w:rsidR="003F3A1C" w:rsidRPr="00903F89" w:rsidRDefault="045AFEAA" w:rsidP="00903F89">
            <w:pPr>
              <w:jc w:val="both"/>
              <w:rPr>
                <w:rFonts w:cs="Arial"/>
                <w:sz w:val="20"/>
                <w:szCs w:val="20"/>
              </w:rPr>
            </w:pPr>
            <w:r w:rsidRPr="00903F89">
              <w:rPr>
                <w:rFonts w:cs="Arial"/>
                <w:sz w:val="20"/>
                <w:szCs w:val="20"/>
              </w:rPr>
              <w:t>Συγκεκριμένα, σε εξωτερικά μέλη συμβουλευτικών Επιτροπών για ίδρυση Τμήματος ή Σχολής δύναται να καταβληθούν τα ακόλουθα:</w:t>
            </w:r>
          </w:p>
          <w:p w14:paraId="3CFB5545" w14:textId="77777777" w:rsidR="005E7AC7" w:rsidRPr="00903F89" w:rsidRDefault="005E7AC7" w:rsidP="00903F89">
            <w:pPr>
              <w:jc w:val="both"/>
              <w:rPr>
                <w:rFonts w:cs="Arial"/>
                <w:sz w:val="20"/>
                <w:szCs w:val="20"/>
              </w:rPr>
            </w:pPr>
          </w:p>
          <w:p w14:paraId="45A4B3AA" w14:textId="77777777" w:rsidR="003F3A1C" w:rsidRPr="00903F89" w:rsidRDefault="003F3A1C" w:rsidP="00903F89">
            <w:pPr>
              <w:jc w:val="both"/>
              <w:rPr>
                <w:rFonts w:cs="Arial"/>
                <w:sz w:val="20"/>
                <w:szCs w:val="20"/>
                <w:u w:val="single"/>
              </w:rPr>
            </w:pPr>
            <w:r w:rsidRPr="00903F89">
              <w:rPr>
                <w:rFonts w:cs="Arial"/>
                <w:sz w:val="20"/>
                <w:szCs w:val="20"/>
                <w:u w:val="single"/>
              </w:rPr>
              <w:t>Εξωτερικά Μέλη Συμβουλευτικών Επιτροπών για Ίδρυση Τμήματος ή Σχολής:</w:t>
            </w:r>
          </w:p>
          <w:p w14:paraId="5A8D5041" w14:textId="77777777" w:rsidR="003F3A1C" w:rsidRPr="00903F89" w:rsidRDefault="003F3A1C" w:rsidP="00903F89">
            <w:pPr>
              <w:jc w:val="both"/>
              <w:rPr>
                <w:rFonts w:eastAsia="Arial" w:cs="Arial"/>
                <w:sz w:val="20"/>
                <w:szCs w:val="20"/>
              </w:rPr>
            </w:pPr>
          </w:p>
          <w:p w14:paraId="7A4CC319" w14:textId="0B38A655" w:rsidR="003F3A1C" w:rsidRPr="00903F89" w:rsidRDefault="00C24789" w:rsidP="00903F89">
            <w:pPr>
              <w:pStyle w:val="ListParagraph"/>
              <w:numPr>
                <w:ilvl w:val="0"/>
                <w:numId w:val="24"/>
              </w:numPr>
              <w:jc w:val="both"/>
              <w:rPr>
                <w:rFonts w:eastAsia="Arial" w:cs="Arial"/>
                <w:sz w:val="20"/>
                <w:szCs w:val="20"/>
              </w:rPr>
            </w:pPr>
            <w:r w:rsidRPr="00903F89">
              <w:rPr>
                <w:rFonts w:cs="Arial"/>
                <w:sz w:val="20"/>
                <w:szCs w:val="20"/>
              </w:rPr>
              <w:t xml:space="preserve">Σε </w:t>
            </w:r>
            <w:r w:rsidR="003F3A1C" w:rsidRPr="00903F89">
              <w:rPr>
                <w:rFonts w:cs="Arial"/>
                <w:sz w:val="20"/>
                <w:szCs w:val="20"/>
              </w:rPr>
              <w:t>Εξωτερικά Μέλη Συμβουλευτικών Επιτροπών για Ίδρυση Τμήματος ή Σχολής που προέρχονται από ακαδημαϊκά ιδρύματα εκτός Κύπρου, δύναται να καταβληθεί:</w:t>
            </w:r>
          </w:p>
          <w:p w14:paraId="6DE58F17" w14:textId="77777777" w:rsidR="003F3A1C" w:rsidRPr="00903F89" w:rsidRDefault="003F3A1C" w:rsidP="00903F89">
            <w:pPr>
              <w:pStyle w:val="ListParagraph"/>
              <w:ind w:left="360"/>
              <w:jc w:val="both"/>
              <w:rPr>
                <w:rFonts w:eastAsia="Arial" w:cs="Arial"/>
                <w:sz w:val="20"/>
                <w:szCs w:val="20"/>
              </w:rPr>
            </w:pPr>
          </w:p>
          <w:p w14:paraId="1AAF4CAF" w14:textId="77777777" w:rsidR="003F3A1C" w:rsidRPr="00903F89" w:rsidRDefault="003F3A1C" w:rsidP="00903F89">
            <w:pPr>
              <w:pStyle w:val="ListParagraph"/>
              <w:numPr>
                <w:ilvl w:val="0"/>
                <w:numId w:val="21"/>
              </w:numPr>
              <w:ind w:left="720"/>
              <w:jc w:val="both"/>
              <w:rPr>
                <w:rFonts w:cs="Arial"/>
                <w:sz w:val="20"/>
                <w:szCs w:val="20"/>
              </w:rPr>
            </w:pPr>
            <w:r w:rsidRPr="00903F89">
              <w:rPr>
                <w:rFonts w:cs="Arial"/>
                <w:sz w:val="20"/>
                <w:szCs w:val="20"/>
              </w:rPr>
              <w:t xml:space="preserve">κατ’ αποκοπή αμοιβή (honorarium) μέχρι €500, </w:t>
            </w:r>
          </w:p>
          <w:p w14:paraId="521D9BA2" w14:textId="77777777" w:rsidR="003F3A1C" w:rsidRPr="00903F89" w:rsidRDefault="003F3A1C" w:rsidP="00903F89">
            <w:pPr>
              <w:pStyle w:val="ListParagraph"/>
              <w:numPr>
                <w:ilvl w:val="0"/>
                <w:numId w:val="21"/>
              </w:numPr>
              <w:ind w:left="720"/>
              <w:jc w:val="both"/>
              <w:rPr>
                <w:rFonts w:cs="Arial"/>
                <w:sz w:val="20"/>
                <w:szCs w:val="20"/>
              </w:rPr>
            </w:pPr>
            <w:r w:rsidRPr="00903F89">
              <w:rPr>
                <w:rFonts w:cs="Arial"/>
                <w:sz w:val="20"/>
                <w:szCs w:val="20"/>
              </w:rPr>
              <w:t xml:space="preserve">κόστος μετάβασης (αεροπορικό εισιτήριο οικονομικής θέσης - μέγιστο ποσό αποζημίωσης για ταξίδια από χώρες της Ευρώπης, Βόρειου Αφρικής και Μέσης Ανατολής ορίζεται το ποσό των €800, και από άλλα μέρη του κόσμου το ποσό των €1.300- και μεταφορικά έξοδα από και προς τα αεροδρόμια), </w:t>
            </w:r>
          </w:p>
          <w:p w14:paraId="54E86952" w14:textId="56ECE8E7" w:rsidR="003F3A1C" w:rsidRPr="00903F89" w:rsidRDefault="003F3A1C" w:rsidP="00903F89">
            <w:pPr>
              <w:pStyle w:val="ListParagraph"/>
              <w:numPr>
                <w:ilvl w:val="0"/>
                <w:numId w:val="21"/>
              </w:numPr>
              <w:ind w:left="720"/>
              <w:jc w:val="both"/>
              <w:rPr>
                <w:rFonts w:cs="Arial"/>
                <w:sz w:val="20"/>
                <w:szCs w:val="20"/>
              </w:rPr>
            </w:pPr>
            <w:r w:rsidRPr="00903F89">
              <w:rPr>
                <w:rFonts w:cs="Arial"/>
                <w:sz w:val="20"/>
                <w:szCs w:val="20"/>
              </w:rPr>
              <w:t>κόστος διαμονής (Το μέγιστο όριο διαμονής που καλύπτεται από το Πανεπιστήμιο αντιστοιχεί στον αριθμό ημερών εργασιών συν δύο (2) επιπλέον βράδια</w:t>
            </w:r>
            <w:r w:rsidR="007211D8" w:rsidRPr="00903F89">
              <w:rPr>
                <w:rFonts w:cs="Arial"/>
                <w:sz w:val="20"/>
                <w:szCs w:val="20"/>
              </w:rPr>
              <w:t>, σε μονόκλινο δωμάτιο με πρόγευμα</w:t>
            </w:r>
            <w:r w:rsidRPr="00903F89">
              <w:rPr>
                <w:rFonts w:cs="Arial"/>
                <w:sz w:val="20"/>
                <w:szCs w:val="20"/>
              </w:rPr>
              <w:t xml:space="preserve">), </w:t>
            </w:r>
          </w:p>
          <w:p w14:paraId="0EFD08AD" w14:textId="7C1F2085" w:rsidR="00FD174F" w:rsidRPr="00903F89" w:rsidRDefault="003F3A1C" w:rsidP="00903F89">
            <w:pPr>
              <w:pStyle w:val="ListParagraph"/>
              <w:numPr>
                <w:ilvl w:val="0"/>
                <w:numId w:val="21"/>
              </w:numPr>
              <w:ind w:left="720"/>
              <w:jc w:val="both"/>
              <w:rPr>
                <w:rFonts w:cs="Arial"/>
                <w:sz w:val="20"/>
                <w:szCs w:val="20"/>
              </w:rPr>
            </w:pPr>
            <w:r w:rsidRPr="00903F89">
              <w:rPr>
                <w:rFonts w:cs="Arial"/>
                <w:sz w:val="20"/>
                <w:szCs w:val="20"/>
              </w:rPr>
              <w:t xml:space="preserve">ημερήσιο επίδομα διατροφής </w:t>
            </w:r>
            <w:r w:rsidR="008679F1" w:rsidRPr="00903F89">
              <w:rPr>
                <w:rFonts w:cs="Arial"/>
                <w:sz w:val="20"/>
                <w:szCs w:val="20"/>
              </w:rPr>
              <w:t>(ποσό των €25 για κάθε γεύμα, μέχρι €50 ημερησίως, μέχρι το μέγιστο όριο ημερών διαμονής, αφαιρώντας τον αριθμό γευμάτων που προσφέρονται και καλύπτονται από την οικεία οντότητα),</w:t>
            </w:r>
          </w:p>
          <w:p w14:paraId="7EB20C66" w14:textId="66B8002D" w:rsidR="0006125E" w:rsidRPr="00903F89" w:rsidRDefault="0006125E" w:rsidP="00903F89">
            <w:pPr>
              <w:pStyle w:val="ListParagraph"/>
              <w:numPr>
                <w:ilvl w:val="0"/>
                <w:numId w:val="21"/>
              </w:numPr>
              <w:ind w:left="720"/>
              <w:jc w:val="both"/>
              <w:rPr>
                <w:rFonts w:cs="Arial"/>
                <w:sz w:val="20"/>
                <w:szCs w:val="20"/>
              </w:rPr>
            </w:pPr>
            <w:r w:rsidRPr="00903F89">
              <w:rPr>
                <w:rFonts w:cs="Arial"/>
                <w:sz w:val="20"/>
                <w:szCs w:val="20"/>
              </w:rPr>
              <w:t xml:space="preserve">επιπρόσθετη κατ’ αποκοπή </w:t>
            </w:r>
            <w:r w:rsidR="00FD174F" w:rsidRPr="00903F89">
              <w:rPr>
                <w:rFonts w:cs="Arial"/>
                <w:sz w:val="20"/>
                <w:szCs w:val="20"/>
              </w:rPr>
              <w:t>αποζημίωση</w:t>
            </w:r>
            <w:r w:rsidRPr="00903F89">
              <w:rPr>
                <w:rFonts w:cs="Arial"/>
                <w:sz w:val="20"/>
                <w:szCs w:val="20"/>
              </w:rPr>
              <w:t xml:space="preserve"> (honorarium) €100 σε περιπτώσεις όπου εξωτερικά μέλη έρχονται στην Κύπρο για μία μόνο μέρα, χωρίς διανυκτέρευση (</w:t>
            </w:r>
            <w:r w:rsidR="00FD174F" w:rsidRPr="00903F89">
              <w:rPr>
                <w:rFonts w:cs="Arial"/>
                <w:sz w:val="20"/>
                <w:szCs w:val="20"/>
              </w:rPr>
              <w:t xml:space="preserve">για κάλυψη των εξόδων διατροφής και διακίνησής τους, επιπρόσθετα της κατ’ αποκοπή αμοιβής (honorarium) και του κόστους μετάβασης), </w:t>
            </w:r>
          </w:p>
          <w:p w14:paraId="731D55F6" w14:textId="01DF1852" w:rsidR="003F3A1C" w:rsidRPr="00903F89" w:rsidRDefault="00F873B2" w:rsidP="00903F89">
            <w:pPr>
              <w:pStyle w:val="ListParagraph"/>
              <w:numPr>
                <w:ilvl w:val="0"/>
                <w:numId w:val="21"/>
              </w:numPr>
              <w:ind w:left="720"/>
              <w:jc w:val="both"/>
              <w:rPr>
                <w:rFonts w:cs="Arial"/>
                <w:sz w:val="20"/>
                <w:szCs w:val="20"/>
              </w:rPr>
            </w:pPr>
            <w:r w:rsidRPr="00903F89">
              <w:rPr>
                <w:rFonts w:cs="Arial"/>
                <w:sz w:val="20"/>
                <w:szCs w:val="20"/>
              </w:rPr>
              <w:t>επιπρόσθετη κατ’ αποκοπή αμοιβή (honorarium) €100 σε περιπτώσεις όπου δίνουν, επιπρόσθετα, επιστημονικές διαλέξεις στις οντότητες του Πανεπιστημίου Κύπρου (η δαπάνη χρεώνεται έναντι πρόνοιας του Άρθρου 315 «Συνέδρια και Σεμινάρια», της οικείας οντότητας).</w:t>
            </w:r>
          </w:p>
          <w:p w14:paraId="4777C324" w14:textId="77777777" w:rsidR="003F3A1C" w:rsidRPr="00903F89" w:rsidRDefault="003F3A1C" w:rsidP="00903F89">
            <w:pPr>
              <w:pStyle w:val="ListParagraph"/>
              <w:ind w:left="1080"/>
              <w:jc w:val="both"/>
              <w:rPr>
                <w:rFonts w:cs="Arial"/>
                <w:sz w:val="20"/>
                <w:szCs w:val="20"/>
              </w:rPr>
            </w:pPr>
          </w:p>
          <w:p w14:paraId="588610D2" w14:textId="512F7DF5" w:rsidR="003F3A1C" w:rsidRPr="00903F89" w:rsidRDefault="003F3A1C" w:rsidP="00903F89">
            <w:pPr>
              <w:pStyle w:val="ListParagraph"/>
              <w:numPr>
                <w:ilvl w:val="0"/>
                <w:numId w:val="24"/>
              </w:numPr>
              <w:jc w:val="both"/>
              <w:rPr>
                <w:rFonts w:eastAsia="Arial" w:cs="Arial"/>
                <w:sz w:val="20"/>
                <w:szCs w:val="20"/>
              </w:rPr>
            </w:pPr>
            <w:r w:rsidRPr="00903F89">
              <w:rPr>
                <w:rFonts w:cs="Arial"/>
                <w:sz w:val="20"/>
                <w:szCs w:val="20"/>
              </w:rPr>
              <w:t xml:space="preserve">Εξωτερικά Μέλη Συμβουλευτικών Επιτροπών για Ίδρυση Τμήματος ή Σχολής που προέρχονται από ακαδημαϊκά ιδρύματα </w:t>
            </w:r>
            <w:r w:rsidR="008679F1" w:rsidRPr="00903F89">
              <w:rPr>
                <w:rFonts w:cs="Arial"/>
                <w:sz w:val="20"/>
                <w:szCs w:val="20"/>
              </w:rPr>
              <w:t xml:space="preserve">της </w:t>
            </w:r>
            <w:r w:rsidRPr="00903F89">
              <w:rPr>
                <w:rFonts w:cs="Arial"/>
                <w:sz w:val="20"/>
                <w:szCs w:val="20"/>
              </w:rPr>
              <w:t>Κύπρου, δύναται να καταβληθεί:</w:t>
            </w:r>
          </w:p>
          <w:p w14:paraId="2A4032D7" w14:textId="77777777" w:rsidR="003F3A1C" w:rsidRPr="00903F89" w:rsidRDefault="003F3A1C" w:rsidP="00903F89">
            <w:pPr>
              <w:pStyle w:val="ListParagraph"/>
              <w:ind w:left="360"/>
              <w:jc w:val="both"/>
              <w:rPr>
                <w:rFonts w:eastAsia="Arial" w:cs="Arial"/>
                <w:sz w:val="20"/>
                <w:szCs w:val="20"/>
              </w:rPr>
            </w:pPr>
          </w:p>
          <w:p w14:paraId="7BEB20D1" w14:textId="77777777" w:rsidR="003F3A1C" w:rsidRPr="00903F89" w:rsidRDefault="003F3A1C" w:rsidP="00903F89">
            <w:pPr>
              <w:pStyle w:val="ListParagraph"/>
              <w:numPr>
                <w:ilvl w:val="0"/>
                <w:numId w:val="21"/>
              </w:numPr>
              <w:ind w:left="746" w:hanging="425"/>
              <w:jc w:val="both"/>
              <w:rPr>
                <w:rFonts w:eastAsia="Arial" w:cs="Arial"/>
                <w:sz w:val="20"/>
                <w:szCs w:val="20"/>
              </w:rPr>
            </w:pPr>
            <w:r w:rsidRPr="00903F89">
              <w:rPr>
                <w:rFonts w:eastAsia="Arial" w:cs="Arial"/>
                <w:sz w:val="20"/>
                <w:szCs w:val="20"/>
              </w:rPr>
              <w:t xml:space="preserve">κατ’ αποκοπή αμοιβή (honorarium) μέχρι €300, </w:t>
            </w:r>
          </w:p>
          <w:p w14:paraId="204E1030" w14:textId="6BDAFA34" w:rsidR="004B6840" w:rsidRPr="00903F89" w:rsidRDefault="003F3A1C" w:rsidP="00903F89">
            <w:pPr>
              <w:pStyle w:val="ListParagraph"/>
              <w:numPr>
                <w:ilvl w:val="0"/>
                <w:numId w:val="21"/>
              </w:numPr>
              <w:ind w:left="746" w:hanging="425"/>
              <w:jc w:val="both"/>
              <w:rPr>
                <w:rFonts w:cs="Arial"/>
                <w:sz w:val="20"/>
                <w:szCs w:val="20"/>
              </w:rPr>
            </w:pPr>
            <w:r w:rsidRPr="00903F89">
              <w:rPr>
                <w:rFonts w:cs="Arial"/>
                <w:sz w:val="20"/>
                <w:szCs w:val="20"/>
              </w:rPr>
              <w:t>το κόστος διαμονής</w:t>
            </w:r>
            <w:r w:rsidR="007211D8" w:rsidRPr="00903F89">
              <w:rPr>
                <w:rFonts w:cs="Arial"/>
                <w:sz w:val="20"/>
                <w:szCs w:val="20"/>
              </w:rPr>
              <w:t xml:space="preserve"> σε μονόκλινο δωμάτιο </w:t>
            </w:r>
            <w:r w:rsidRPr="00903F89">
              <w:rPr>
                <w:rFonts w:cs="Arial"/>
                <w:sz w:val="20"/>
                <w:szCs w:val="20"/>
              </w:rPr>
              <w:t xml:space="preserve">με πρόγευμα, οδοιπορικά και ημερήσιο επίδομα διατροφής, με βάση τις πρόνοιες της ισχύουσας εγκυκλίου και αφορούν περιπτώσεις αξιολογητών που προέρχονται από ακαδημαϊκά ιδρύματα που εδρεύουν εκτός επαρχίας Λευκωσίας και διαμένουν στις επαρχίες αυτές. Το μέγιστο όριο διαμονής που καλύπτεται από το Πανεπιστήμιο αντιστοιχεί στον αριθμό ημερών εργασιών. </w:t>
            </w:r>
          </w:p>
        </w:tc>
      </w:tr>
      <w:tr w:rsidR="00903F89" w:rsidRPr="00903F89" w14:paraId="435BB229" w14:textId="77777777" w:rsidTr="00B1212B">
        <w:tc>
          <w:tcPr>
            <w:tcW w:w="4761" w:type="dxa"/>
            <w:gridSpan w:val="5"/>
            <w:shd w:val="clear" w:color="auto" w:fill="auto"/>
          </w:tcPr>
          <w:p w14:paraId="109A1FE1" w14:textId="77777777" w:rsidR="00252B3B" w:rsidRPr="00903F89" w:rsidRDefault="00252B3B" w:rsidP="00903F89">
            <w:pPr>
              <w:jc w:val="both"/>
              <w:rPr>
                <w:rFonts w:cs="Arial"/>
                <w:b/>
                <w:sz w:val="20"/>
                <w:szCs w:val="20"/>
                <w:u w:val="single"/>
              </w:rPr>
            </w:pPr>
          </w:p>
        </w:tc>
        <w:tc>
          <w:tcPr>
            <w:tcW w:w="2606" w:type="dxa"/>
            <w:shd w:val="clear" w:color="auto" w:fill="auto"/>
          </w:tcPr>
          <w:p w14:paraId="03C5C0A6" w14:textId="77777777" w:rsidR="00252B3B" w:rsidRPr="00903F89" w:rsidRDefault="00252B3B" w:rsidP="00903F89">
            <w:pPr>
              <w:jc w:val="both"/>
              <w:rPr>
                <w:rFonts w:cs="Arial"/>
                <w:sz w:val="20"/>
                <w:szCs w:val="20"/>
              </w:rPr>
            </w:pPr>
          </w:p>
        </w:tc>
        <w:tc>
          <w:tcPr>
            <w:tcW w:w="3433" w:type="dxa"/>
            <w:gridSpan w:val="4"/>
            <w:shd w:val="clear" w:color="auto" w:fill="auto"/>
          </w:tcPr>
          <w:p w14:paraId="547C65D6" w14:textId="77777777" w:rsidR="00252B3B" w:rsidRPr="00903F89" w:rsidRDefault="00252B3B" w:rsidP="00903F89">
            <w:pPr>
              <w:jc w:val="both"/>
              <w:rPr>
                <w:rFonts w:cs="Arial"/>
                <w:b/>
                <w:sz w:val="20"/>
                <w:szCs w:val="20"/>
                <w:u w:val="single"/>
              </w:rPr>
            </w:pPr>
          </w:p>
        </w:tc>
      </w:tr>
      <w:tr w:rsidR="00903F89" w:rsidRPr="00903F89" w14:paraId="04C0DD8B" w14:textId="77777777" w:rsidTr="00B1212B">
        <w:tc>
          <w:tcPr>
            <w:tcW w:w="10800" w:type="dxa"/>
            <w:gridSpan w:val="10"/>
            <w:shd w:val="clear" w:color="auto" w:fill="auto"/>
          </w:tcPr>
          <w:p w14:paraId="2DF4006B" w14:textId="2C0CDCA7" w:rsidR="002173C8" w:rsidRPr="00903F89" w:rsidRDefault="002173C8" w:rsidP="00903F89">
            <w:pPr>
              <w:jc w:val="both"/>
              <w:rPr>
                <w:rFonts w:cs="Arial"/>
                <w:sz w:val="20"/>
                <w:szCs w:val="20"/>
              </w:rPr>
            </w:pPr>
            <w:r w:rsidRPr="00903F89">
              <w:rPr>
                <w:rFonts w:cs="Arial"/>
                <w:sz w:val="20"/>
                <w:szCs w:val="20"/>
              </w:rPr>
              <w:t>Επίσης, δαπάνες για την αξιολόγηση και αναβάθμιση της διοικητικής λειτουργίας του Πανεπιστημίου, δαπάνες δημιουργίας «συμβουλευτικών σωμάτων» (</w:t>
            </w:r>
            <w:r w:rsidRPr="00903F89">
              <w:rPr>
                <w:rFonts w:cs="Arial"/>
                <w:sz w:val="20"/>
                <w:szCs w:val="20"/>
                <w:lang w:val="en-US"/>
              </w:rPr>
              <w:t>advisory</w:t>
            </w:r>
            <w:r w:rsidRPr="00903F89">
              <w:rPr>
                <w:rFonts w:eastAsia="Arial" w:cs="Arial"/>
                <w:sz w:val="20"/>
                <w:szCs w:val="20"/>
              </w:rPr>
              <w:t xml:space="preserve"> </w:t>
            </w:r>
            <w:r w:rsidRPr="00903F89">
              <w:rPr>
                <w:rFonts w:cs="Arial"/>
                <w:sz w:val="20"/>
                <w:szCs w:val="20"/>
                <w:lang w:val="en-US"/>
              </w:rPr>
              <w:t>boards</w:t>
            </w:r>
            <w:r w:rsidRPr="00903F89">
              <w:rPr>
                <w:rFonts w:cs="Arial"/>
                <w:sz w:val="20"/>
                <w:szCs w:val="20"/>
              </w:rPr>
              <w:t>) σε επίπεδο Σχολής ή Τμήματος στο Πανεπιστήμιο Κύπρου, μελέτες και προγράμματα υλοποίησης αλλαγής κουλτούρας, για πιστοποιήσεις εργαστηρίων και άλλες αμοιβές/δικαιώματα που θα προκύψουν.</w:t>
            </w:r>
          </w:p>
        </w:tc>
      </w:tr>
      <w:tr w:rsidR="00903F89" w:rsidRPr="00903F89" w14:paraId="03B75B78" w14:textId="77777777" w:rsidTr="00B1212B">
        <w:tc>
          <w:tcPr>
            <w:tcW w:w="10800" w:type="dxa"/>
            <w:gridSpan w:val="10"/>
            <w:shd w:val="clear" w:color="auto" w:fill="auto"/>
          </w:tcPr>
          <w:p w14:paraId="15BCB6A3" w14:textId="77777777" w:rsidR="00142590" w:rsidRPr="00903F89" w:rsidRDefault="00142590" w:rsidP="00903F89">
            <w:pPr>
              <w:jc w:val="both"/>
              <w:rPr>
                <w:rFonts w:cs="Arial"/>
                <w:sz w:val="20"/>
                <w:szCs w:val="20"/>
              </w:rPr>
            </w:pPr>
          </w:p>
        </w:tc>
      </w:tr>
      <w:tr w:rsidR="00903F89" w:rsidRPr="00903F89" w14:paraId="7887C879" w14:textId="77777777" w:rsidTr="00B1212B">
        <w:tc>
          <w:tcPr>
            <w:tcW w:w="10800" w:type="dxa"/>
            <w:gridSpan w:val="10"/>
            <w:shd w:val="clear" w:color="auto" w:fill="auto"/>
          </w:tcPr>
          <w:p w14:paraId="1F180BC2" w14:textId="20896CA4" w:rsidR="00142590" w:rsidRPr="00903F89" w:rsidRDefault="00142590" w:rsidP="00903F89">
            <w:pPr>
              <w:jc w:val="both"/>
              <w:rPr>
                <w:rFonts w:cs="Arial"/>
                <w:sz w:val="20"/>
                <w:szCs w:val="20"/>
              </w:rPr>
            </w:pPr>
            <w:r w:rsidRPr="00903F89">
              <w:rPr>
                <w:rFonts w:cs="Arial"/>
                <w:sz w:val="20"/>
                <w:szCs w:val="20"/>
              </w:rPr>
              <w:t>Η πρόνοια του άρθρου δύναται να καλύψει και την αμοιβή των εξωτερικών αξιολογητών των αιτήσεων των μεταδιδακτορικών ερευνητών η οποία ανέρχεται σε €300 το μέγιστο (ανάλογα με τον αριθμό των αιτήσεων που θα κληθούν να αξιολογήσουν).</w:t>
            </w:r>
          </w:p>
        </w:tc>
      </w:tr>
      <w:tr w:rsidR="00903F89" w:rsidRPr="00903F89" w14:paraId="2BD7F138" w14:textId="77777777" w:rsidTr="00B1212B">
        <w:tc>
          <w:tcPr>
            <w:tcW w:w="10800" w:type="dxa"/>
            <w:gridSpan w:val="10"/>
            <w:shd w:val="clear" w:color="auto" w:fill="auto"/>
          </w:tcPr>
          <w:p w14:paraId="6ADC989F" w14:textId="77777777" w:rsidR="00946B6A" w:rsidRPr="00903F89" w:rsidRDefault="00946B6A" w:rsidP="00903F89">
            <w:pPr>
              <w:jc w:val="both"/>
              <w:rPr>
                <w:rFonts w:cs="Arial"/>
                <w:sz w:val="20"/>
                <w:szCs w:val="20"/>
              </w:rPr>
            </w:pPr>
          </w:p>
        </w:tc>
      </w:tr>
      <w:tr w:rsidR="00903F89" w:rsidRPr="00903F89" w14:paraId="4121A3B7" w14:textId="77777777" w:rsidTr="00B1212B">
        <w:tc>
          <w:tcPr>
            <w:tcW w:w="10800" w:type="dxa"/>
            <w:gridSpan w:val="10"/>
            <w:shd w:val="clear" w:color="auto" w:fill="auto"/>
          </w:tcPr>
          <w:p w14:paraId="234FA2B4" w14:textId="50493158" w:rsidR="00FA19C2" w:rsidRPr="00903F89" w:rsidRDefault="045AFEAA" w:rsidP="00903F89">
            <w:pPr>
              <w:jc w:val="both"/>
              <w:rPr>
                <w:rFonts w:eastAsia="Arial" w:cs="Arial"/>
                <w:b/>
                <w:bCs/>
                <w:sz w:val="20"/>
                <w:szCs w:val="20"/>
                <w:u w:val="single"/>
              </w:rPr>
            </w:pPr>
            <w:r w:rsidRPr="00903F89">
              <w:rPr>
                <w:rFonts w:cs="Arial"/>
                <w:sz w:val="20"/>
                <w:szCs w:val="20"/>
              </w:rPr>
              <w:t>Η πρόνοια έχει τη δυνατότητα κάλυψης δαπανών σχετικών με τη διαπίστευση εργαστηρίων καθώς και δαπανών επαναξιολόγησης των (ήδη) διαπιστευμένων εργαστηρίων του Πανεπιστημίου. Στην περίπτωση που ο αριθμός των διαπιστευμένων εργαστηρίων και κατ’ επέκταση και το συνολικό κόστος της επαναξιολόγησης τους αυξηθεί σημαντικά σε μεταγενέστερο στάδιο, τότε ενδείκνυται η συμπερίληψη ξεχωριστού άρθρου στον Προϋπολογισμό του Πανεπιστημίου Κύπρου στο οποίο να δεικνύονται οι σχετικές/πιστώσεις για το σκοπό αυτό.</w:t>
            </w:r>
          </w:p>
        </w:tc>
      </w:tr>
      <w:tr w:rsidR="00903F89" w:rsidRPr="00903F89" w14:paraId="0E351C3A" w14:textId="77777777" w:rsidTr="00B1212B">
        <w:tc>
          <w:tcPr>
            <w:tcW w:w="10800" w:type="dxa"/>
            <w:gridSpan w:val="10"/>
            <w:shd w:val="clear" w:color="auto" w:fill="auto"/>
          </w:tcPr>
          <w:p w14:paraId="4D494050" w14:textId="77777777" w:rsidR="00FA19C2" w:rsidRPr="00903F89" w:rsidRDefault="00FA19C2" w:rsidP="00903F89">
            <w:pPr>
              <w:jc w:val="both"/>
              <w:rPr>
                <w:rFonts w:cs="Arial"/>
                <w:sz w:val="20"/>
                <w:szCs w:val="20"/>
              </w:rPr>
            </w:pPr>
          </w:p>
        </w:tc>
      </w:tr>
      <w:tr w:rsidR="00903F89" w:rsidRPr="00903F89" w14:paraId="25E04B9A" w14:textId="77777777" w:rsidTr="00B1212B">
        <w:tc>
          <w:tcPr>
            <w:tcW w:w="10800" w:type="dxa"/>
            <w:gridSpan w:val="10"/>
            <w:shd w:val="clear" w:color="auto" w:fill="auto"/>
          </w:tcPr>
          <w:p w14:paraId="183E3768" w14:textId="4DBAB20A" w:rsidR="00CE011D" w:rsidRPr="00903F89" w:rsidRDefault="00CE011D" w:rsidP="00903F89">
            <w:pPr>
              <w:jc w:val="both"/>
              <w:rPr>
                <w:rFonts w:cs="Arial"/>
                <w:sz w:val="20"/>
                <w:szCs w:val="20"/>
              </w:rPr>
            </w:pPr>
            <w:r w:rsidRPr="00903F89">
              <w:rPr>
                <w:rFonts w:cs="Arial"/>
                <w:sz w:val="20"/>
                <w:szCs w:val="20"/>
              </w:rPr>
              <w:t>Η πρόνοια δύναται να καλύψει επίσης δαπάνες που αφορούν έξοδα εμπειρογνωμόνων για διδασκαλία διαλέξεων στους προπτυχιακούς και μεταπτυχιακούς φοιτητές του ΠΚ.</w:t>
            </w:r>
          </w:p>
        </w:tc>
      </w:tr>
      <w:tr w:rsidR="00903F89" w:rsidRPr="00903F89" w14:paraId="2A3EDBA9" w14:textId="77777777" w:rsidTr="00B1212B">
        <w:tc>
          <w:tcPr>
            <w:tcW w:w="10800" w:type="dxa"/>
            <w:gridSpan w:val="10"/>
            <w:shd w:val="clear" w:color="auto" w:fill="auto"/>
          </w:tcPr>
          <w:p w14:paraId="6D247239" w14:textId="77777777" w:rsidR="00CE011D" w:rsidRPr="00903F89" w:rsidRDefault="00CE011D" w:rsidP="00903F89">
            <w:pPr>
              <w:jc w:val="both"/>
              <w:rPr>
                <w:rFonts w:cs="Arial"/>
                <w:sz w:val="20"/>
                <w:szCs w:val="20"/>
              </w:rPr>
            </w:pPr>
          </w:p>
        </w:tc>
      </w:tr>
      <w:tr w:rsidR="00903F89" w:rsidRPr="00903F89" w14:paraId="261C28D5" w14:textId="77777777" w:rsidTr="00B1212B">
        <w:trPr>
          <w:trHeight w:val="356"/>
        </w:trPr>
        <w:tc>
          <w:tcPr>
            <w:tcW w:w="10800" w:type="dxa"/>
            <w:gridSpan w:val="10"/>
            <w:shd w:val="clear" w:color="auto" w:fill="auto"/>
          </w:tcPr>
          <w:p w14:paraId="7C4FBE7F" w14:textId="77777777" w:rsidR="00FA19C2" w:rsidRPr="00903F89" w:rsidRDefault="045AFEAA" w:rsidP="00903F89">
            <w:pPr>
              <w:jc w:val="both"/>
              <w:rPr>
                <w:rFonts w:cs="Arial"/>
                <w:sz w:val="20"/>
                <w:szCs w:val="20"/>
              </w:rPr>
            </w:pPr>
            <w:r w:rsidRPr="00903F89">
              <w:rPr>
                <w:rFonts w:cs="Arial"/>
                <w:sz w:val="20"/>
                <w:szCs w:val="20"/>
              </w:rPr>
              <w:t xml:space="preserve">Η πρόνοια ενδέχεται να καλύψει επίσης έξοδα εποπτείας διδακτορικών φοιτητών κλινικής ψυχολογίας του Τμήματος Ψυχολογίας, όπως επίσης και έξοδα εποπτείας βάσει σχετικών μνημονίων συνεργασίας του Τμήματος με το Υπουργείο Εργασίας και Κοινωνικών Ασφαλίσεων και με άλλες δομές. </w:t>
            </w:r>
          </w:p>
          <w:p w14:paraId="7081ABF0" w14:textId="77777777" w:rsidR="00D875AC" w:rsidRPr="00903F89" w:rsidRDefault="00D875AC" w:rsidP="00903F89">
            <w:pPr>
              <w:jc w:val="both"/>
              <w:rPr>
                <w:rFonts w:eastAsia="Arial" w:cs="Arial"/>
                <w:b/>
                <w:bCs/>
                <w:sz w:val="20"/>
                <w:szCs w:val="20"/>
                <w:u w:val="single"/>
              </w:rPr>
            </w:pPr>
          </w:p>
          <w:p w14:paraId="4DF0B352" w14:textId="2804C307" w:rsidR="00D875AC" w:rsidRPr="00903F89" w:rsidRDefault="00B64187" w:rsidP="00903F89">
            <w:pPr>
              <w:jc w:val="both"/>
              <w:rPr>
                <w:rFonts w:eastAsia="Arial" w:cs="Arial"/>
                <w:bCs/>
                <w:sz w:val="20"/>
                <w:szCs w:val="20"/>
              </w:rPr>
            </w:pPr>
            <w:r w:rsidRPr="00903F89">
              <w:rPr>
                <w:rFonts w:eastAsia="Arial" w:cs="Arial"/>
                <w:bCs/>
                <w:sz w:val="20"/>
                <w:szCs w:val="20"/>
              </w:rPr>
              <w:t>Η</w:t>
            </w:r>
            <w:r w:rsidR="000650D1" w:rsidRPr="00903F89">
              <w:rPr>
                <w:rFonts w:eastAsia="Arial" w:cs="Arial"/>
                <w:bCs/>
                <w:sz w:val="20"/>
                <w:szCs w:val="20"/>
              </w:rPr>
              <w:t xml:space="preserve"> πρόνοια προορίζεται να καλύψει τις </w:t>
            </w:r>
            <w:r w:rsidR="000931EE" w:rsidRPr="00903F89">
              <w:rPr>
                <w:rFonts w:eastAsia="Arial" w:cs="Arial"/>
                <w:bCs/>
                <w:sz w:val="20"/>
                <w:szCs w:val="20"/>
              </w:rPr>
              <w:t xml:space="preserve">αμοιβές/ honorarium των ομιλητών που θα συμμετέχουν στο θεσμό </w:t>
            </w:r>
            <w:r w:rsidR="007A7563" w:rsidRPr="00903F89">
              <w:rPr>
                <w:rFonts w:eastAsia="Arial" w:cs="Arial"/>
                <w:bCs/>
                <w:sz w:val="20"/>
                <w:szCs w:val="20"/>
              </w:rPr>
              <w:t>«</w:t>
            </w:r>
            <w:proofErr w:type="spellStart"/>
            <w:r w:rsidR="000931EE" w:rsidRPr="00903F89">
              <w:rPr>
                <w:rFonts w:eastAsia="Arial" w:cs="Arial"/>
                <w:bCs/>
                <w:sz w:val="20"/>
                <w:szCs w:val="20"/>
              </w:rPr>
              <w:t>Entrepreneur</w:t>
            </w:r>
            <w:proofErr w:type="spellEnd"/>
            <w:r w:rsidR="000931EE" w:rsidRPr="00903F89">
              <w:rPr>
                <w:rFonts w:eastAsia="Arial" w:cs="Arial"/>
                <w:bCs/>
                <w:sz w:val="20"/>
                <w:szCs w:val="20"/>
              </w:rPr>
              <w:t xml:space="preserve"> in </w:t>
            </w:r>
            <w:proofErr w:type="spellStart"/>
            <w:r w:rsidR="000931EE" w:rsidRPr="00903F89">
              <w:rPr>
                <w:rFonts w:eastAsia="Arial" w:cs="Arial"/>
                <w:bCs/>
                <w:sz w:val="20"/>
                <w:szCs w:val="20"/>
              </w:rPr>
              <w:t>Residence</w:t>
            </w:r>
            <w:proofErr w:type="spellEnd"/>
            <w:r w:rsidR="007A7563" w:rsidRPr="00903F89">
              <w:rPr>
                <w:rFonts w:eastAsia="Arial" w:cs="Arial"/>
                <w:bCs/>
                <w:sz w:val="20"/>
                <w:szCs w:val="20"/>
              </w:rPr>
              <w:t>»</w:t>
            </w:r>
            <w:r w:rsidR="000931EE" w:rsidRPr="00903F89">
              <w:rPr>
                <w:rFonts w:eastAsia="Arial" w:cs="Arial"/>
                <w:bCs/>
                <w:sz w:val="20"/>
                <w:szCs w:val="20"/>
              </w:rPr>
              <w:t xml:space="preserve"> που διοργανώνει το Κέντρο</w:t>
            </w:r>
            <w:r w:rsidR="007A7563" w:rsidRPr="00903F89">
              <w:rPr>
                <w:rFonts w:eastAsia="Arial" w:cs="Arial"/>
                <w:bCs/>
                <w:sz w:val="20"/>
                <w:szCs w:val="20"/>
              </w:rPr>
              <w:t xml:space="preserve"> </w:t>
            </w:r>
            <w:r w:rsidR="000931EE" w:rsidRPr="00903F89">
              <w:rPr>
                <w:rFonts w:eastAsia="Arial" w:cs="Arial"/>
                <w:bCs/>
                <w:sz w:val="20"/>
                <w:szCs w:val="20"/>
              </w:rPr>
              <w:t>Επιχειρηματικότητας</w:t>
            </w:r>
            <w:r w:rsidRPr="00903F89">
              <w:rPr>
                <w:rFonts w:eastAsia="Arial" w:cs="Arial"/>
                <w:bCs/>
                <w:sz w:val="20"/>
                <w:szCs w:val="20"/>
              </w:rPr>
              <w:t xml:space="preserve"> (Αποφάσεις </w:t>
            </w:r>
            <w:bookmarkStart w:id="50" w:name="_Hlk87949627"/>
            <w:r w:rsidRPr="00903F89">
              <w:rPr>
                <w:rFonts w:eastAsia="Arial" w:cs="Arial"/>
                <w:bCs/>
                <w:sz w:val="20"/>
                <w:szCs w:val="20"/>
              </w:rPr>
              <w:t>του Πρυτανικού Συμβουλίου</w:t>
            </w:r>
            <w:r w:rsidR="00C530A2" w:rsidRPr="00903F89">
              <w:rPr>
                <w:rFonts w:eastAsia="Arial" w:cs="Arial"/>
                <w:bCs/>
                <w:sz w:val="20"/>
                <w:szCs w:val="20"/>
              </w:rPr>
              <w:t xml:space="preserve">, </w:t>
            </w:r>
            <w:r w:rsidRPr="00903F89">
              <w:rPr>
                <w:rFonts w:eastAsia="Arial" w:cs="Arial"/>
                <w:bCs/>
                <w:sz w:val="20"/>
                <w:szCs w:val="20"/>
              </w:rPr>
              <w:t xml:space="preserve">Συνεδρία Αρ. 24/2018 ημερ. </w:t>
            </w:r>
            <w:r w:rsidRPr="00903F89">
              <w:rPr>
                <w:rFonts w:cs="Arial"/>
                <w:sz w:val="20"/>
                <w:szCs w:val="20"/>
              </w:rPr>
              <w:t>27/08/2018</w:t>
            </w:r>
            <w:r w:rsidRPr="00903F89">
              <w:rPr>
                <w:rFonts w:eastAsia="Arial" w:cs="Arial"/>
                <w:bCs/>
                <w:sz w:val="20"/>
                <w:szCs w:val="20"/>
              </w:rPr>
              <w:t>, και 09/2020, ημερ. 0</w:t>
            </w:r>
            <w:r w:rsidRPr="00903F89">
              <w:rPr>
                <w:rFonts w:cs="Arial"/>
                <w:sz w:val="20"/>
                <w:szCs w:val="20"/>
              </w:rPr>
              <w:t>5/03/2020</w:t>
            </w:r>
            <w:r w:rsidRPr="00903F89">
              <w:rPr>
                <w:rFonts w:eastAsia="Arial" w:cs="Arial"/>
                <w:bCs/>
                <w:sz w:val="20"/>
                <w:szCs w:val="20"/>
              </w:rPr>
              <w:t>)</w:t>
            </w:r>
            <w:bookmarkEnd w:id="50"/>
            <w:r w:rsidR="007A7563" w:rsidRPr="00903F89">
              <w:rPr>
                <w:rFonts w:eastAsia="Arial" w:cs="Arial"/>
                <w:bCs/>
                <w:sz w:val="20"/>
                <w:szCs w:val="20"/>
              </w:rPr>
              <w:t>.</w:t>
            </w:r>
            <w:r w:rsidR="001F3B20" w:rsidRPr="00903F89">
              <w:rPr>
                <w:rFonts w:eastAsia="Arial" w:cs="Arial"/>
                <w:bCs/>
                <w:sz w:val="20"/>
                <w:szCs w:val="20"/>
                <w:shd w:val="clear" w:color="auto" w:fill="BFBFBF" w:themeFill="background1" w:themeFillShade="BF"/>
              </w:rPr>
              <w:t xml:space="preserve"> </w:t>
            </w:r>
          </w:p>
        </w:tc>
      </w:tr>
      <w:tr w:rsidR="00903F89" w:rsidRPr="00903F89" w14:paraId="23E7644E" w14:textId="77777777" w:rsidTr="00B1212B">
        <w:trPr>
          <w:trHeight w:val="55"/>
        </w:trPr>
        <w:tc>
          <w:tcPr>
            <w:tcW w:w="10800" w:type="dxa"/>
            <w:gridSpan w:val="10"/>
            <w:shd w:val="clear" w:color="auto" w:fill="auto"/>
          </w:tcPr>
          <w:p w14:paraId="771CB8B8" w14:textId="77777777" w:rsidR="00166712" w:rsidRPr="00903F89" w:rsidRDefault="00166712" w:rsidP="00903F89">
            <w:pPr>
              <w:jc w:val="both"/>
              <w:rPr>
                <w:rFonts w:cs="Arial"/>
                <w:sz w:val="20"/>
                <w:szCs w:val="20"/>
              </w:rPr>
            </w:pPr>
          </w:p>
        </w:tc>
      </w:tr>
      <w:tr w:rsidR="00903F89" w:rsidRPr="00903F89" w14:paraId="1DD4B28A" w14:textId="77777777" w:rsidTr="00B1212B">
        <w:trPr>
          <w:trHeight w:val="55"/>
        </w:trPr>
        <w:tc>
          <w:tcPr>
            <w:tcW w:w="10800" w:type="dxa"/>
            <w:gridSpan w:val="10"/>
            <w:shd w:val="clear" w:color="auto" w:fill="auto"/>
          </w:tcPr>
          <w:p w14:paraId="401918AE" w14:textId="43F41C2D" w:rsidR="00166712" w:rsidRPr="00903F89" w:rsidRDefault="002F4A27" w:rsidP="00903F89">
            <w:pPr>
              <w:jc w:val="both"/>
              <w:rPr>
                <w:rFonts w:cs="Arial"/>
                <w:sz w:val="20"/>
                <w:szCs w:val="20"/>
              </w:rPr>
            </w:pPr>
            <w:bookmarkStart w:id="51" w:name="_Hlk77866202"/>
            <w:r w:rsidRPr="00903F89">
              <w:rPr>
                <w:rFonts w:cs="Arial"/>
                <w:sz w:val="20"/>
                <w:szCs w:val="20"/>
              </w:rPr>
              <w:t>Η πρόνοια προορίζεται να καλύψει δαπάνες που αφορούν στις αμοιβές Ανεξάρτητων Συμβούλων (οι οποίοι θα παρέχουν προς το ΠΚ Συμβουλευτικές Υπηρεσίες για την ανάπτυξη, παρακολούθηση και υλοποίηση της Επενδυτικής του Στρατηγικής), όπως αυτές απορρέουν από τις σχετικές Συμβάσεις που έχει/θα συνάψει το ΠΚ, σύμφωνα με τις αποφάσεις των Αρμοδίων Σωμάτων του και της Νομοθεσίας για τις διαδικασίες Σύναψης Δημοσίων Συμβάσεων.</w:t>
            </w:r>
          </w:p>
        </w:tc>
      </w:tr>
      <w:bookmarkEnd w:id="51"/>
      <w:tr w:rsidR="00903F89" w:rsidRPr="00903F89" w14:paraId="7C7DC869" w14:textId="77777777" w:rsidTr="00B1212B">
        <w:tc>
          <w:tcPr>
            <w:tcW w:w="10800" w:type="dxa"/>
            <w:gridSpan w:val="10"/>
            <w:shd w:val="clear" w:color="auto" w:fill="auto"/>
          </w:tcPr>
          <w:p w14:paraId="2C34B12D" w14:textId="77777777" w:rsidR="00FA19C2" w:rsidRPr="00903F89" w:rsidRDefault="00FA19C2" w:rsidP="00903F89">
            <w:pPr>
              <w:jc w:val="both"/>
              <w:rPr>
                <w:rFonts w:cs="Arial"/>
                <w:sz w:val="20"/>
                <w:szCs w:val="20"/>
                <w:lang w:eastAsia="zh-CN"/>
              </w:rPr>
            </w:pPr>
          </w:p>
        </w:tc>
      </w:tr>
      <w:tr w:rsidR="00903F89" w:rsidRPr="00903F89" w14:paraId="0280E7C3" w14:textId="77777777" w:rsidTr="00B1212B">
        <w:tc>
          <w:tcPr>
            <w:tcW w:w="10800" w:type="dxa"/>
            <w:gridSpan w:val="10"/>
          </w:tcPr>
          <w:p w14:paraId="623E138D" w14:textId="2357F596" w:rsidR="00252B3B" w:rsidRPr="00903F89" w:rsidRDefault="045AFEAA" w:rsidP="00903F89">
            <w:pPr>
              <w:jc w:val="both"/>
              <w:rPr>
                <w:rFonts w:eastAsia="Arial" w:cs="Arial"/>
                <w:b/>
                <w:bCs/>
                <w:sz w:val="20"/>
                <w:szCs w:val="20"/>
                <w:u w:val="single"/>
              </w:rPr>
            </w:pPr>
            <w:r w:rsidRPr="00903F89">
              <w:rPr>
                <w:rFonts w:cs="Arial"/>
                <w:b/>
                <w:bCs/>
                <w:sz w:val="20"/>
                <w:szCs w:val="20"/>
                <w:u w:val="single"/>
              </w:rPr>
              <w:t>Άρθρο 349 – Καταβολή Ασφαλίστρων ή Αποζημιώσεων για Επιδιορθώσεις ή/και Αποκα</w:t>
            </w:r>
            <w:r w:rsidR="00401C0D" w:rsidRPr="00903F89">
              <w:rPr>
                <w:rFonts w:cs="Arial"/>
                <w:b/>
                <w:bCs/>
                <w:sz w:val="20"/>
                <w:szCs w:val="20"/>
                <w:u w:val="single"/>
              </w:rPr>
              <w:t>ταστάσεις Ζημιών σε Τρίτους – €</w:t>
            </w:r>
            <w:r w:rsidR="00662A63" w:rsidRPr="00903F89">
              <w:rPr>
                <w:rFonts w:cs="Arial"/>
                <w:b/>
                <w:bCs/>
                <w:sz w:val="20"/>
                <w:szCs w:val="20"/>
                <w:u w:val="single"/>
              </w:rPr>
              <w:t>28.000</w:t>
            </w:r>
          </w:p>
        </w:tc>
      </w:tr>
      <w:tr w:rsidR="00903F89" w:rsidRPr="00903F89" w14:paraId="27CF4528" w14:textId="77777777" w:rsidTr="00B1212B">
        <w:tc>
          <w:tcPr>
            <w:tcW w:w="4761" w:type="dxa"/>
            <w:gridSpan w:val="5"/>
            <w:shd w:val="clear" w:color="auto" w:fill="auto"/>
          </w:tcPr>
          <w:p w14:paraId="4BB3B61A" w14:textId="77777777" w:rsidR="00252B3B" w:rsidRPr="00903F89" w:rsidRDefault="00252B3B" w:rsidP="00903F89">
            <w:pPr>
              <w:jc w:val="both"/>
              <w:rPr>
                <w:rFonts w:cs="Arial"/>
                <w:b/>
                <w:sz w:val="20"/>
                <w:szCs w:val="20"/>
                <w:u w:val="single"/>
              </w:rPr>
            </w:pPr>
          </w:p>
        </w:tc>
        <w:tc>
          <w:tcPr>
            <w:tcW w:w="2606" w:type="dxa"/>
            <w:shd w:val="clear" w:color="auto" w:fill="auto"/>
          </w:tcPr>
          <w:p w14:paraId="485DD724" w14:textId="77777777" w:rsidR="00252B3B" w:rsidRPr="00903F89" w:rsidRDefault="00252B3B" w:rsidP="00903F89">
            <w:pPr>
              <w:jc w:val="both"/>
              <w:rPr>
                <w:rFonts w:cs="Arial"/>
                <w:sz w:val="20"/>
                <w:szCs w:val="20"/>
              </w:rPr>
            </w:pPr>
          </w:p>
        </w:tc>
        <w:tc>
          <w:tcPr>
            <w:tcW w:w="3433" w:type="dxa"/>
            <w:gridSpan w:val="4"/>
          </w:tcPr>
          <w:p w14:paraId="531355CC" w14:textId="77777777" w:rsidR="00252B3B" w:rsidRPr="00903F89" w:rsidRDefault="00252B3B" w:rsidP="00903F89">
            <w:pPr>
              <w:jc w:val="both"/>
              <w:rPr>
                <w:rFonts w:cs="Arial"/>
                <w:b/>
                <w:sz w:val="20"/>
                <w:szCs w:val="20"/>
                <w:u w:val="single"/>
              </w:rPr>
            </w:pPr>
          </w:p>
        </w:tc>
      </w:tr>
      <w:tr w:rsidR="00903F89" w:rsidRPr="00903F89" w14:paraId="033FE295" w14:textId="77777777" w:rsidTr="00B1212B">
        <w:tc>
          <w:tcPr>
            <w:tcW w:w="10800" w:type="dxa"/>
            <w:gridSpan w:val="10"/>
            <w:shd w:val="clear" w:color="auto" w:fill="auto"/>
          </w:tcPr>
          <w:p w14:paraId="41D42944" w14:textId="690B894A" w:rsidR="009160C4" w:rsidRPr="00903F89" w:rsidRDefault="045AFEAA" w:rsidP="00903F89">
            <w:pPr>
              <w:jc w:val="both"/>
              <w:rPr>
                <w:rFonts w:eastAsia="Arial" w:cs="Arial"/>
                <w:sz w:val="20"/>
                <w:szCs w:val="20"/>
              </w:rPr>
            </w:pPr>
            <w:r w:rsidRPr="00903F89">
              <w:rPr>
                <w:rFonts w:cs="Arial"/>
                <w:sz w:val="20"/>
                <w:szCs w:val="20"/>
              </w:rPr>
              <w:t xml:space="preserve">Η πρόνοια του άρθρου δύναται να καλύψει την καταβολή ασφαλίστρων που απορρέουν από τη σύναψη συμβολαίων με ασφαλιστικές εταιρείες για καλύψεις όλων των υπηρεσιακών μηχανοκίνητων οχημάτων έναντι τρίτων, μετά από προκήρυξη προσφοράς και δημόσιας ευθύνης, καθώς και τυχόν αποζημιώσεις για επιδιορθώσεις ή/και αποκαταστάσεις ζημιών σε τρίτους. </w:t>
            </w:r>
          </w:p>
        </w:tc>
      </w:tr>
      <w:tr w:rsidR="00903F89" w:rsidRPr="00903F89" w14:paraId="0E9E33C0" w14:textId="77777777" w:rsidTr="00B1212B">
        <w:tc>
          <w:tcPr>
            <w:tcW w:w="4761" w:type="dxa"/>
            <w:gridSpan w:val="5"/>
            <w:shd w:val="clear" w:color="auto" w:fill="auto"/>
          </w:tcPr>
          <w:p w14:paraId="1F63ACC1" w14:textId="77777777" w:rsidR="009160C4" w:rsidRPr="00903F89" w:rsidRDefault="009160C4" w:rsidP="00903F89">
            <w:pPr>
              <w:jc w:val="both"/>
              <w:rPr>
                <w:rFonts w:cs="Arial"/>
                <w:b/>
                <w:sz w:val="20"/>
                <w:szCs w:val="20"/>
                <w:u w:val="single"/>
              </w:rPr>
            </w:pPr>
          </w:p>
        </w:tc>
        <w:tc>
          <w:tcPr>
            <w:tcW w:w="2606" w:type="dxa"/>
            <w:shd w:val="clear" w:color="auto" w:fill="auto"/>
          </w:tcPr>
          <w:p w14:paraId="4DE71F7C" w14:textId="77777777" w:rsidR="009160C4" w:rsidRPr="00903F89" w:rsidRDefault="009160C4" w:rsidP="00903F89">
            <w:pPr>
              <w:jc w:val="both"/>
              <w:rPr>
                <w:rFonts w:cs="Arial"/>
                <w:sz w:val="20"/>
                <w:szCs w:val="20"/>
              </w:rPr>
            </w:pPr>
          </w:p>
        </w:tc>
        <w:tc>
          <w:tcPr>
            <w:tcW w:w="3433" w:type="dxa"/>
            <w:gridSpan w:val="4"/>
            <w:shd w:val="clear" w:color="auto" w:fill="auto"/>
          </w:tcPr>
          <w:p w14:paraId="36AFBACE" w14:textId="77777777" w:rsidR="009160C4" w:rsidRPr="00903F89" w:rsidRDefault="009160C4" w:rsidP="00903F89">
            <w:pPr>
              <w:jc w:val="both"/>
              <w:rPr>
                <w:rFonts w:cs="Arial"/>
                <w:sz w:val="20"/>
                <w:szCs w:val="20"/>
              </w:rPr>
            </w:pPr>
          </w:p>
        </w:tc>
      </w:tr>
      <w:tr w:rsidR="00903F89" w:rsidRPr="00903F89" w14:paraId="60756324" w14:textId="77777777" w:rsidTr="00B1212B">
        <w:tc>
          <w:tcPr>
            <w:tcW w:w="10800" w:type="dxa"/>
            <w:gridSpan w:val="10"/>
            <w:shd w:val="clear" w:color="auto" w:fill="auto"/>
          </w:tcPr>
          <w:p w14:paraId="071C36F7" w14:textId="23AE4B92" w:rsidR="009160C4" w:rsidRPr="00903F89" w:rsidRDefault="045AFEAA" w:rsidP="00903F89">
            <w:pPr>
              <w:jc w:val="both"/>
              <w:rPr>
                <w:rFonts w:eastAsia="Arial" w:cs="Arial"/>
                <w:sz w:val="20"/>
                <w:szCs w:val="20"/>
              </w:rPr>
            </w:pPr>
            <w:r w:rsidRPr="00903F89">
              <w:rPr>
                <w:rFonts w:cs="Arial"/>
                <w:sz w:val="20"/>
                <w:szCs w:val="20"/>
              </w:rPr>
              <w:t xml:space="preserve">Η πρόνοια του άρθρου δύναται να καλύψει την καταβολή ασφαλίστρων που απορρέουν από τη σύναψη συμβολαίων που τρέχουν, για νέες συμβάσεις που αφορούν ασφάλιστρα σε ασφαλιστικούς οργανισμούς για ευθύνη τρίτου, απώλεια περιουσίας, επαγγελματικής ευθύνης, αποφάσεις Διευθυντών και λειτουργών </w:t>
            </w:r>
            <w:r w:rsidR="00D55285" w:rsidRPr="00903F89">
              <w:rPr>
                <w:rFonts w:cs="Arial"/>
                <w:sz w:val="20"/>
                <w:szCs w:val="20"/>
              </w:rPr>
              <w:t>κ.λπ</w:t>
            </w:r>
            <w:r w:rsidRPr="00903F89">
              <w:rPr>
                <w:rFonts w:cs="Arial"/>
                <w:sz w:val="20"/>
                <w:szCs w:val="20"/>
              </w:rPr>
              <w:t>., καθώς και δαπάνες που προορίζονται να καλύψουν καταβολή αποζημιώσεων σε τρίτους σε περίπτωση πρόκλησης ζημιών με ευθύνη του Π</w:t>
            </w:r>
            <w:r w:rsidR="00DC54EE" w:rsidRPr="00903F89">
              <w:rPr>
                <w:rFonts w:cs="Arial"/>
                <w:sz w:val="20"/>
                <w:szCs w:val="20"/>
              </w:rPr>
              <w:t>ανεπιστημίου.</w:t>
            </w:r>
          </w:p>
        </w:tc>
      </w:tr>
      <w:tr w:rsidR="00903F89" w:rsidRPr="00903F89" w14:paraId="3BD6DCF7" w14:textId="77777777" w:rsidTr="00B1212B">
        <w:tc>
          <w:tcPr>
            <w:tcW w:w="4761" w:type="dxa"/>
            <w:gridSpan w:val="5"/>
          </w:tcPr>
          <w:p w14:paraId="4EDE17C3" w14:textId="77777777" w:rsidR="00BA0453" w:rsidRPr="00903F89" w:rsidRDefault="00BA0453" w:rsidP="00903F89">
            <w:pPr>
              <w:jc w:val="both"/>
              <w:rPr>
                <w:rFonts w:cs="Arial"/>
                <w:b/>
                <w:sz w:val="20"/>
                <w:szCs w:val="20"/>
                <w:u w:val="single"/>
              </w:rPr>
            </w:pPr>
          </w:p>
        </w:tc>
        <w:tc>
          <w:tcPr>
            <w:tcW w:w="2606" w:type="dxa"/>
          </w:tcPr>
          <w:p w14:paraId="39427852" w14:textId="77777777" w:rsidR="00BA0453" w:rsidRPr="00903F89" w:rsidRDefault="00BA0453" w:rsidP="00903F89">
            <w:pPr>
              <w:jc w:val="both"/>
              <w:rPr>
                <w:rFonts w:cs="Arial"/>
                <w:sz w:val="20"/>
                <w:szCs w:val="20"/>
              </w:rPr>
            </w:pPr>
          </w:p>
        </w:tc>
        <w:tc>
          <w:tcPr>
            <w:tcW w:w="3433" w:type="dxa"/>
            <w:gridSpan w:val="4"/>
          </w:tcPr>
          <w:p w14:paraId="460EAB85" w14:textId="77777777" w:rsidR="00BA0453" w:rsidRPr="00903F89" w:rsidRDefault="00BA0453" w:rsidP="00903F89">
            <w:pPr>
              <w:jc w:val="both"/>
              <w:rPr>
                <w:rFonts w:cs="Arial"/>
                <w:b/>
                <w:sz w:val="20"/>
                <w:szCs w:val="20"/>
                <w:u w:val="single"/>
              </w:rPr>
            </w:pPr>
          </w:p>
        </w:tc>
      </w:tr>
      <w:tr w:rsidR="00903F89" w:rsidRPr="00903F89" w14:paraId="377D529B" w14:textId="77777777" w:rsidTr="00B1212B">
        <w:tc>
          <w:tcPr>
            <w:tcW w:w="10800" w:type="dxa"/>
            <w:gridSpan w:val="10"/>
          </w:tcPr>
          <w:p w14:paraId="481DBA35" w14:textId="484DB10E" w:rsidR="00252B3B" w:rsidRPr="00903F89" w:rsidRDefault="045AFEAA" w:rsidP="00903F89">
            <w:pPr>
              <w:jc w:val="both"/>
              <w:rPr>
                <w:rFonts w:eastAsia="Arial" w:cs="Arial"/>
                <w:b/>
                <w:bCs/>
                <w:sz w:val="20"/>
                <w:szCs w:val="20"/>
                <w:u w:val="single"/>
              </w:rPr>
            </w:pPr>
            <w:r w:rsidRPr="00903F89">
              <w:rPr>
                <w:rFonts w:cs="Arial"/>
                <w:b/>
                <w:bCs/>
                <w:sz w:val="20"/>
                <w:szCs w:val="20"/>
                <w:u w:val="single"/>
              </w:rPr>
              <w:t>Άρθρο 350 – Κατοχύρωση Πνευματικών Δικαιωμάτων, Διπλωμάτων Ευρεσιτεχνίας κ.ά.– €</w:t>
            </w:r>
            <w:r w:rsidR="00662A63" w:rsidRPr="00903F89">
              <w:rPr>
                <w:rFonts w:cs="Arial"/>
                <w:b/>
                <w:bCs/>
                <w:sz w:val="20"/>
                <w:szCs w:val="20"/>
                <w:u w:val="single"/>
              </w:rPr>
              <w:t>27.000</w:t>
            </w:r>
          </w:p>
        </w:tc>
      </w:tr>
      <w:tr w:rsidR="00903F89" w:rsidRPr="00903F89" w14:paraId="6E60A723" w14:textId="77777777" w:rsidTr="00B1212B">
        <w:tc>
          <w:tcPr>
            <w:tcW w:w="4761" w:type="dxa"/>
            <w:gridSpan w:val="5"/>
          </w:tcPr>
          <w:p w14:paraId="2D2C2FA2" w14:textId="77777777" w:rsidR="00252B3B" w:rsidRPr="00903F89" w:rsidRDefault="00252B3B" w:rsidP="00903F89">
            <w:pPr>
              <w:jc w:val="both"/>
              <w:rPr>
                <w:rFonts w:cs="Arial"/>
                <w:b/>
                <w:sz w:val="20"/>
                <w:szCs w:val="20"/>
                <w:u w:val="single"/>
              </w:rPr>
            </w:pPr>
          </w:p>
        </w:tc>
        <w:tc>
          <w:tcPr>
            <w:tcW w:w="2606" w:type="dxa"/>
          </w:tcPr>
          <w:p w14:paraId="132C2D53" w14:textId="77777777" w:rsidR="00252B3B" w:rsidRPr="00903F89" w:rsidRDefault="00252B3B" w:rsidP="00903F89">
            <w:pPr>
              <w:jc w:val="both"/>
              <w:rPr>
                <w:rFonts w:cs="Arial"/>
                <w:sz w:val="20"/>
                <w:szCs w:val="20"/>
              </w:rPr>
            </w:pPr>
          </w:p>
        </w:tc>
        <w:tc>
          <w:tcPr>
            <w:tcW w:w="3433" w:type="dxa"/>
            <w:gridSpan w:val="4"/>
          </w:tcPr>
          <w:p w14:paraId="20D389F8" w14:textId="77777777" w:rsidR="00252B3B" w:rsidRPr="00903F89" w:rsidRDefault="00252B3B" w:rsidP="00903F89">
            <w:pPr>
              <w:jc w:val="both"/>
              <w:rPr>
                <w:rFonts w:cs="Arial"/>
                <w:b/>
                <w:sz w:val="20"/>
                <w:szCs w:val="20"/>
                <w:u w:val="single"/>
              </w:rPr>
            </w:pPr>
          </w:p>
        </w:tc>
      </w:tr>
      <w:tr w:rsidR="00903F89" w:rsidRPr="00903F89" w14:paraId="102B089A" w14:textId="77777777" w:rsidTr="00B1212B">
        <w:tc>
          <w:tcPr>
            <w:tcW w:w="10800" w:type="dxa"/>
            <w:gridSpan w:val="10"/>
          </w:tcPr>
          <w:p w14:paraId="1FC6294C" w14:textId="18568773" w:rsidR="00252B3B" w:rsidRPr="00903F89" w:rsidRDefault="008C71D7" w:rsidP="00903F89">
            <w:pPr>
              <w:jc w:val="both"/>
              <w:rPr>
                <w:rFonts w:eastAsia="Arial" w:cs="Arial"/>
                <w:b/>
                <w:bCs/>
                <w:sz w:val="20"/>
                <w:szCs w:val="20"/>
                <w:u w:val="single"/>
              </w:rPr>
            </w:pPr>
            <w:r w:rsidRPr="00903F89">
              <w:rPr>
                <w:rFonts w:eastAsia="Arial" w:cs="Arial"/>
                <w:sz w:val="20"/>
                <w:szCs w:val="20"/>
              </w:rPr>
              <w:t>Το άρθρο δημιουργήθηκε με τον Περί Προϋπολογισμού του Πανεπιστημίου Κύπρου για το 2013, Νόμο του 2013,</w:t>
            </w:r>
            <w:r w:rsidR="4407E268" w:rsidRPr="00903F89">
              <w:rPr>
                <w:rFonts w:cs="Arial"/>
                <w:sz w:val="20"/>
                <w:szCs w:val="20"/>
              </w:rPr>
              <w:t xml:space="preserve"> έναντι κατάργησης του Άρθρου 509 «Δαπάνες από Έσοδα στο πλαίσιο Κατοχύρωσης Πνευματικών Δικαιωμάτων, Διπλωμάτων Ευρεσιτεχνίας κ.ά.», προς συμμόρφωση επί των παρατηρήσεων της Ελεγκτικής Υπηρεσίας που αναφέρονται σε επιστολή προς το </w:t>
            </w:r>
            <w:r w:rsidR="001030B5" w:rsidRPr="00903F89">
              <w:rPr>
                <w:rFonts w:cs="Arial"/>
                <w:sz w:val="20"/>
                <w:szCs w:val="20"/>
              </w:rPr>
              <w:t xml:space="preserve">Υπουργείο Παιδείας, </w:t>
            </w:r>
            <w:r w:rsidR="4407E268" w:rsidRPr="00903F89">
              <w:rPr>
                <w:rFonts w:cs="Arial"/>
                <w:sz w:val="20"/>
                <w:szCs w:val="20"/>
              </w:rPr>
              <w:t>Πολιτισμού</w:t>
            </w:r>
            <w:r w:rsidR="001030B5" w:rsidRPr="00903F89">
              <w:rPr>
                <w:rFonts w:cs="Arial"/>
                <w:sz w:val="20"/>
                <w:szCs w:val="20"/>
              </w:rPr>
              <w:t>, Αθλητισμού και Νεολαίας</w:t>
            </w:r>
            <w:r w:rsidR="4407E268" w:rsidRPr="00903F89">
              <w:rPr>
                <w:rFonts w:cs="Arial"/>
                <w:sz w:val="20"/>
                <w:szCs w:val="20"/>
              </w:rPr>
              <w:t xml:space="preserve"> ημερ. 21/12/2010.</w:t>
            </w:r>
          </w:p>
        </w:tc>
      </w:tr>
      <w:tr w:rsidR="00903F89" w:rsidRPr="00903F89" w14:paraId="5C92DF58" w14:textId="77777777" w:rsidTr="00B1212B">
        <w:tc>
          <w:tcPr>
            <w:tcW w:w="10800" w:type="dxa"/>
            <w:gridSpan w:val="10"/>
          </w:tcPr>
          <w:p w14:paraId="262E62D9" w14:textId="77777777" w:rsidR="00325300" w:rsidRPr="00903F89" w:rsidRDefault="00325300" w:rsidP="00903F89">
            <w:pPr>
              <w:jc w:val="both"/>
              <w:rPr>
                <w:rFonts w:cs="Arial"/>
                <w:sz w:val="20"/>
                <w:szCs w:val="20"/>
              </w:rPr>
            </w:pPr>
          </w:p>
        </w:tc>
      </w:tr>
      <w:tr w:rsidR="00903F89" w:rsidRPr="00903F89" w14:paraId="69AF5559" w14:textId="77777777" w:rsidTr="00B1212B">
        <w:tc>
          <w:tcPr>
            <w:tcW w:w="10800" w:type="dxa"/>
            <w:gridSpan w:val="10"/>
          </w:tcPr>
          <w:p w14:paraId="364E01FF" w14:textId="02329201" w:rsidR="00252B3B" w:rsidRPr="00903F89" w:rsidRDefault="045AFEAA" w:rsidP="00903F89">
            <w:pPr>
              <w:jc w:val="both"/>
              <w:rPr>
                <w:rFonts w:eastAsia="Arial" w:cs="Arial"/>
                <w:b/>
                <w:bCs/>
                <w:sz w:val="20"/>
                <w:szCs w:val="20"/>
                <w:u w:val="single"/>
              </w:rPr>
            </w:pPr>
            <w:r w:rsidRPr="00903F89">
              <w:rPr>
                <w:rFonts w:cs="Arial"/>
                <w:b/>
                <w:bCs/>
                <w:sz w:val="20"/>
                <w:szCs w:val="20"/>
                <w:u w:val="single"/>
              </w:rPr>
              <w:t>Άρθρο 351 – Παροχή Υποτροφιών – €</w:t>
            </w:r>
            <w:r w:rsidR="000F7284" w:rsidRPr="00903F89">
              <w:rPr>
                <w:rFonts w:cs="Arial"/>
                <w:b/>
                <w:bCs/>
                <w:sz w:val="20"/>
                <w:szCs w:val="20"/>
                <w:u w:val="single"/>
              </w:rPr>
              <w:t>1.794.215</w:t>
            </w:r>
          </w:p>
        </w:tc>
      </w:tr>
      <w:tr w:rsidR="00903F89" w:rsidRPr="00903F89" w14:paraId="05654D2E" w14:textId="77777777" w:rsidTr="00B1212B">
        <w:tc>
          <w:tcPr>
            <w:tcW w:w="4761" w:type="dxa"/>
            <w:gridSpan w:val="5"/>
          </w:tcPr>
          <w:p w14:paraId="0389E07D" w14:textId="77777777" w:rsidR="00252B3B" w:rsidRPr="00903F89" w:rsidRDefault="00252B3B" w:rsidP="00903F89">
            <w:pPr>
              <w:jc w:val="both"/>
              <w:rPr>
                <w:rFonts w:cs="Arial"/>
                <w:b/>
                <w:sz w:val="20"/>
                <w:szCs w:val="20"/>
                <w:u w:val="single"/>
              </w:rPr>
            </w:pPr>
          </w:p>
        </w:tc>
        <w:tc>
          <w:tcPr>
            <w:tcW w:w="2606" w:type="dxa"/>
          </w:tcPr>
          <w:p w14:paraId="5B75BF13" w14:textId="77777777" w:rsidR="00252B3B" w:rsidRPr="00903F89" w:rsidRDefault="00252B3B" w:rsidP="00903F89">
            <w:pPr>
              <w:jc w:val="both"/>
              <w:rPr>
                <w:rFonts w:cs="Arial"/>
                <w:sz w:val="20"/>
                <w:szCs w:val="20"/>
              </w:rPr>
            </w:pPr>
          </w:p>
        </w:tc>
        <w:tc>
          <w:tcPr>
            <w:tcW w:w="3433" w:type="dxa"/>
            <w:gridSpan w:val="4"/>
          </w:tcPr>
          <w:p w14:paraId="4F30276D" w14:textId="77777777" w:rsidR="00252B3B" w:rsidRPr="00903F89" w:rsidRDefault="00252B3B" w:rsidP="00903F89">
            <w:pPr>
              <w:jc w:val="both"/>
              <w:rPr>
                <w:rFonts w:cs="Arial"/>
                <w:b/>
                <w:sz w:val="20"/>
                <w:szCs w:val="20"/>
                <w:u w:val="single"/>
              </w:rPr>
            </w:pPr>
          </w:p>
        </w:tc>
      </w:tr>
      <w:tr w:rsidR="00903F89" w:rsidRPr="00903F89" w14:paraId="54529934" w14:textId="77777777" w:rsidTr="00B1212B">
        <w:tc>
          <w:tcPr>
            <w:tcW w:w="10800" w:type="dxa"/>
            <w:gridSpan w:val="10"/>
          </w:tcPr>
          <w:p w14:paraId="2F0B01D8" w14:textId="6BB7ACE3" w:rsidR="00252B3B" w:rsidRPr="00903F89" w:rsidRDefault="4407E268" w:rsidP="00903F89">
            <w:pPr>
              <w:jc w:val="both"/>
              <w:rPr>
                <w:rFonts w:eastAsia="Arial" w:cs="Arial"/>
                <w:b/>
                <w:bCs/>
                <w:sz w:val="20"/>
                <w:szCs w:val="20"/>
                <w:u w:val="single"/>
              </w:rPr>
            </w:pPr>
            <w:r w:rsidRPr="00903F89">
              <w:rPr>
                <w:rFonts w:cs="Arial"/>
                <w:sz w:val="20"/>
                <w:szCs w:val="20"/>
              </w:rPr>
              <w:t xml:space="preserve">Το άρθρο δημιουργήθηκε έναντι κατάργησης του Άρθρου 513 «Δαπάνες από Έσοδα για Παροχή Υποτροφιών», προς συμμόρφωση επί των παρατηρήσεων της Ελεγκτικής Υπηρεσίας που αναφέρονται σε επιστολή προς το Υπουργείο Παιδείας </w:t>
            </w:r>
            <w:r w:rsidR="001030B5" w:rsidRPr="00903F89">
              <w:rPr>
                <w:rFonts w:cs="Arial"/>
                <w:sz w:val="20"/>
                <w:szCs w:val="20"/>
              </w:rPr>
              <w:t xml:space="preserve">Πολιτισμού, Αθλητισμού και Νεολαίας </w:t>
            </w:r>
            <w:r w:rsidRPr="00903F89">
              <w:rPr>
                <w:rFonts w:cs="Arial"/>
                <w:sz w:val="20"/>
                <w:szCs w:val="20"/>
              </w:rPr>
              <w:t>ημερ. 21/12/2010.</w:t>
            </w:r>
          </w:p>
        </w:tc>
      </w:tr>
      <w:tr w:rsidR="00903F89" w:rsidRPr="00903F89" w14:paraId="5519C541" w14:textId="77777777" w:rsidTr="00B1212B">
        <w:tc>
          <w:tcPr>
            <w:tcW w:w="4761" w:type="dxa"/>
            <w:gridSpan w:val="5"/>
          </w:tcPr>
          <w:p w14:paraId="43E19C41" w14:textId="77777777" w:rsidR="00252B3B" w:rsidRPr="00903F89" w:rsidRDefault="00252B3B" w:rsidP="00903F89">
            <w:pPr>
              <w:jc w:val="both"/>
              <w:rPr>
                <w:rFonts w:cs="Arial"/>
                <w:b/>
                <w:sz w:val="20"/>
                <w:szCs w:val="20"/>
                <w:u w:val="single"/>
              </w:rPr>
            </w:pPr>
          </w:p>
        </w:tc>
        <w:tc>
          <w:tcPr>
            <w:tcW w:w="2606" w:type="dxa"/>
          </w:tcPr>
          <w:p w14:paraId="4134342B" w14:textId="77777777" w:rsidR="00252B3B" w:rsidRPr="00903F89" w:rsidRDefault="00252B3B" w:rsidP="00903F89">
            <w:pPr>
              <w:jc w:val="both"/>
              <w:rPr>
                <w:rFonts w:cs="Arial"/>
                <w:sz w:val="20"/>
                <w:szCs w:val="20"/>
              </w:rPr>
            </w:pPr>
          </w:p>
        </w:tc>
        <w:tc>
          <w:tcPr>
            <w:tcW w:w="3433" w:type="dxa"/>
            <w:gridSpan w:val="4"/>
          </w:tcPr>
          <w:p w14:paraId="0AC22533" w14:textId="77777777" w:rsidR="00252B3B" w:rsidRPr="00903F89" w:rsidRDefault="00252B3B" w:rsidP="00903F89">
            <w:pPr>
              <w:jc w:val="both"/>
              <w:rPr>
                <w:rFonts w:cs="Arial"/>
                <w:b/>
                <w:sz w:val="20"/>
                <w:szCs w:val="20"/>
                <w:u w:val="single"/>
              </w:rPr>
            </w:pPr>
          </w:p>
        </w:tc>
      </w:tr>
      <w:tr w:rsidR="00903F89" w:rsidRPr="00903F89" w14:paraId="4A853355" w14:textId="77777777" w:rsidTr="00B1212B">
        <w:tc>
          <w:tcPr>
            <w:tcW w:w="10800" w:type="dxa"/>
            <w:gridSpan w:val="10"/>
          </w:tcPr>
          <w:p w14:paraId="1E1FF19F" w14:textId="1738A0E9" w:rsidR="00252B3B" w:rsidRPr="00903F89" w:rsidRDefault="045AFEAA" w:rsidP="00903F89">
            <w:pPr>
              <w:jc w:val="both"/>
              <w:rPr>
                <w:rFonts w:eastAsia="Arial" w:cs="Arial"/>
                <w:b/>
                <w:bCs/>
                <w:sz w:val="20"/>
                <w:szCs w:val="20"/>
                <w:u w:val="single"/>
              </w:rPr>
            </w:pPr>
            <w:r w:rsidRPr="00903F89">
              <w:rPr>
                <w:rFonts w:cs="Arial"/>
                <w:sz w:val="20"/>
                <w:szCs w:val="20"/>
              </w:rPr>
              <w:t>Η πρόνοια προορίζεται να καλύψει δαπάνες του Πανεπιστημίου Κύπρου για κάλυψη των υποτροφιών που παραχωρήθηκαν ή/και θα παραχωρηθούν σε μεταπτυχιακούς φοιτητές και διδακτορικούς φοιτητές του Πανεπιστημίου, από τη Σχολή Μεταπτυχιακών Σπουδών, τα Τμήματα του Πανεπιστημίου, και τα αυτοχρηματοδοτούμενα Μεταπτυχιακά Προγράμματα.  Όλες οι σχετικές δαπάνες στο άρθρο καλύπτονται από άλλες εισπράξεις (εκτός κρατικής χορηγίας).</w:t>
            </w:r>
          </w:p>
        </w:tc>
      </w:tr>
      <w:tr w:rsidR="00903F89" w:rsidRPr="00903F89" w14:paraId="55739C1F" w14:textId="77777777" w:rsidTr="00B1212B">
        <w:tc>
          <w:tcPr>
            <w:tcW w:w="10800" w:type="dxa"/>
            <w:gridSpan w:val="10"/>
          </w:tcPr>
          <w:p w14:paraId="24E08C50" w14:textId="77777777" w:rsidR="00B13B95" w:rsidRPr="00903F89" w:rsidRDefault="00B13B95" w:rsidP="00903F89">
            <w:pPr>
              <w:jc w:val="both"/>
              <w:rPr>
                <w:rFonts w:cs="Arial"/>
                <w:sz w:val="20"/>
                <w:szCs w:val="20"/>
              </w:rPr>
            </w:pPr>
          </w:p>
        </w:tc>
      </w:tr>
      <w:tr w:rsidR="00903F89" w:rsidRPr="00903F89" w14:paraId="42F9F479" w14:textId="77777777" w:rsidTr="00B1212B">
        <w:tc>
          <w:tcPr>
            <w:tcW w:w="10800" w:type="dxa"/>
            <w:gridSpan w:val="10"/>
            <w:shd w:val="clear" w:color="auto" w:fill="auto"/>
          </w:tcPr>
          <w:p w14:paraId="627BD07B" w14:textId="4FF0942F" w:rsidR="00B13B95" w:rsidRPr="00903F89" w:rsidRDefault="00B13B95" w:rsidP="00903F89">
            <w:pPr>
              <w:jc w:val="both"/>
              <w:rPr>
                <w:rFonts w:cs="Arial"/>
                <w:sz w:val="20"/>
                <w:szCs w:val="20"/>
              </w:rPr>
            </w:pPr>
            <w:r w:rsidRPr="00903F89">
              <w:rPr>
                <w:rFonts w:cs="Arial"/>
                <w:sz w:val="20"/>
                <w:szCs w:val="20"/>
              </w:rPr>
              <w:t xml:space="preserve">Η πρόνοια του άρθρου δύναται </w:t>
            </w:r>
            <w:r w:rsidR="0047093A" w:rsidRPr="00903F89">
              <w:rPr>
                <w:rFonts w:cs="Arial"/>
                <w:sz w:val="20"/>
                <w:szCs w:val="20"/>
              </w:rPr>
              <w:t xml:space="preserve">επίσης </w:t>
            </w:r>
            <w:r w:rsidRPr="00903F89">
              <w:rPr>
                <w:rFonts w:cs="Arial"/>
                <w:sz w:val="20"/>
                <w:szCs w:val="20"/>
              </w:rPr>
              <w:t xml:space="preserve">να καλύψει </w:t>
            </w:r>
            <w:r w:rsidR="00A07262" w:rsidRPr="00903F89">
              <w:rPr>
                <w:rFonts w:cs="Arial"/>
                <w:sz w:val="20"/>
                <w:szCs w:val="20"/>
              </w:rPr>
              <w:t xml:space="preserve">μέχρι </w:t>
            </w:r>
            <w:r w:rsidRPr="00903F89">
              <w:rPr>
                <w:rFonts w:cs="Arial"/>
                <w:sz w:val="20"/>
                <w:szCs w:val="20"/>
              </w:rPr>
              <w:t xml:space="preserve">πέντε υποτροφίες, ύψους €3.000, στους πρώτους επιτυχόντες των </w:t>
            </w:r>
            <w:proofErr w:type="spellStart"/>
            <w:r w:rsidR="00A07262" w:rsidRPr="00903F89">
              <w:rPr>
                <w:rFonts w:cs="Arial"/>
                <w:sz w:val="20"/>
                <w:szCs w:val="20"/>
              </w:rPr>
              <w:t>π</w:t>
            </w:r>
            <w:r w:rsidRPr="00903F89">
              <w:rPr>
                <w:rFonts w:cs="Arial"/>
                <w:sz w:val="20"/>
                <w:szCs w:val="20"/>
              </w:rPr>
              <w:t>αγκύπριων</w:t>
            </w:r>
            <w:proofErr w:type="spellEnd"/>
            <w:r w:rsidRPr="00903F89">
              <w:rPr>
                <w:rFonts w:cs="Arial"/>
                <w:sz w:val="20"/>
                <w:szCs w:val="20"/>
              </w:rPr>
              <w:t xml:space="preserve"> </w:t>
            </w:r>
            <w:r w:rsidR="00A07262" w:rsidRPr="00903F89">
              <w:rPr>
                <w:rFonts w:cs="Arial"/>
                <w:sz w:val="20"/>
                <w:szCs w:val="20"/>
              </w:rPr>
              <w:t>ε</w:t>
            </w:r>
            <w:r w:rsidRPr="00903F89">
              <w:rPr>
                <w:rFonts w:cs="Arial"/>
                <w:sz w:val="20"/>
                <w:szCs w:val="20"/>
              </w:rPr>
              <w:t xml:space="preserve">ξετάσεων </w:t>
            </w:r>
            <w:r w:rsidR="00D05C69" w:rsidRPr="00903F89">
              <w:rPr>
                <w:rFonts w:cs="Arial"/>
                <w:sz w:val="20"/>
                <w:szCs w:val="20"/>
              </w:rPr>
              <w:t>ανά</w:t>
            </w:r>
            <w:r w:rsidRPr="00903F89">
              <w:rPr>
                <w:rFonts w:cs="Arial"/>
                <w:sz w:val="20"/>
                <w:szCs w:val="20"/>
              </w:rPr>
              <w:t xml:space="preserve"> πρόγραμμα σπουδών, νοουμένου ότι η βαθμολογία </w:t>
            </w:r>
            <w:r w:rsidR="00D05C69" w:rsidRPr="00903F89">
              <w:rPr>
                <w:rFonts w:cs="Arial"/>
                <w:sz w:val="20"/>
                <w:szCs w:val="20"/>
              </w:rPr>
              <w:t xml:space="preserve">που εξασφάλισαν δεν είναι χαμηλότερη από 18,5 </w:t>
            </w:r>
            <w:bookmarkStart w:id="52" w:name="_Hlk87949653"/>
            <w:r w:rsidR="00D05C69" w:rsidRPr="00903F89">
              <w:rPr>
                <w:rFonts w:cs="Arial"/>
                <w:sz w:val="20"/>
                <w:szCs w:val="20"/>
              </w:rPr>
              <w:t>(</w:t>
            </w:r>
            <w:r w:rsidR="00C530A2" w:rsidRPr="00903F89">
              <w:rPr>
                <w:rFonts w:cs="Arial"/>
                <w:sz w:val="20"/>
                <w:szCs w:val="20"/>
              </w:rPr>
              <w:t xml:space="preserve">Απόφαση Συμβουλίου, </w:t>
            </w:r>
            <w:r w:rsidR="00D05C69" w:rsidRPr="00903F89">
              <w:rPr>
                <w:rFonts w:cs="Arial"/>
                <w:sz w:val="20"/>
                <w:szCs w:val="20"/>
              </w:rPr>
              <w:t>Συνεδρία Αρ. 03/2019, ημερ. 08/04/201</w:t>
            </w:r>
            <w:r w:rsidR="00131BBD" w:rsidRPr="00903F89">
              <w:rPr>
                <w:rFonts w:cs="Arial"/>
                <w:sz w:val="20"/>
                <w:szCs w:val="20"/>
              </w:rPr>
              <w:t>9</w:t>
            </w:r>
            <w:r w:rsidR="00D05C69" w:rsidRPr="00903F89">
              <w:rPr>
                <w:rFonts w:cs="Arial"/>
                <w:sz w:val="20"/>
                <w:szCs w:val="20"/>
              </w:rPr>
              <w:t>)</w:t>
            </w:r>
            <w:bookmarkEnd w:id="52"/>
            <w:r w:rsidR="00D05C69" w:rsidRPr="00903F89">
              <w:rPr>
                <w:rFonts w:cs="Arial"/>
                <w:sz w:val="20"/>
                <w:szCs w:val="20"/>
              </w:rPr>
              <w:t>.</w:t>
            </w:r>
          </w:p>
        </w:tc>
      </w:tr>
      <w:tr w:rsidR="00903F89" w:rsidRPr="00903F89" w14:paraId="4EF7899A" w14:textId="77777777" w:rsidTr="00B1212B">
        <w:tc>
          <w:tcPr>
            <w:tcW w:w="10800" w:type="dxa"/>
            <w:gridSpan w:val="10"/>
          </w:tcPr>
          <w:p w14:paraId="23C4C648" w14:textId="77777777" w:rsidR="008230C1" w:rsidRPr="00903F89" w:rsidRDefault="008230C1" w:rsidP="00903F89">
            <w:pPr>
              <w:jc w:val="both"/>
              <w:rPr>
                <w:rFonts w:cs="Arial"/>
                <w:sz w:val="20"/>
                <w:szCs w:val="20"/>
              </w:rPr>
            </w:pPr>
          </w:p>
        </w:tc>
      </w:tr>
      <w:tr w:rsidR="00903F89" w:rsidRPr="00903F89" w14:paraId="10BFC505" w14:textId="77777777" w:rsidTr="00B1212B">
        <w:tc>
          <w:tcPr>
            <w:tcW w:w="10800" w:type="dxa"/>
            <w:gridSpan w:val="10"/>
            <w:shd w:val="clear" w:color="auto" w:fill="auto"/>
          </w:tcPr>
          <w:p w14:paraId="4967088C" w14:textId="1192E6A7" w:rsidR="008230C1" w:rsidRPr="00903F89" w:rsidRDefault="045AFEAA" w:rsidP="00903F89">
            <w:pPr>
              <w:jc w:val="both"/>
              <w:rPr>
                <w:rFonts w:eastAsia="Arial" w:cs="Arial"/>
                <w:sz w:val="20"/>
                <w:szCs w:val="20"/>
              </w:rPr>
            </w:pPr>
            <w:r w:rsidRPr="00903F89">
              <w:rPr>
                <w:rFonts w:cs="Arial"/>
                <w:sz w:val="20"/>
                <w:szCs w:val="20"/>
              </w:rPr>
              <w:t>Από το συγκεκριμένο άρθρο δύναται επίσης να καλυφθούν υποτροφίες που εγκρίνονται σε μη Ευρωπαίους προπτυχιακούς φοιτητές.</w:t>
            </w:r>
          </w:p>
        </w:tc>
      </w:tr>
      <w:tr w:rsidR="00903F89" w:rsidRPr="00903F89" w14:paraId="1A02FC80" w14:textId="77777777" w:rsidTr="00B1212B">
        <w:tc>
          <w:tcPr>
            <w:tcW w:w="4761" w:type="dxa"/>
            <w:gridSpan w:val="5"/>
          </w:tcPr>
          <w:p w14:paraId="1EFB81A2" w14:textId="77777777" w:rsidR="00252B3B" w:rsidRPr="00903F89" w:rsidRDefault="00252B3B" w:rsidP="00903F89">
            <w:pPr>
              <w:jc w:val="both"/>
              <w:rPr>
                <w:rFonts w:cs="Arial"/>
                <w:b/>
                <w:sz w:val="20"/>
                <w:szCs w:val="20"/>
                <w:u w:val="single"/>
              </w:rPr>
            </w:pPr>
          </w:p>
        </w:tc>
        <w:tc>
          <w:tcPr>
            <w:tcW w:w="2606" w:type="dxa"/>
            <w:shd w:val="clear" w:color="auto" w:fill="auto"/>
          </w:tcPr>
          <w:p w14:paraId="31A8F3A7" w14:textId="77777777" w:rsidR="00252B3B" w:rsidRPr="00903F89" w:rsidRDefault="00252B3B" w:rsidP="00903F89">
            <w:pPr>
              <w:jc w:val="both"/>
              <w:rPr>
                <w:rFonts w:cs="Arial"/>
                <w:sz w:val="20"/>
                <w:szCs w:val="20"/>
              </w:rPr>
            </w:pPr>
          </w:p>
        </w:tc>
        <w:tc>
          <w:tcPr>
            <w:tcW w:w="3433" w:type="dxa"/>
            <w:gridSpan w:val="4"/>
            <w:shd w:val="clear" w:color="auto" w:fill="auto"/>
          </w:tcPr>
          <w:p w14:paraId="3998124E" w14:textId="515B3F52" w:rsidR="00252B3B" w:rsidRPr="00903F89" w:rsidRDefault="00252B3B" w:rsidP="00903F89">
            <w:pPr>
              <w:jc w:val="both"/>
              <w:rPr>
                <w:rFonts w:cs="Arial"/>
                <w:b/>
                <w:sz w:val="20"/>
                <w:szCs w:val="20"/>
                <w:u w:val="single"/>
              </w:rPr>
            </w:pPr>
          </w:p>
        </w:tc>
      </w:tr>
      <w:tr w:rsidR="00903F89" w:rsidRPr="00903F89" w14:paraId="1A321BC5" w14:textId="77777777" w:rsidTr="00B1212B">
        <w:tc>
          <w:tcPr>
            <w:tcW w:w="10800" w:type="dxa"/>
            <w:gridSpan w:val="10"/>
            <w:shd w:val="clear" w:color="auto" w:fill="auto"/>
          </w:tcPr>
          <w:p w14:paraId="2394B009" w14:textId="05855457" w:rsidR="00252B3B" w:rsidRPr="00903F89" w:rsidRDefault="00C530A2" w:rsidP="00903F89">
            <w:pPr>
              <w:jc w:val="both"/>
              <w:rPr>
                <w:rFonts w:eastAsia="Arial" w:cs="Arial"/>
                <w:b/>
                <w:bCs/>
                <w:sz w:val="20"/>
                <w:szCs w:val="20"/>
                <w:u w:val="single"/>
              </w:rPr>
            </w:pPr>
            <w:r w:rsidRPr="00903F89">
              <w:rPr>
                <w:rFonts w:cs="Arial"/>
                <w:sz w:val="20"/>
                <w:szCs w:val="20"/>
              </w:rPr>
              <w:t>Επίσης, σε συνέχεια εσωτερικής απόφασης (Απόφαση Συμβουλίου, 206</w:t>
            </w:r>
            <w:r w:rsidRPr="00903F89">
              <w:rPr>
                <w:rFonts w:cs="Arial"/>
                <w:sz w:val="20"/>
                <w:szCs w:val="20"/>
                <w:vertAlign w:val="superscript"/>
              </w:rPr>
              <w:t>η</w:t>
            </w:r>
            <w:r w:rsidRPr="00903F89">
              <w:rPr>
                <w:rFonts w:cs="Arial"/>
                <w:sz w:val="20"/>
                <w:szCs w:val="20"/>
              </w:rPr>
              <w:t xml:space="preserve"> Συνεδρία, ημερ. 10/09/2012)</w:t>
            </w:r>
            <w:r w:rsidR="045AFEAA" w:rsidRPr="00903F89">
              <w:rPr>
                <w:rFonts w:cs="Arial"/>
                <w:sz w:val="20"/>
                <w:szCs w:val="20"/>
              </w:rPr>
              <w:t xml:space="preserve">, ο Προϋπολογισμός του </w:t>
            </w:r>
            <w:r w:rsidR="00461367" w:rsidRPr="00903F89">
              <w:rPr>
                <w:rFonts w:cs="Arial"/>
                <w:sz w:val="20"/>
                <w:szCs w:val="20"/>
              </w:rPr>
              <w:t xml:space="preserve">Πανεπιστημίου Κύπρου </w:t>
            </w:r>
            <w:r w:rsidR="045AFEAA" w:rsidRPr="00903F89">
              <w:rPr>
                <w:rFonts w:cs="Arial"/>
                <w:sz w:val="20"/>
                <w:szCs w:val="20"/>
              </w:rPr>
              <w:t>περιέλαβε πρόνοια για τη χρηματοδότηση του Προγράμματος «Νέοι Ερευνητές», σύμφωνα με την αναθεωρημένη Πολιτική του Προγράμματος (</w:t>
            </w:r>
            <w:bookmarkStart w:id="53" w:name="_Hlk87949694"/>
            <w:r w:rsidR="00333915" w:rsidRPr="00903F89">
              <w:rPr>
                <w:rFonts w:cs="Arial"/>
                <w:sz w:val="20"/>
                <w:szCs w:val="20"/>
              </w:rPr>
              <w:t xml:space="preserve"> Απόφαση Επιτροπής Προσωπικού και Κανονισμών</w:t>
            </w:r>
            <w:r w:rsidR="00333915">
              <w:rPr>
                <w:rFonts w:cs="Arial"/>
                <w:sz w:val="20"/>
                <w:szCs w:val="20"/>
              </w:rPr>
              <w:t xml:space="preserve"> του Συμβουλίου</w:t>
            </w:r>
            <w:r w:rsidRPr="00903F89">
              <w:rPr>
                <w:rFonts w:cs="Arial"/>
                <w:sz w:val="20"/>
                <w:szCs w:val="20"/>
              </w:rPr>
              <w:t>,</w:t>
            </w:r>
            <w:r w:rsidR="045AFEAA" w:rsidRPr="00903F89">
              <w:rPr>
                <w:rFonts w:cs="Arial"/>
                <w:sz w:val="20"/>
                <w:szCs w:val="20"/>
              </w:rPr>
              <w:t xml:space="preserve"> 276</w:t>
            </w:r>
            <w:r w:rsidR="045AFEAA" w:rsidRPr="00903F89">
              <w:rPr>
                <w:rFonts w:cs="Arial"/>
                <w:sz w:val="20"/>
                <w:szCs w:val="20"/>
                <w:vertAlign w:val="superscript"/>
              </w:rPr>
              <w:t>η</w:t>
            </w:r>
            <w:r w:rsidR="045AFEAA" w:rsidRPr="00903F89">
              <w:rPr>
                <w:rFonts w:cs="Arial"/>
                <w:sz w:val="20"/>
                <w:szCs w:val="20"/>
              </w:rPr>
              <w:t xml:space="preserve"> Συνεδρία</w:t>
            </w:r>
            <w:r w:rsidR="004C56E7" w:rsidRPr="00903F89">
              <w:rPr>
                <w:rFonts w:cs="Arial"/>
                <w:sz w:val="20"/>
                <w:szCs w:val="20"/>
              </w:rPr>
              <w:t>, ημερ. 13/05/2015</w:t>
            </w:r>
            <w:r w:rsidR="045AFEAA" w:rsidRPr="00903F89">
              <w:rPr>
                <w:rFonts w:cs="Arial"/>
                <w:sz w:val="20"/>
                <w:szCs w:val="20"/>
              </w:rPr>
              <w:t xml:space="preserve">) </w:t>
            </w:r>
            <w:bookmarkEnd w:id="53"/>
            <w:r w:rsidR="045AFEAA" w:rsidRPr="00903F89">
              <w:rPr>
                <w:rFonts w:cs="Arial"/>
                <w:sz w:val="20"/>
                <w:szCs w:val="20"/>
              </w:rPr>
              <w:t>ως εξής:</w:t>
            </w:r>
          </w:p>
        </w:tc>
      </w:tr>
      <w:tr w:rsidR="00903F89" w:rsidRPr="00903F89" w14:paraId="4F32ECDB" w14:textId="77777777" w:rsidTr="00B1212B">
        <w:tc>
          <w:tcPr>
            <w:tcW w:w="4761" w:type="dxa"/>
            <w:gridSpan w:val="5"/>
            <w:shd w:val="clear" w:color="auto" w:fill="auto"/>
          </w:tcPr>
          <w:p w14:paraId="3750CA8C" w14:textId="77777777" w:rsidR="00284F20" w:rsidRPr="00903F89" w:rsidRDefault="00284F20" w:rsidP="00903F89">
            <w:pPr>
              <w:jc w:val="both"/>
              <w:rPr>
                <w:rFonts w:cs="Arial"/>
                <w:b/>
                <w:sz w:val="20"/>
                <w:szCs w:val="20"/>
                <w:u w:val="single"/>
              </w:rPr>
            </w:pPr>
          </w:p>
        </w:tc>
        <w:tc>
          <w:tcPr>
            <w:tcW w:w="6039" w:type="dxa"/>
            <w:gridSpan w:val="5"/>
            <w:shd w:val="clear" w:color="auto" w:fill="auto"/>
          </w:tcPr>
          <w:p w14:paraId="43668617" w14:textId="7CAC7B6F" w:rsidR="00284F20" w:rsidRPr="00903F89" w:rsidRDefault="00284F20" w:rsidP="00903F89">
            <w:pPr>
              <w:jc w:val="both"/>
              <w:rPr>
                <w:rFonts w:cs="Arial"/>
                <w:b/>
                <w:sz w:val="20"/>
                <w:szCs w:val="20"/>
                <w:u w:val="single"/>
              </w:rPr>
            </w:pPr>
          </w:p>
        </w:tc>
      </w:tr>
      <w:tr w:rsidR="00903F89" w:rsidRPr="00903F89" w14:paraId="6822933F" w14:textId="77777777" w:rsidTr="00B1212B">
        <w:tc>
          <w:tcPr>
            <w:tcW w:w="10800" w:type="dxa"/>
            <w:gridSpan w:val="10"/>
            <w:shd w:val="clear" w:color="auto" w:fill="auto"/>
          </w:tcPr>
          <w:p w14:paraId="39CA8D01" w14:textId="3656FE5E" w:rsidR="00284F20" w:rsidRPr="00903F89" w:rsidRDefault="00284F20" w:rsidP="00903F89">
            <w:pPr>
              <w:ind w:left="426" w:hanging="426"/>
              <w:jc w:val="both"/>
              <w:rPr>
                <w:rFonts w:eastAsia="Arial" w:cs="Arial"/>
                <w:sz w:val="20"/>
                <w:szCs w:val="20"/>
              </w:rPr>
            </w:pPr>
            <w:r w:rsidRPr="00903F89">
              <w:rPr>
                <w:rFonts w:cs="Arial"/>
                <w:sz w:val="20"/>
                <w:szCs w:val="20"/>
              </w:rPr>
              <w:t>(α)</w:t>
            </w:r>
            <w:r w:rsidRPr="00903F89">
              <w:rPr>
                <w:rFonts w:cs="Arial"/>
                <w:sz w:val="20"/>
                <w:szCs w:val="20"/>
              </w:rPr>
              <w:tab/>
              <w:t>στο Άρθρο 1</w:t>
            </w:r>
            <w:r w:rsidR="00FF2718" w:rsidRPr="00903F89">
              <w:rPr>
                <w:rFonts w:cs="Arial"/>
                <w:sz w:val="20"/>
                <w:szCs w:val="20"/>
              </w:rPr>
              <w:t>1-1</w:t>
            </w:r>
            <w:r w:rsidRPr="00903F89">
              <w:rPr>
                <w:rFonts w:cs="Arial"/>
                <w:sz w:val="20"/>
                <w:szCs w:val="20"/>
              </w:rPr>
              <w:t>02 «Συνεργάτες Καθηγητές/Επιστημονικοί Συνεργάτες, Μεταπτυχιακοί Συνεργάτες, Μεταδιδακτορικοί και Άλλοι Ερευνητές», πρόνοια για την εργοδότηση με σύμβαση για την εκτέλεση εξειδικευμένου ερευνητικού και διδακτικού έργου υπό την ευθύνη μέλους Ακαδημαϊκού Προσωπικού, και</w:t>
            </w:r>
          </w:p>
          <w:p w14:paraId="68D509C0" w14:textId="77777777" w:rsidR="00E14446" w:rsidRPr="00903F89" w:rsidRDefault="00E14446" w:rsidP="00903F89">
            <w:pPr>
              <w:ind w:left="426" w:hanging="426"/>
              <w:jc w:val="both"/>
              <w:rPr>
                <w:rFonts w:cs="Arial"/>
                <w:sz w:val="20"/>
                <w:szCs w:val="20"/>
              </w:rPr>
            </w:pPr>
          </w:p>
          <w:p w14:paraId="47DC43D1" w14:textId="01D21FB6" w:rsidR="00284F20" w:rsidRPr="00903F89" w:rsidRDefault="00284F20" w:rsidP="00903F89">
            <w:pPr>
              <w:ind w:left="459" w:hanging="425"/>
              <w:jc w:val="both"/>
              <w:rPr>
                <w:rFonts w:eastAsia="Arial" w:cs="Arial"/>
                <w:b/>
                <w:bCs/>
                <w:sz w:val="20"/>
                <w:szCs w:val="20"/>
                <w:u w:val="single"/>
              </w:rPr>
            </w:pPr>
            <w:r w:rsidRPr="00903F89">
              <w:rPr>
                <w:rFonts w:cs="Arial"/>
                <w:sz w:val="20"/>
                <w:szCs w:val="20"/>
              </w:rPr>
              <w:t>(β)</w:t>
            </w:r>
            <w:r w:rsidRPr="00903F89">
              <w:rPr>
                <w:rFonts w:cs="Arial"/>
                <w:sz w:val="20"/>
                <w:szCs w:val="20"/>
              </w:rPr>
              <w:tab/>
              <w:t>στο Άρθρο 351 «Παροχή Υποτροφιών» πρόνοια για την παροχή υποτροφιών σε διδακτορικούς φοιτητές του Πανεπιστημίου Κύπρου, για την εκτέλεση εξειδικευμένου ερευνητικού και διδακτικού έργου υπό την ευθύνη μέλους Ακαδημαϊκού Προσωπικού</w:t>
            </w:r>
          </w:p>
        </w:tc>
      </w:tr>
      <w:tr w:rsidR="00903F89" w:rsidRPr="00903F89" w14:paraId="232F85F5" w14:textId="77777777" w:rsidTr="00B1212B">
        <w:tc>
          <w:tcPr>
            <w:tcW w:w="10800" w:type="dxa"/>
            <w:gridSpan w:val="10"/>
          </w:tcPr>
          <w:p w14:paraId="06F5EA70" w14:textId="77777777" w:rsidR="00252B3B" w:rsidRPr="00903F89" w:rsidRDefault="00252B3B" w:rsidP="00903F89">
            <w:pPr>
              <w:ind w:left="426" w:hanging="426"/>
              <w:jc w:val="both"/>
              <w:rPr>
                <w:rFonts w:cs="Arial"/>
                <w:sz w:val="20"/>
                <w:szCs w:val="20"/>
              </w:rPr>
            </w:pPr>
          </w:p>
        </w:tc>
      </w:tr>
      <w:tr w:rsidR="00903F89" w:rsidRPr="00903F89" w14:paraId="4A4E56B8" w14:textId="77777777" w:rsidTr="00B1212B">
        <w:tc>
          <w:tcPr>
            <w:tcW w:w="10800" w:type="dxa"/>
            <w:gridSpan w:val="10"/>
            <w:shd w:val="clear" w:color="auto" w:fill="auto"/>
          </w:tcPr>
          <w:p w14:paraId="142D679E" w14:textId="77777777" w:rsidR="00C00885" w:rsidRPr="00903F89" w:rsidRDefault="009D45CE" w:rsidP="00903F89">
            <w:pPr>
              <w:jc w:val="both"/>
              <w:rPr>
                <w:rFonts w:cs="Arial"/>
                <w:sz w:val="20"/>
                <w:szCs w:val="20"/>
              </w:rPr>
            </w:pPr>
            <w:r w:rsidRPr="00903F89">
              <w:rPr>
                <w:rFonts w:cs="Arial"/>
                <w:sz w:val="20"/>
                <w:szCs w:val="20"/>
              </w:rPr>
              <w:t>Η πρόνοια προορίζεται επίσης να καλύψει την</w:t>
            </w:r>
            <w:r w:rsidR="00C00885" w:rsidRPr="00903F89">
              <w:rPr>
                <w:rFonts w:cs="Arial"/>
                <w:sz w:val="20"/>
                <w:szCs w:val="20"/>
              </w:rPr>
              <w:t>:</w:t>
            </w:r>
          </w:p>
          <w:p w14:paraId="5117A4AB" w14:textId="77777777" w:rsidR="00C00885" w:rsidRPr="00903F89" w:rsidRDefault="00C00885" w:rsidP="00903F89">
            <w:pPr>
              <w:jc w:val="both"/>
              <w:rPr>
                <w:rFonts w:cs="Arial"/>
                <w:sz w:val="20"/>
                <w:szCs w:val="20"/>
              </w:rPr>
            </w:pPr>
          </w:p>
          <w:p w14:paraId="20F5F540" w14:textId="7702017A" w:rsidR="00544646" w:rsidRPr="00903F89" w:rsidRDefault="00C00885" w:rsidP="00903F89">
            <w:pPr>
              <w:jc w:val="both"/>
              <w:rPr>
                <w:rFonts w:cs="Arial"/>
                <w:sz w:val="20"/>
                <w:szCs w:val="20"/>
              </w:rPr>
            </w:pPr>
            <w:r w:rsidRPr="00903F89">
              <w:rPr>
                <w:rFonts w:cs="Arial"/>
                <w:sz w:val="20"/>
                <w:szCs w:val="20"/>
              </w:rPr>
              <w:t>(α)</w:t>
            </w:r>
            <w:r w:rsidR="00444EA5" w:rsidRPr="00903F89">
              <w:rPr>
                <w:rFonts w:cs="Arial"/>
                <w:sz w:val="20"/>
                <w:szCs w:val="20"/>
              </w:rPr>
              <w:t xml:space="preserve"> </w:t>
            </w:r>
            <w:r w:rsidR="009D45CE" w:rsidRPr="00903F89">
              <w:rPr>
                <w:rFonts w:cs="Arial"/>
                <w:sz w:val="20"/>
                <w:szCs w:val="20"/>
              </w:rPr>
              <w:t>παραχώρηση τεσσάρων (4) υποτροφιών γ</w:t>
            </w:r>
            <w:r w:rsidR="00544646" w:rsidRPr="00903F89">
              <w:rPr>
                <w:rFonts w:cs="Arial"/>
                <w:sz w:val="20"/>
                <w:szCs w:val="20"/>
              </w:rPr>
              <w:t>ια φοίτηση του προσωπικού του Υπουργείου Άμυνας και της Εθνικής Φρουράς</w:t>
            </w:r>
            <w:r w:rsidR="009D45CE" w:rsidRPr="00903F89">
              <w:rPr>
                <w:rFonts w:cs="Arial"/>
                <w:sz w:val="20"/>
                <w:szCs w:val="20"/>
              </w:rPr>
              <w:t xml:space="preserve">, </w:t>
            </w:r>
            <w:bookmarkStart w:id="54" w:name="_Hlk87949712"/>
            <w:r w:rsidR="009D45CE" w:rsidRPr="00903F89">
              <w:rPr>
                <w:rFonts w:cs="Arial"/>
                <w:sz w:val="20"/>
                <w:szCs w:val="20"/>
              </w:rPr>
              <w:t>(</w:t>
            </w:r>
            <w:r w:rsidR="00C530A2" w:rsidRPr="00903F89">
              <w:rPr>
                <w:rFonts w:cs="Arial"/>
                <w:sz w:val="20"/>
                <w:szCs w:val="20"/>
              </w:rPr>
              <w:t xml:space="preserve">Απόφαση Συμβουλίου, </w:t>
            </w:r>
            <w:r w:rsidR="009D45CE" w:rsidRPr="00903F89">
              <w:rPr>
                <w:rFonts w:cs="Arial"/>
                <w:sz w:val="20"/>
                <w:szCs w:val="20"/>
              </w:rPr>
              <w:t>Συνεδρία Αρ. 13/2016</w:t>
            </w:r>
            <w:r w:rsidR="00131BBD" w:rsidRPr="00903F89">
              <w:rPr>
                <w:rFonts w:cs="Arial"/>
                <w:sz w:val="20"/>
                <w:szCs w:val="20"/>
              </w:rPr>
              <w:t>, ημερ. 03/10/2016</w:t>
            </w:r>
            <w:r w:rsidR="009D45CE" w:rsidRPr="00903F89">
              <w:rPr>
                <w:rFonts w:cs="Arial"/>
                <w:sz w:val="20"/>
                <w:szCs w:val="20"/>
              </w:rPr>
              <w:t>)</w:t>
            </w:r>
            <w:bookmarkEnd w:id="54"/>
            <w:r w:rsidR="00C530A2" w:rsidRPr="00903F89">
              <w:rPr>
                <w:rFonts w:cs="Arial"/>
                <w:sz w:val="20"/>
                <w:szCs w:val="20"/>
              </w:rPr>
              <w:t>,</w:t>
            </w:r>
          </w:p>
          <w:p w14:paraId="21A30CDC" w14:textId="77777777" w:rsidR="006D0B66" w:rsidRPr="00903F89" w:rsidRDefault="006D0B66" w:rsidP="00903F89">
            <w:pPr>
              <w:jc w:val="both"/>
              <w:rPr>
                <w:rFonts w:cs="Arial"/>
                <w:sz w:val="20"/>
                <w:szCs w:val="20"/>
              </w:rPr>
            </w:pPr>
          </w:p>
          <w:p w14:paraId="49EDA042" w14:textId="703386BD" w:rsidR="006D0B66" w:rsidRPr="00903F89" w:rsidRDefault="006D0B66" w:rsidP="00903F89">
            <w:pPr>
              <w:jc w:val="both"/>
              <w:rPr>
                <w:rFonts w:cs="Arial"/>
                <w:sz w:val="20"/>
                <w:szCs w:val="20"/>
              </w:rPr>
            </w:pPr>
            <w:r w:rsidRPr="00903F89">
              <w:rPr>
                <w:rFonts w:cs="Arial"/>
                <w:sz w:val="20"/>
                <w:szCs w:val="20"/>
              </w:rPr>
              <w:t xml:space="preserve">(β) παραχώρηση μίας υποτροφίας εις μνήμη του τέως Υπουργού Άμυνας Τάσου Μητσόπουλου στη βάση της υπογραφής Μνημονίου Συνεργασίας μεταξύ </w:t>
            </w:r>
            <w:r w:rsidR="00444EA5" w:rsidRPr="00903F89">
              <w:rPr>
                <w:rFonts w:cs="Arial"/>
                <w:sz w:val="20"/>
                <w:szCs w:val="20"/>
              </w:rPr>
              <w:t>Πανεπιστημίου Κύπρου</w:t>
            </w:r>
            <w:r w:rsidRPr="00903F89">
              <w:rPr>
                <w:rFonts w:cs="Arial"/>
                <w:sz w:val="20"/>
                <w:szCs w:val="20"/>
              </w:rPr>
              <w:t xml:space="preserve"> και Υπουργείου Άμυνας.</w:t>
            </w:r>
          </w:p>
          <w:p w14:paraId="3C29E862" w14:textId="77777777" w:rsidR="006D0B66" w:rsidRPr="00903F89" w:rsidRDefault="006D0B66" w:rsidP="00903F89">
            <w:pPr>
              <w:jc w:val="both"/>
              <w:rPr>
                <w:rFonts w:cs="Arial"/>
                <w:sz w:val="20"/>
                <w:szCs w:val="20"/>
              </w:rPr>
            </w:pPr>
          </w:p>
          <w:p w14:paraId="2EC4BA5D" w14:textId="42608FB4" w:rsidR="006D0B66" w:rsidRPr="00903F89" w:rsidRDefault="006D0B66" w:rsidP="00903F89">
            <w:pPr>
              <w:jc w:val="both"/>
              <w:rPr>
                <w:rFonts w:cs="Arial"/>
                <w:sz w:val="20"/>
                <w:szCs w:val="20"/>
              </w:rPr>
            </w:pPr>
            <w:r w:rsidRPr="00903F89">
              <w:rPr>
                <w:rFonts w:cs="Arial"/>
                <w:sz w:val="20"/>
                <w:szCs w:val="20"/>
              </w:rPr>
              <w:t xml:space="preserve">(γ) παραχώρηση τεσσάρων (4) υποτροφιών σε μεταπτυχιακούς φοιτητές από την Κένυα στη βάση της υπογραφής Μνημονίου Συνεργασίας μεταξύ </w:t>
            </w:r>
            <w:r w:rsidR="00795701" w:rsidRPr="00903F89">
              <w:rPr>
                <w:rFonts w:cs="Arial"/>
                <w:sz w:val="20"/>
                <w:szCs w:val="20"/>
              </w:rPr>
              <w:t xml:space="preserve">του Πανεπιστημίου Κύπρου </w:t>
            </w:r>
            <w:r w:rsidRPr="00903F89">
              <w:rPr>
                <w:rFonts w:cs="Arial"/>
                <w:sz w:val="20"/>
                <w:szCs w:val="20"/>
              </w:rPr>
              <w:t xml:space="preserve">και </w:t>
            </w:r>
            <w:r w:rsidR="00795701" w:rsidRPr="00903F89">
              <w:rPr>
                <w:rFonts w:cs="Arial"/>
                <w:sz w:val="20"/>
                <w:szCs w:val="20"/>
              </w:rPr>
              <w:t xml:space="preserve">του </w:t>
            </w:r>
            <w:r w:rsidRPr="00903F89">
              <w:rPr>
                <w:rFonts w:cs="Arial"/>
                <w:sz w:val="20"/>
                <w:szCs w:val="20"/>
              </w:rPr>
              <w:t>Ορθόδοξου Κολλεγίου Δασκάλων Κένυας.</w:t>
            </w:r>
          </w:p>
          <w:p w14:paraId="4C2E558E" w14:textId="77777777" w:rsidR="006D0B66" w:rsidRPr="00903F89" w:rsidRDefault="006D0B66" w:rsidP="00903F89">
            <w:pPr>
              <w:jc w:val="both"/>
              <w:rPr>
                <w:rFonts w:cs="Arial"/>
                <w:sz w:val="20"/>
                <w:szCs w:val="20"/>
              </w:rPr>
            </w:pPr>
          </w:p>
          <w:p w14:paraId="6A7CA18C" w14:textId="73130910" w:rsidR="006D0B66" w:rsidRPr="00903F89" w:rsidRDefault="006D0B66" w:rsidP="00903F89">
            <w:pPr>
              <w:jc w:val="both"/>
              <w:rPr>
                <w:rFonts w:cs="Arial"/>
                <w:sz w:val="20"/>
                <w:szCs w:val="20"/>
              </w:rPr>
            </w:pPr>
            <w:r w:rsidRPr="00903F89">
              <w:rPr>
                <w:rFonts w:cs="Arial"/>
                <w:sz w:val="20"/>
                <w:szCs w:val="20"/>
              </w:rPr>
              <w:t xml:space="preserve">(δ) παραχώρηση είκοσι πέντε (25) υποτροφιών σε Κύπριους Απόδημους (7 υποτροφίες σε Συμβατικά προγράμματα και 18 υποτροφίες σε αυτοχρηματοδοτούμενα προγράμματα) </w:t>
            </w:r>
            <w:bookmarkStart w:id="55" w:name="_Hlk87949737"/>
            <w:r w:rsidRPr="00903F89">
              <w:rPr>
                <w:rFonts w:cs="Arial"/>
                <w:sz w:val="20"/>
                <w:szCs w:val="20"/>
              </w:rPr>
              <w:t>(</w:t>
            </w:r>
            <w:r w:rsidR="00C530A2" w:rsidRPr="00903F89">
              <w:rPr>
                <w:rFonts w:cs="Arial"/>
                <w:sz w:val="20"/>
                <w:szCs w:val="20"/>
              </w:rPr>
              <w:t xml:space="preserve">Απόφαση Συμβουλίου, </w:t>
            </w:r>
            <w:r w:rsidRPr="00903F89">
              <w:rPr>
                <w:rFonts w:cs="Arial"/>
                <w:sz w:val="20"/>
                <w:szCs w:val="20"/>
              </w:rPr>
              <w:t>Συνεδρία Αρ. 3/2019</w:t>
            </w:r>
            <w:bookmarkEnd w:id="55"/>
            <w:r w:rsidR="00131BBD" w:rsidRPr="00903F89">
              <w:rPr>
                <w:rFonts w:cs="Arial"/>
                <w:sz w:val="20"/>
                <w:szCs w:val="20"/>
              </w:rPr>
              <w:t>, ημερ. 08/04/2019</w:t>
            </w:r>
            <w:r w:rsidRPr="00903F89">
              <w:rPr>
                <w:rFonts w:cs="Arial"/>
                <w:sz w:val="20"/>
                <w:szCs w:val="20"/>
              </w:rPr>
              <w:t>).</w:t>
            </w:r>
          </w:p>
        </w:tc>
      </w:tr>
      <w:tr w:rsidR="00903F89" w:rsidRPr="00903F89" w14:paraId="2021CBC7" w14:textId="77777777" w:rsidTr="00B1212B">
        <w:trPr>
          <w:trHeight w:val="55"/>
        </w:trPr>
        <w:tc>
          <w:tcPr>
            <w:tcW w:w="10800" w:type="dxa"/>
            <w:gridSpan w:val="10"/>
            <w:shd w:val="clear" w:color="auto" w:fill="auto"/>
          </w:tcPr>
          <w:p w14:paraId="430B35F5" w14:textId="77777777" w:rsidR="00163FEA" w:rsidRPr="00903F89" w:rsidRDefault="00163FEA" w:rsidP="00903F89">
            <w:pPr>
              <w:jc w:val="both"/>
              <w:rPr>
                <w:rFonts w:cs="Arial"/>
                <w:sz w:val="20"/>
                <w:szCs w:val="20"/>
              </w:rPr>
            </w:pPr>
          </w:p>
        </w:tc>
      </w:tr>
      <w:tr w:rsidR="00903F89" w:rsidRPr="00903F89" w14:paraId="777E048E" w14:textId="77777777" w:rsidTr="00B1212B">
        <w:tc>
          <w:tcPr>
            <w:tcW w:w="10800" w:type="dxa"/>
            <w:gridSpan w:val="10"/>
            <w:shd w:val="clear" w:color="auto" w:fill="auto"/>
          </w:tcPr>
          <w:p w14:paraId="364E5E22" w14:textId="782B06D8" w:rsidR="0036054D" w:rsidRPr="00903F89" w:rsidRDefault="000F7284" w:rsidP="00903F89">
            <w:pPr>
              <w:jc w:val="both"/>
              <w:rPr>
                <w:rFonts w:cs="Arial"/>
                <w:sz w:val="20"/>
                <w:szCs w:val="20"/>
              </w:rPr>
            </w:pPr>
            <w:r w:rsidRPr="00903F89">
              <w:rPr>
                <w:rFonts w:cs="Arial"/>
                <w:sz w:val="20"/>
                <w:szCs w:val="20"/>
              </w:rPr>
              <w:t>Η πρόνοια καλύπτει τις</w:t>
            </w:r>
            <w:r w:rsidR="0036054D" w:rsidRPr="00903F89">
              <w:rPr>
                <w:rFonts w:cs="Arial"/>
                <w:sz w:val="20"/>
                <w:szCs w:val="20"/>
              </w:rPr>
              <w:t xml:space="preserve"> δαπάνες </w:t>
            </w:r>
            <w:r w:rsidR="001F3B20" w:rsidRPr="00903F89">
              <w:rPr>
                <w:rFonts w:cs="Arial"/>
                <w:sz w:val="20"/>
                <w:szCs w:val="20"/>
              </w:rPr>
              <w:t>που αφορούν σ</w:t>
            </w:r>
            <w:r w:rsidR="0036054D" w:rsidRPr="00903F89">
              <w:rPr>
                <w:rFonts w:cs="Arial"/>
                <w:sz w:val="20"/>
                <w:szCs w:val="20"/>
              </w:rPr>
              <w:t>την παραχώρηση υποτροφιών με βάση το σχέδιο «Ευαγόρας» και «Πράξανδρος».  Τα συγκεκριμένα σχέδια παροχής υποτροφιών αφορούν νέους φοιτητές που εισάγονται σε μεταπτυχιακά προγράμματα σπουδών (επιπέδου Διδακτορικού και Μάστερ) ή σε φοιτητές που φοιτούν ήδη σε συγκεκριμένο διδακτορικό πρόγραμμα σπουδών του Πανεπιστημίου.  Όλες οι δαπάνες που εμπίπτουν στο παρόν άρθρο χρηματοδοτούνται από άλλες εισπράξεις (εκτός κρατικής χορηγίας).</w:t>
            </w:r>
          </w:p>
        </w:tc>
      </w:tr>
      <w:tr w:rsidR="00903F89" w:rsidRPr="00903F89" w14:paraId="5A7D63A3" w14:textId="77777777" w:rsidTr="00B1212B">
        <w:tc>
          <w:tcPr>
            <w:tcW w:w="10800" w:type="dxa"/>
            <w:gridSpan w:val="10"/>
            <w:shd w:val="clear" w:color="auto" w:fill="auto"/>
          </w:tcPr>
          <w:p w14:paraId="495845DF" w14:textId="77777777" w:rsidR="007353AA" w:rsidRPr="00903F89" w:rsidRDefault="007353AA" w:rsidP="00903F89">
            <w:pPr>
              <w:jc w:val="both"/>
              <w:rPr>
                <w:rFonts w:cs="Arial"/>
                <w:sz w:val="20"/>
                <w:szCs w:val="20"/>
              </w:rPr>
            </w:pPr>
          </w:p>
        </w:tc>
      </w:tr>
      <w:tr w:rsidR="00903F89" w:rsidRPr="00903F89" w14:paraId="1B9EC434" w14:textId="77777777" w:rsidTr="00B1212B">
        <w:trPr>
          <w:trHeight w:val="243"/>
        </w:trPr>
        <w:tc>
          <w:tcPr>
            <w:tcW w:w="10800" w:type="dxa"/>
            <w:gridSpan w:val="10"/>
            <w:shd w:val="clear" w:color="auto" w:fill="auto"/>
          </w:tcPr>
          <w:p w14:paraId="03FCFDBC" w14:textId="4996B530" w:rsidR="00252B3B" w:rsidRPr="00903F89" w:rsidRDefault="045AFEAA" w:rsidP="00903F89">
            <w:pPr>
              <w:jc w:val="both"/>
              <w:rPr>
                <w:rFonts w:eastAsia="Arial" w:cs="Arial"/>
                <w:b/>
                <w:bCs/>
                <w:sz w:val="20"/>
                <w:szCs w:val="20"/>
                <w:u w:val="single"/>
              </w:rPr>
            </w:pPr>
            <w:r w:rsidRPr="00903F89">
              <w:rPr>
                <w:rFonts w:cs="Arial"/>
                <w:b/>
                <w:bCs/>
                <w:sz w:val="20"/>
                <w:szCs w:val="20"/>
                <w:u w:val="single"/>
              </w:rPr>
              <w:t xml:space="preserve">Άρθρο 352 – Διάφορα – </w:t>
            </w:r>
            <w:r w:rsidR="000F7284" w:rsidRPr="00903F89">
              <w:rPr>
                <w:rFonts w:cs="Arial"/>
                <w:b/>
                <w:bCs/>
                <w:sz w:val="20"/>
                <w:szCs w:val="20"/>
                <w:u w:val="single"/>
              </w:rPr>
              <w:t>€51.470</w:t>
            </w:r>
          </w:p>
        </w:tc>
      </w:tr>
      <w:tr w:rsidR="00903F89" w:rsidRPr="00903F89" w14:paraId="542F8B56" w14:textId="77777777" w:rsidTr="00B1212B">
        <w:tc>
          <w:tcPr>
            <w:tcW w:w="4761" w:type="dxa"/>
            <w:gridSpan w:val="5"/>
            <w:shd w:val="clear" w:color="auto" w:fill="auto"/>
          </w:tcPr>
          <w:p w14:paraId="072A90D7" w14:textId="77777777" w:rsidR="00252B3B" w:rsidRPr="00903F89" w:rsidRDefault="00252B3B" w:rsidP="00903F89">
            <w:pPr>
              <w:jc w:val="both"/>
              <w:rPr>
                <w:rFonts w:cs="Arial"/>
                <w:b/>
                <w:sz w:val="20"/>
                <w:szCs w:val="20"/>
                <w:u w:val="single"/>
              </w:rPr>
            </w:pPr>
          </w:p>
        </w:tc>
        <w:tc>
          <w:tcPr>
            <w:tcW w:w="2606" w:type="dxa"/>
            <w:shd w:val="clear" w:color="auto" w:fill="auto"/>
          </w:tcPr>
          <w:p w14:paraId="07034B05" w14:textId="77777777" w:rsidR="00252B3B" w:rsidRPr="00903F89" w:rsidRDefault="00252B3B" w:rsidP="00903F89">
            <w:pPr>
              <w:jc w:val="both"/>
              <w:rPr>
                <w:rFonts w:cs="Arial"/>
                <w:sz w:val="20"/>
                <w:szCs w:val="20"/>
              </w:rPr>
            </w:pPr>
          </w:p>
        </w:tc>
        <w:tc>
          <w:tcPr>
            <w:tcW w:w="3433" w:type="dxa"/>
            <w:gridSpan w:val="4"/>
            <w:shd w:val="clear" w:color="auto" w:fill="auto"/>
          </w:tcPr>
          <w:p w14:paraId="2461BA29" w14:textId="77777777" w:rsidR="00252B3B" w:rsidRPr="00903F89" w:rsidRDefault="00252B3B" w:rsidP="00903F89">
            <w:pPr>
              <w:ind w:right="77"/>
              <w:jc w:val="both"/>
              <w:rPr>
                <w:rFonts w:cs="Arial"/>
                <w:b/>
                <w:sz w:val="20"/>
                <w:szCs w:val="20"/>
                <w:u w:val="single"/>
              </w:rPr>
            </w:pPr>
          </w:p>
        </w:tc>
      </w:tr>
      <w:tr w:rsidR="00903F89" w:rsidRPr="00903F89" w14:paraId="4D186E70" w14:textId="77777777" w:rsidTr="00B1212B">
        <w:tc>
          <w:tcPr>
            <w:tcW w:w="10800" w:type="dxa"/>
            <w:gridSpan w:val="10"/>
            <w:shd w:val="clear" w:color="auto" w:fill="auto"/>
          </w:tcPr>
          <w:p w14:paraId="6DE6DF7B" w14:textId="72C15363" w:rsidR="00252B3B" w:rsidRPr="00903F89" w:rsidRDefault="045AFEAA" w:rsidP="00903F89">
            <w:pPr>
              <w:jc w:val="both"/>
              <w:rPr>
                <w:rFonts w:eastAsia="Arial" w:cs="Arial"/>
                <w:b/>
                <w:bCs/>
                <w:sz w:val="20"/>
                <w:szCs w:val="20"/>
                <w:u w:val="single"/>
              </w:rPr>
            </w:pPr>
            <w:r w:rsidRPr="00903F89">
              <w:rPr>
                <w:rFonts w:cs="Arial"/>
                <w:sz w:val="20"/>
                <w:szCs w:val="20"/>
              </w:rPr>
              <w:t xml:space="preserve">Το ποσό αυτό προορίζεται να καλύψει διάφορες γενικές διαχειριστικές δαπάνες που δεν εμπίπτουν στα άρθρα 341 – 351 και 353 </w:t>
            </w:r>
            <w:r w:rsidRPr="00903F89">
              <w:rPr>
                <w:rFonts w:eastAsia="Arial" w:cs="Arial"/>
                <w:sz w:val="20"/>
                <w:szCs w:val="20"/>
              </w:rPr>
              <w:t>–</w:t>
            </w:r>
            <w:r w:rsidRPr="00903F89">
              <w:rPr>
                <w:rFonts w:cs="Arial"/>
                <w:sz w:val="20"/>
                <w:szCs w:val="20"/>
              </w:rPr>
              <w:t xml:space="preserve"> 356, συμπεριλαμβανομένου της αγοράς αναμνηστικών</w:t>
            </w:r>
            <w:r w:rsidRPr="00903F89">
              <w:rPr>
                <w:rFonts w:eastAsia="Arial" w:cs="Arial"/>
                <w:sz w:val="20"/>
                <w:szCs w:val="20"/>
              </w:rPr>
              <w:t xml:space="preserve"> </w:t>
            </w:r>
            <w:r w:rsidRPr="00903F89">
              <w:rPr>
                <w:rFonts w:cs="Arial"/>
                <w:sz w:val="20"/>
                <w:szCs w:val="20"/>
              </w:rPr>
              <w:t>προϊόντων του Πανεπιστημίου Κύπρου</w:t>
            </w:r>
            <w:r w:rsidRPr="00903F89">
              <w:rPr>
                <w:rFonts w:eastAsia="Arial" w:cs="Arial"/>
                <w:sz w:val="20"/>
                <w:szCs w:val="20"/>
              </w:rPr>
              <w:t>.</w:t>
            </w:r>
          </w:p>
        </w:tc>
      </w:tr>
      <w:tr w:rsidR="00903F89" w:rsidRPr="00903F89" w14:paraId="1DD356D5" w14:textId="77777777" w:rsidTr="00B1212B">
        <w:tc>
          <w:tcPr>
            <w:tcW w:w="10800" w:type="dxa"/>
            <w:gridSpan w:val="10"/>
            <w:shd w:val="clear" w:color="auto" w:fill="auto"/>
          </w:tcPr>
          <w:p w14:paraId="295E32E5" w14:textId="77777777" w:rsidR="009F19FF" w:rsidRPr="00903F89" w:rsidRDefault="009F19FF" w:rsidP="00903F89">
            <w:pPr>
              <w:jc w:val="both"/>
              <w:rPr>
                <w:rFonts w:cs="Arial"/>
                <w:sz w:val="20"/>
                <w:szCs w:val="20"/>
              </w:rPr>
            </w:pPr>
          </w:p>
        </w:tc>
      </w:tr>
      <w:tr w:rsidR="00903F89" w:rsidRPr="00903F89" w14:paraId="674D32AA" w14:textId="77777777" w:rsidTr="00B1212B">
        <w:tc>
          <w:tcPr>
            <w:tcW w:w="10800" w:type="dxa"/>
            <w:gridSpan w:val="10"/>
            <w:shd w:val="clear" w:color="auto" w:fill="auto"/>
          </w:tcPr>
          <w:p w14:paraId="0D17DB85" w14:textId="74116465" w:rsidR="00252B3B" w:rsidRPr="00903F89" w:rsidRDefault="4407E268" w:rsidP="00903F89">
            <w:pPr>
              <w:jc w:val="both"/>
              <w:rPr>
                <w:rFonts w:eastAsia="Arial" w:cs="Arial"/>
                <w:b/>
                <w:bCs/>
                <w:sz w:val="20"/>
                <w:szCs w:val="20"/>
                <w:u w:val="single"/>
              </w:rPr>
            </w:pPr>
            <w:r w:rsidRPr="00903F89">
              <w:rPr>
                <w:rFonts w:cs="Arial"/>
                <w:sz w:val="20"/>
                <w:szCs w:val="20"/>
              </w:rPr>
              <w:t xml:space="preserve">Πρόνοια για διάφορες διαχειριστικές δαπάνες οι οποίες δεν καλύπτονται από τα υπόλοιπα άρθρα </w:t>
            </w:r>
            <w:r w:rsidR="00D054C1" w:rsidRPr="00903F89">
              <w:rPr>
                <w:rFonts w:cs="Arial"/>
                <w:sz w:val="20"/>
                <w:szCs w:val="20"/>
              </w:rPr>
              <w:t xml:space="preserve">της Ομάδας 300 </w:t>
            </w:r>
            <w:r w:rsidRPr="00903F89">
              <w:rPr>
                <w:rFonts w:cs="Arial"/>
                <w:sz w:val="20"/>
                <w:szCs w:val="20"/>
              </w:rPr>
              <w:t xml:space="preserve">αναμένεται να χρηματοδοτηθούν από άλλες εισπράξεις (εκτός κρατικής χορηγίας) (συμπεριλαμβανομένου των αυτοχρηματοδοτούμενων Μεταπτυχιακών Προγραμμάτων, Τμημάτων, Ερευνητικών Μονάδων), δαπάνες που αφορούν στην Ιατρική Σχολή, ενώ ενδέχεται να καλύψει και δαπάνες </w:t>
            </w:r>
            <w:r w:rsidR="000349D4" w:rsidRPr="00903F89">
              <w:rPr>
                <w:rFonts w:cs="Arial"/>
                <w:sz w:val="20"/>
                <w:szCs w:val="20"/>
              </w:rPr>
              <w:t>Προγράμματος Παιδαγωγικής Κατάρτισης Υποψηφίων Εκπαιδευτικών Λειτουργών Μέσης Γενικής και Μέσης Τεχνικής και Επαγγελματικής Εκπαίδευσης</w:t>
            </w:r>
            <w:r w:rsidRPr="00903F89">
              <w:rPr>
                <w:rFonts w:cs="Arial"/>
                <w:sz w:val="20"/>
                <w:szCs w:val="20"/>
              </w:rPr>
              <w:t xml:space="preserve"> από εισπράξεις που ήδη πραγματοποιήθηκαν για το σκοπό αυτό.</w:t>
            </w:r>
          </w:p>
        </w:tc>
      </w:tr>
      <w:tr w:rsidR="00903F89" w:rsidRPr="00903F89" w14:paraId="26C0F646" w14:textId="77777777" w:rsidTr="00B1212B">
        <w:tc>
          <w:tcPr>
            <w:tcW w:w="10800" w:type="dxa"/>
            <w:gridSpan w:val="10"/>
            <w:shd w:val="clear" w:color="auto" w:fill="auto"/>
          </w:tcPr>
          <w:p w14:paraId="387CCC93" w14:textId="77777777" w:rsidR="00FF6102" w:rsidRPr="00903F89" w:rsidRDefault="00FF6102" w:rsidP="00903F89">
            <w:pPr>
              <w:jc w:val="both"/>
              <w:rPr>
                <w:rFonts w:cs="Arial"/>
                <w:sz w:val="20"/>
                <w:szCs w:val="20"/>
              </w:rPr>
            </w:pPr>
          </w:p>
        </w:tc>
      </w:tr>
      <w:tr w:rsidR="00903F89" w:rsidRPr="00903F89" w14:paraId="6E20E76E" w14:textId="77777777" w:rsidTr="00B1212B">
        <w:tc>
          <w:tcPr>
            <w:tcW w:w="10800" w:type="dxa"/>
            <w:gridSpan w:val="10"/>
          </w:tcPr>
          <w:p w14:paraId="0C853A79" w14:textId="040A2E09"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353 – Βραβεία/Βοηθήματα– €247.345</w:t>
            </w:r>
          </w:p>
        </w:tc>
      </w:tr>
      <w:tr w:rsidR="00903F89" w:rsidRPr="00903F89" w14:paraId="234817F9" w14:textId="77777777" w:rsidTr="00B1212B">
        <w:tc>
          <w:tcPr>
            <w:tcW w:w="4761" w:type="dxa"/>
            <w:gridSpan w:val="5"/>
          </w:tcPr>
          <w:p w14:paraId="303E9D0C" w14:textId="77777777" w:rsidR="00FF6102" w:rsidRPr="00903F89" w:rsidRDefault="00FF6102" w:rsidP="00903F89">
            <w:pPr>
              <w:jc w:val="both"/>
              <w:rPr>
                <w:rFonts w:cs="Arial"/>
                <w:b/>
                <w:sz w:val="20"/>
                <w:szCs w:val="20"/>
                <w:u w:val="single"/>
              </w:rPr>
            </w:pPr>
          </w:p>
        </w:tc>
        <w:tc>
          <w:tcPr>
            <w:tcW w:w="2606" w:type="dxa"/>
          </w:tcPr>
          <w:p w14:paraId="6D1BA4EE" w14:textId="77777777" w:rsidR="00FF6102" w:rsidRPr="00903F89" w:rsidRDefault="00FF6102" w:rsidP="00903F89">
            <w:pPr>
              <w:jc w:val="both"/>
              <w:rPr>
                <w:rFonts w:cs="Arial"/>
                <w:sz w:val="20"/>
                <w:szCs w:val="20"/>
              </w:rPr>
            </w:pPr>
          </w:p>
        </w:tc>
        <w:tc>
          <w:tcPr>
            <w:tcW w:w="3433" w:type="dxa"/>
            <w:gridSpan w:val="4"/>
          </w:tcPr>
          <w:p w14:paraId="58933AEA" w14:textId="77777777" w:rsidR="00FF6102" w:rsidRPr="00903F89" w:rsidRDefault="00FF6102" w:rsidP="00903F89">
            <w:pPr>
              <w:jc w:val="both"/>
              <w:rPr>
                <w:rFonts w:cs="Arial"/>
                <w:b/>
                <w:sz w:val="20"/>
                <w:szCs w:val="20"/>
                <w:u w:val="single"/>
              </w:rPr>
            </w:pPr>
          </w:p>
        </w:tc>
      </w:tr>
      <w:tr w:rsidR="00903F89" w:rsidRPr="00903F89" w14:paraId="634F6E40" w14:textId="77777777" w:rsidTr="00B1212B">
        <w:tc>
          <w:tcPr>
            <w:tcW w:w="10800" w:type="dxa"/>
            <w:gridSpan w:val="10"/>
          </w:tcPr>
          <w:p w14:paraId="7118E67E" w14:textId="2CB22250" w:rsidR="00FF6102" w:rsidRPr="00903F89" w:rsidRDefault="00FF6102" w:rsidP="00903F89">
            <w:pPr>
              <w:jc w:val="both"/>
              <w:rPr>
                <w:rFonts w:eastAsia="Arial" w:cs="Arial"/>
                <w:b/>
                <w:bCs/>
                <w:sz w:val="20"/>
                <w:szCs w:val="20"/>
                <w:u w:val="single"/>
              </w:rPr>
            </w:pPr>
            <w:r w:rsidRPr="00903F89">
              <w:rPr>
                <w:rFonts w:cs="Arial"/>
                <w:sz w:val="20"/>
                <w:szCs w:val="20"/>
              </w:rPr>
              <w:t>Το άρθρο δημιουργήθηκε με τον Περί Προϋπολογισμού του Πανεπιστημίου Κύπρου για το 2014, Νόμο του 2014, προς συμμόρφωση επί των παρατηρήσεων της Ελεγκτικής Υπηρεσίας που αναφέρονται σε επιστολή προς το Υπουργείο Παιδείας, Πολιτισμού, Αθλητισμού και Νεολαίας ημερ. 21/12/2010.  Η χρηματοδότηση των σχετικών δαπανών πραγματοποιείται από Διάφορες Άλλες Εισπράξεις εκτός της Κρατικής Χορηγίας.</w:t>
            </w:r>
          </w:p>
        </w:tc>
      </w:tr>
      <w:tr w:rsidR="00903F89" w:rsidRPr="00903F89" w14:paraId="7B8D8CAF" w14:textId="77777777" w:rsidTr="00B1212B">
        <w:tc>
          <w:tcPr>
            <w:tcW w:w="10800" w:type="dxa"/>
            <w:gridSpan w:val="10"/>
          </w:tcPr>
          <w:p w14:paraId="7EAADA81" w14:textId="77777777" w:rsidR="00FF6102" w:rsidRPr="00903F89" w:rsidRDefault="00FF6102" w:rsidP="00903F89">
            <w:pPr>
              <w:jc w:val="both"/>
              <w:rPr>
                <w:rFonts w:cs="Arial"/>
                <w:sz w:val="20"/>
                <w:szCs w:val="20"/>
              </w:rPr>
            </w:pPr>
          </w:p>
        </w:tc>
      </w:tr>
      <w:tr w:rsidR="00903F89" w:rsidRPr="00903F89" w14:paraId="446459CB" w14:textId="77777777" w:rsidTr="00B1212B">
        <w:tc>
          <w:tcPr>
            <w:tcW w:w="10800" w:type="dxa"/>
            <w:gridSpan w:val="10"/>
            <w:shd w:val="clear" w:color="auto" w:fill="auto"/>
          </w:tcPr>
          <w:p w14:paraId="3E00EBD7" w14:textId="0847FC13" w:rsidR="00FF6102" w:rsidRPr="00903F89" w:rsidRDefault="00FF6102" w:rsidP="00903F89">
            <w:pPr>
              <w:jc w:val="both"/>
              <w:rPr>
                <w:rFonts w:cs="Arial"/>
                <w:sz w:val="20"/>
                <w:szCs w:val="20"/>
              </w:rPr>
            </w:pPr>
            <w:r w:rsidRPr="00903F89">
              <w:rPr>
                <w:rFonts w:cs="Arial"/>
                <w:sz w:val="20"/>
                <w:szCs w:val="20"/>
              </w:rPr>
              <w:t>Η πρόνοια του άρθρου δύναται επίσης να καλύψει δαπάνες που προκύπτουν στο πλαίσιο της πολιτικής παραχώρησης μηνιαίας οικονομικής βοήθειας σε Διδακτορικούς Φοιτητές</w:t>
            </w:r>
            <w:r w:rsidR="00C530A2" w:rsidRPr="00903F89">
              <w:rPr>
                <w:rFonts w:cs="Arial"/>
                <w:sz w:val="20"/>
                <w:szCs w:val="20"/>
              </w:rPr>
              <w:t xml:space="preserve"> (Απόφαση </w:t>
            </w:r>
            <w:bookmarkStart w:id="56" w:name="_Hlk87949761"/>
            <w:r w:rsidRPr="00903F89">
              <w:rPr>
                <w:rFonts w:cs="Arial"/>
                <w:sz w:val="20"/>
                <w:szCs w:val="20"/>
              </w:rPr>
              <w:t>Συμβουλίου</w:t>
            </w:r>
            <w:r w:rsidR="00C530A2" w:rsidRPr="00903F89">
              <w:rPr>
                <w:rFonts w:cs="Arial"/>
                <w:sz w:val="20"/>
                <w:szCs w:val="20"/>
              </w:rPr>
              <w:t>, Σ</w:t>
            </w:r>
            <w:r w:rsidRPr="00903F89">
              <w:rPr>
                <w:rFonts w:cs="Arial"/>
                <w:sz w:val="20"/>
                <w:szCs w:val="20"/>
              </w:rPr>
              <w:t>υνεδρία Αρ. 13/2018, ημερ. 30/05/2018).</w:t>
            </w:r>
            <w:bookmarkEnd w:id="56"/>
          </w:p>
        </w:tc>
      </w:tr>
      <w:tr w:rsidR="00903F89" w:rsidRPr="00903F89" w14:paraId="5C2DB85D" w14:textId="77777777" w:rsidTr="00B1212B">
        <w:tc>
          <w:tcPr>
            <w:tcW w:w="4761" w:type="dxa"/>
            <w:gridSpan w:val="5"/>
          </w:tcPr>
          <w:p w14:paraId="7E0EB620" w14:textId="77777777" w:rsidR="00FF6102" w:rsidRPr="00903F89" w:rsidRDefault="00FF6102" w:rsidP="00903F89">
            <w:pPr>
              <w:jc w:val="both"/>
              <w:rPr>
                <w:rFonts w:cs="Arial"/>
                <w:b/>
                <w:sz w:val="20"/>
                <w:szCs w:val="20"/>
                <w:u w:val="single"/>
              </w:rPr>
            </w:pPr>
          </w:p>
        </w:tc>
        <w:tc>
          <w:tcPr>
            <w:tcW w:w="2606" w:type="dxa"/>
          </w:tcPr>
          <w:p w14:paraId="156DE842" w14:textId="77777777" w:rsidR="00FF6102" w:rsidRPr="00903F89" w:rsidRDefault="00FF6102" w:rsidP="00903F89">
            <w:pPr>
              <w:jc w:val="both"/>
              <w:rPr>
                <w:rFonts w:cs="Arial"/>
                <w:sz w:val="20"/>
                <w:szCs w:val="20"/>
              </w:rPr>
            </w:pPr>
          </w:p>
        </w:tc>
        <w:tc>
          <w:tcPr>
            <w:tcW w:w="3433" w:type="dxa"/>
            <w:gridSpan w:val="4"/>
          </w:tcPr>
          <w:p w14:paraId="3473DE8E" w14:textId="77777777" w:rsidR="00FF6102" w:rsidRPr="00903F89" w:rsidRDefault="00FF6102" w:rsidP="00903F89">
            <w:pPr>
              <w:jc w:val="both"/>
              <w:rPr>
                <w:rFonts w:cs="Arial"/>
                <w:b/>
                <w:sz w:val="20"/>
                <w:szCs w:val="20"/>
                <w:u w:val="single"/>
              </w:rPr>
            </w:pPr>
          </w:p>
        </w:tc>
      </w:tr>
      <w:tr w:rsidR="00903F89" w:rsidRPr="00903F89" w14:paraId="467046AD" w14:textId="77777777" w:rsidTr="00B1212B">
        <w:tc>
          <w:tcPr>
            <w:tcW w:w="10800" w:type="dxa"/>
            <w:gridSpan w:val="10"/>
          </w:tcPr>
          <w:p w14:paraId="32AA32EC" w14:textId="447BD1FF" w:rsidR="00FF6102" w:rsidRPr="00903F89" w:rsidRDefault="00FF6102" w:rsidP="00903F89">
            <w:pPr>
              <w:jc w:val="both"/>
              <w:rPr>
                <w:rFonts w:cs="Arial"/>
                <w:sz w:val="20"/>
                <w:szCs w:val="20"/>
              </w:rPr>
            </w:pPr>
            <w:r w:rsidRPr="00903F89">
              <w:rPr>
                <w:rFonts w:cs="Arial"/>
                <w:sz w:val="20"/>
                <w:szCs w:val="20"/>
              </w:rPr>
              <w:t xml:space="preserve">Η χρηματοδότηση των σχετικών δαπανών για βραβεία και βοηθήματα τα οποία παραχωρούνται σε φοιτητές πραγματοποιείται από άλλες εισπράξεις (εκτός κρατικής χορηγίας). </w:t>
            </w:r>
          </w:p>
        </w:tc>
      </w:tr>
      <w:tr w:rsidR="00903F89" w:rsidRPr="00903F89" w14:paraId="18AF2E50" w14:textId="77777777" w:rsidTr="00B1212B">
        <w:tc>
          <w:tcPr>
            <w:tcW w:w="4761" w:type="dxa"/>
            <w:gridSpan w:val="5"/>
          </w:tcPr>
          <w:p w14:paraId="13982F6A" w14:textId="77777777" w:rsidR="00FF6102" w:rsidRPr="00903F89" w:rsidRDefault="00FF6102" w:rsidP="00903F89">
            <w:pPr>
              <w:jc w:val="both"/>
              <w:rPr>
                <w:rFonts w:cs="Arial"/>
                <w:b/>
                <w:sz w:val="20"/>
                <w:szCs w:val="20"/>
                <w:u w:val="single"/>
              </w:rPr>
            </w:pPr>
          </w:p>
        </w:tc>
        <w:tc>
          <w:tcPr>
            <w:tcW w:w="2606" w:type="dxa"/>
          </w:tcPr>
          <w:p w14:paraId="505FA529" w14:textId="77777777" w:rsidR="00FF6102" w:rsidRPr="00903F89" w:rsidRDefault="00FF6102" w:rsidP="00903F89">
            <w:pPr>
              <w:jc w:val="both"/>
              <w:rPr>
                <w:rFonts w:cs="Arial"/>
                <w:sz w:val="20"/>
                <w:szCs w:val="20"/>
              </w:rPr>
            </w:pPr>
          </w:p>
        </w:tc>
        <w:tc>
          <w:tcPr>
            <w:tcW w:w="3433" w:type="dxa"/>
            <w:gridSpan w:val="4"/>
          </w:tcPr>
          <w:p w14:paraId="005003D2" w14:textId="77777777" w:rsidR="00FF6102" w:rsidRPr="00903F89" w:rsidRDefault="00FF6102" w:rsidP="00903F89">
            <w:pPr>
              <w:jc w:val="both"/>
              <w:rPr>
                <w:rFonts w:cs="Arial"/>
                <w:b/>
                <w:sz w:val="20"/>
                <w:szCs w:val="20"/>
                <w:u w:val="single"/>
              </w:rPr>
            </w:pPr>
          </w:p>
        </w:tc>
      </w:tr>
      <w:tr w:rsidR="00903F89" w:rsidRPr="00903F89" w14:paraId="4BA24CB5" w14:textId="77777777" w:rsidTr="00B1212B">
        <w:tc>
          <w:tcPr>
            <w:tcW w:w="10800" w:type="dxa"/>
            <w:gridSpan w:val="10"/>
          </w:tcPr>
          <w:p w14:paraId="6C6DCEC5" w14:textId="58F5A5EF"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354 – Ενίσχυση Φοιτητικής Μέριμνας (Παροχή Κρατικών Υποτροφιών και Επιδομάτων , π.χ. Σίτισης, Στέγασης κ.ά.) – €665.000</w:t>
            </w:r>
          </w:p>
        </w:tc>
      </w:tr>
      <w:tr w:rsidR="00903F89" w:rsidRPr="00903F89" w14:paraId="343338CA" w14:textId="77777777" w:rsidTr="00B1212B">
        <w:tc>
          <w:tcPr>
            <w:tcW w:w="4761" w:type="dxa"/>
            <w:gridSpan w:val="5"/>
          </w:tcPr>
          <w:p w14:paraId="319DEE26" w14:textId="77777777" w:rsidR="00FF6102" w:rsidRPr="00903F89" w:rsidRDefault="00FF6102" w:rsidP="00903F89">
            <w:pPr>
              <w:jc w:val="both"/>
              <w:rPr>
                <w:rFonts w:cs="Arial"/>
                <w:b/>
                <w:sz w:val="20"/>
                <w:szCs w:val="20"/>
                <w:u w:val="single"/>
              </w:rPr>
            </w:pPr>
          </w:p>
        </w:tc>
        <w:tc>
          <w:tcPr>
            <w:tcW w:w="2606" w:type="dxa"/>
          </w:tcPr>
          <w:p w14:paraId="12C5EB78" w14:textId="77777777" w:rsidR="00FF6102" w:rsidRPr="00903F89" w:rsidRDefault="00FF6102" w:rsidP="00903F89">
            <w:pPr>
              <w:jc w:val="both"/>
              <w:rPr>
                <w:rFonts w:cs="Arial"/>
                <w:sz w:val="20"/>
                <w:szCs w:val="20"/>
              </w:rPr>
            </w:pPr>
          </w:p>
        </w:tc>
        <w:tc>
          <w:tcPr>
            <w:tcW w:w="3433" w:type="dxa"/>
            <w:gridSpan w:val="4"/>
          </w:tcPr>
          <w:p w14:paraId="4DE70EE5" w14:textId="77777777" w:rsidR="00FF6102" w:rsidRPr="00903F89" w:rsidRDefault="00FF6102" w:rsidP="00903F89">
            <w:pPr>
              <w:jc w:val="both"/>
              <w:rPr>
                <w:rFonts w:cs="Arial"/>
                <w:b/>
                <w:sz w:val="20"/>
                <w:szCs w:val="20"/>
                <w:u w:val="single"/>
              </w:rPr>
            </w:pPr>
          </w:p>
        </w:tc>
      </w:tr>
      <w:tr w:rsidR="00903F89" w:rsidRPr="00903F89" w14:paraId="34CD3C2A" w14:textId="77777777" w:rsidTr="00B1212B">
        <w:tc>
          <w:tcPr>
            <w:tcW w:w="10800" w:type="dxa"/>
            <w:gridSpan w:val="10"/>
          </w:tcPr>
          <w:p w14:paraId="78D3F1BA" w14:textId="77777777" w:rsidR="00FF6102" w:rsidRPr="00903F89" w:rsidRDefault="00FF6102" w:rsidP="00903F89">
            <w:pPr>
              <w:ind w:left="37"/>
              <w:jc w:val="both"/>
              <w:rPr>
                <w:rFonts w:cs="Arial"/>
                <w:sz w:val="20"/>
                <w:szCs w:val="20"/>
              </w:rPr>
            </w:pPr>
            <w:r w:rsidRPr="00903F89">
              <w:rPr>
                <w:rFonts w:cs="Arial"/>
                <w:sz w:val="20"/>
                <w:szCs w:val="20"/>
              </w:rPr>
              <w:t>Το άρθρο δύναται να καλύπτει δαπάνες που σχετίζονται με:</w:t>
            </w:r>
          </w:p>
          <w:p w14:paraId="2D12E1C5" w14:textId="77777777" w:rsidR="00FF6102" w:rsidRPr="00903F89" w:rsidRDefault="00FF6102" w:rsidP="00903F89">
            <w:pPr>
              <w:ind w:left="37"/>
              <w:jc w:val="both"/>
              <w:rPr>
                <w:rFonts w:cs="Arial"/>
                <w:sz w:val="20"/>
                <w:szCs w:val="20"/>
              </w:rPr>
            </w:pPr>
            <w:r w:rsidRPr="00903F89">
              <w:rPr>
                <w:rFonts w:cs="Arial"/>
                <w:sz w:val="20"/>
                <w:szCs w:val="20"/>
              </w:rPr>
              <w:t>(α) την παροχή κρατικών υποτροφιών σε δικαιούχους Ελλαδίτες φοιτητές και σε φοιτητές Έλληνες και Κύπριους της Διασποράς (υπολογισμοί για 40 υποτροφίες, €140.000 ετησίως), και</w:t>
            </w:r>
          </w:p>
          <w:p w14:paraId="1EAB82FF" w14:textId="486C1AD5" w:rsidR="00FF6102" w:rsidRPr="00903F89" w:rsidRDefault="00FF6102" w:rsidP="00903F89">
            <w:pPr>
              <w:ind w:left="37"/>
              <w:jc w:val="both"/>
              <w:rPr>
                <w:rFonts w:eastAsia="Arial" w:cs="Arial"/>
                <w:sz w:val="20"/>
                <w:szCs w:val="20"/>
              </w:rPr>
            </w:pPr>
            <w:r w:rsidRPr="00903F89">
              <w:rPr>
                <w:rFonts w:cs="Arial"/>
                <w:sz w:val="20"/>
                <w:szCs w:val="20"/>
              </w:rPr>
              <w:t>(β) την παροχή επιδόματος σίτισης (κουπόνια σίτισης) σε δικαιούχους Ελλαδίτες φοιτητές και σε δικαιούχους φοιτητές Έλληνες της Διασποράς του Πανεπιστημίου Κύπρου (υπολογισμοί για την παροχή σε 450 φοιτητές, €523.000 περίπου το χρόνο).</w:t>
            </w:r>
          </w:p>
        </w:tc>
      </w:tr>
      <w:tr w:rsidR="00903F89" w:rsidRPr="00903F89" w14:paraId="4457F969" w14:textId="77777777" w:rsidTr="00B1212B">
        <w:tc>
          <w:tcPr>
            <w:tcW w:w="4761" w:type="dxa"/>
            <w:gridSpan w:val="5"/>
          </w:tcPr>
          <w:p w14:paraId="742C7995" w14:textId="77777777" w:rsidR="00FF6102" w:rsidRPr="00903F89" w:rsidRDefault="00FF6102" w:rsidP="00903F89">
            <w:pPr>
              <w:jc w:val="both"/>
              <w:rPr>
                <w:rFonts w:cs="Arial"/>
                <w:b/>
                <w:sz w:val="20"/>
                <w:szCs w:val="20"/>
                <w:u w:val="single"/>
              </w:rPr>
            </w:pPr>
          </w:p>
        </w:tc>
        <w:tc>
          <w:tcPr>
            <w:tcW w:w="2606" w:type="dxa"/>
          </w:tcPr>
          <w:p w14:paraId="69413373" w14:textId="77777777" w:rsidR="00FF6102" w:rsidRPr="00903F89" w:rsidRDefault="00FF6102" w:rsidP="00903F89">
            <w:pPr>
              <w:jc w:val="both"/>
              <w:rPr>
                <w:rFonts w:cs="Arial"/>
                <w:sz w:val="20"/>
                <w:szCs w:val="20"/>
              </w:rPr>
            </w:pPr>
          </w:p>
        </w:tc>
        <w:tc>
          <w:tcPr>
            <w:tcW w:w="3433" w:type="dxa"/>
            <w:gridSpan w:val="4"/>
          </w:tcPr>
          <w:p w14:paraId="055FB965" w14:textId="77777777" w:rsidR="00FF6102" w:rsidRPr="00903F89" w:rsidRDefault="00FF6102" w:rsidP="00903F89">
            <w:pPr>
              <w:jc w:val="both"/>
              <w:rPr>
                <w:rFonts w:cs="Arial"/>
                <w:b/>
                <w:sz w:val="20"/>
                <w:szCs w:val="20"/>
                <w:u w:val="single"/>
              </w:rPr>
            </w:pPr>
          </w:p>
        </w:tc>
      </w:tr>
      <w:tr w:rsidR="00903F89" w:rsidRPr="00903F89" w14:paraId="1B984629" w14:textId="77777777" w:rsidTr="00B1212B">
        <w:tc>
          <w:tcPr>
            <w:tcW w:w="10800" w:type="dxa"/>
            <w:gridSpan w:val="10"/>
          </w:tcPr>
          <w:p w14:paraId="00A02AD8" w14:textId="1C339C0C"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355 – Θερινά Σχολεία – €65.000</w:t>
            </w:r>
          </w:p>
        </w:tc>
      </w:tr>
      <w:tr w:rsidR="00903F89" w:rsidRPr="00903F89" w14:paraId="1838437A" w14:textId="77777777" w:rsidTr="00B1212B">
        <w:tc>
          <w:tcPr>
            <w:tcW w:w="4761" w:type="dxa"/>
            <w:gridSpan w:val="5"/>
          </w:tcPr>
          <w:p w14:paraId="27E0EAD3" w14:textId="77777777" w:rsidR="00FF6102" w:rsidRPr="00903F89" w:rsidRDefault="00FF6102" w:rsidP="00903F89">
            <w:pPr>
              <w:jc w:val="both"/>
              <w:rPr>
                <w:rFonts w:cs="Arial"/>
                <w:b/>
                <w:sz w:val="20"/>
                <w:szCs w:val="20"/>
                <w:u w:val="single"/>
              </w:rPr>
            </w:pPr>
          </w:p>
        </w:tc>
        <w:tc>
          <w:tcPr>
            <w:tcW w:w="2606" w:type="dxa"/>
          </w:tcPr>
          <w:p w14:paraId="7A9D5B3E" w14:textId="77777777" w:rsidR="00FF6102" w:rsidRPr="00903F89" w:rsidRDefault="00FF6102" w:rsidP="00903F89">
            <w:pPr>
              <w:jc w:val="both"/>
              <w:rPr>
                <w:rFonts w:cs="Arial"/>
                <w:b/>
                <w:sz w:val="20"/>
                <w:szCs w:val="20"/>
                <w:u w:val="single"/>
              </w:rPr>
            </w:pPr>
          </w:p>
        </w:tc>
        <w:tc>
          <w:tcPr>
            <w:tcW w:w="3433" w:type="dxa"/>
            <w:gridSpan w:val="4"/>
          </w:tcPr>
          <w:p w14:paraId="01C25B61" w14:textId="77777777" w:rsidR="00FF6102" w:rsidRPr="00903F89" w:rsidRDefault="00FF6102" w:rsidP="00903F89">
            <w:pPr>
              <w:jc w:val="both"/>
              <w:rPr>
                <w:rFonts w:cs="Arial"/>
                <w:b/>
                <w:sz w:val="20"/>
                <w:szCs w:val="20"/>
                <w:u w:val="single"/>
              </w:rPr>
            </w:pPr>
          </w:p>
        </w:tc>
      </w:tr>
      <w:tr w:rsidR="00903F89" w:rsidRPr="00903F89" w14:paraId="7254AB05" w14:textId="77777777" w:rsidTr="00B1212B">
        <w:tc>
          <w:tcPr>
            <w:tcW w:w="10800" w:type="dxa"/>
            <w:gridSpan w:val="10"/>
            <w:shd w:val="clear" w:color="auto" w:fill="auto"/>
          </w:tcPr>
          <w:p w14:paraId="00E1D27D" w14:textId="1E1F344E" w:rsidR="00FF6102" w:rsidRPr="00903F89" w:rsidRDefault="00FF6102" w:rsidP="00903F89">
            <w:pPr>
              <w:jc w:val="both"/>
              <w:rPr>
                <w:rFonts w:eastAsia="Arial" w:cs="Arial"/>
                <w:b/>
                <w:bCs/>
                <w:sz w:val="20"/>
                <w:szCs w:val="20"/>
                <w:u w:val="single"/>
              </w:rPr>
            </w:pPr>
            <w:r w:rsidRPr="00903F89">
              <w:rPr>
                <w:rFonts w:cs="Arial"/>
                <w:sz w:val="20"/>
                <w:szCs w:val="20"/>
              </w:rPr>
              <w:t>H πρόνοια του άρθρου προορίζεται να καλύψει τις δαπάνες του Θερινού Σχολείου του Τμήματος Κοινωνικών και Πολιτικών Επιστημών, οι οποίες θα αυτοχρηματοδοτηθούν από τα έσοδα της εν λόγω δραστηριότητας (ειδική διευθέτηση όπως όλες οι δαπάνες ανεξαρτήτως του είδους τους, να χρεώνονται σε αυτό το άρθρο), καθώς επίσης και τις δαπάνες Θερινών Σχολείων άλλων οργανωτικών οντοτήτων του ΠΚ, τα οποία θα διεξαχθούν το 2022, στο πλαίσιο της προσπάθειας για διεθνοποίηση του ΠΚ.</w:t>
            </w:r>
          </w:p>
        </w:tc>
      </w:tr>
      <w:tr w:rsidR="00903F89" w:rsidRPr="00903F89" w14:paraId="4407F0C0" w14:textId="77777777" w:rsidTr="00B1212B">
        <w:tc>
          <w:tcPr>
            <w:tcW w:w="4761" w:type="dxa"/>
            <w:gridSpan w:val="5"/>
          </w:tcPr>
          <w:p w14:paraId="5E290ECF" w14:textId="77777777" w:rsidR="00FF6102" w:rsidRPr="00903F89" w:rsidRDefault="00FF6102" w:rsidP="00903F89">
            <w:pPr>
              <w:jc w:val="both"/>
              <w:rPr>
                <w:rFonts w:cs="Arial"/>
                <w:b/>
                <w:sz w:val="20"/>
                <w:szCs w:val="20"/>
                <w:u w:val="single"/>
              </w:rPr>
            </w:pPr>
          </w:p>
        </w:tc>
        <w:tc>
          <w:tcPr>
            <w:tcW w:w="2606" w:type="dxa"/>
          </w:tcPr>
          <w:p w14:paraId="682A08E4" w14:textId="77777777" w:rsidR="00FF6102" w:rsidRPr="00903F89" w:rsidRDefault="00FF6102" w:rsidP="00903F89">
            <w:pPr>
              <w:jc w:val="both"/>
              <w:rPr>
                <w:rFonts w:cs="Arial"/>
                <w:b/>
                <w:sz w:val="20"/>
                <w:szCs w:val="20"/>
                <w:u w:val="single"/>
              </w:rPr>
            </w:pPr>
          </w:p>
        </w:tc>
        <w:tc>
          <w:tcPr>
            <w:tcW w:w="3433" w:type="dxa"/>
            <w:gridSpan w:val="4"/>
          </w:tcPr>
          <w:p w14:paraId="2FA41009" w14:textId="77777777" w:rsidR="00FF6102" w:rsidRPr="00903F89" w:rsidRDefault="00FF6102" w:rsidP="00903F89">
            <w:pPr>
              <w:jc w:val="both"/>
              <w:rPr>
                <w:rFonts w:cs="Arial"/>
                <w:b/>
                <w:sz w:val="20"/>
                <w:szCs w:val="20"/>
                <w:u w:val="single"/>
              </w:rPr>
            </w:pPr>
          </w:p>
        </w:tc>
      </w:tr>
      <w:tr w:rsidR="00903F89" w:rsidRPr="00903F89" w14:paraId="1ED9E4BF" w14:textId="77777777" w:rsidTr="00B1212B">
        <w:tc>
          <w:tcPr>
            <w:tcW w:w="10800" w:type="dxa"/>
            <w:gridSpan w:val="10"/>
          </w:tcPr>
          <w:p w14:paraId="64189A07" w14:textId="6C3328C4"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356 – Καινοτόμος Αειφόρος Ανάπτυξη – €10</w:t>
            </w:r>
          </w:p>
        </w:tc>
      </w:tr>
      <w:tr w:rsidR="00903F89" w:rsidRPr="00903F89" w14:paraId="5FAF9FC1" w14:textId="77777777" w:rsidTr="00B1212B">
        <w:tc>
          <w:tcPr>
            <w:tcW w:w="4761" w:type="dxa"/>
            <w:gridSpan w:val="5"/>
          </w:tcPr>
          <w:p w14:paraId="29283497" w14:textId="77777777" w:rsidR="00FF6102" w:rsidRPr="00903F89" w:rsidRDefault="00FF6102" w:rsidP="00903F89">
            <w:pPr>
              <w:jc w:val="both"/>
              <w:rPr>
                <w:rFonts w:cs="Arial"/>
                <w:b/>
                <w:sz w:val="20"/>
                <w:szCs w:val="20"/>
                <w:u w:val="single"/>
              </w:rPr>
            </w:pPr>
          </w:p>
        </w:tc>
        <w:tc>
          <w:tcPr>
            <w:tcW w:w="2606" w:type="dxa"/>
          </w:tcPr>
          <w:p w14:paraId="06765F4C" w14:textId="77777777" w:rsidR="00FF6102" w:rsidRPr="00903F89" w:rsidRDefault="00FF6102" w:rsidP="00903F89">
            <w:pPr>
              <w:jc w:val="both"/>
              <w:rPr>
                <w:rFonts w:cs="Arial"/>
                <w:b/>
                <w:sz w:val="20"/>
                <w:szCs w:val="20"/>
                <w:u w:val="single"/>
              </w:rPr>
            </w:pPr>
          </w:p>
        </w:tc>
        <w:tc>
          <w:tcPr>
            <w:tcW w:w="3433" w:type="dxa"/>
            <w:gridSpan w:val="4"/>
          </w:tcPr>
          <w:p w14:paraId="0632A34E" w14:textId="77777777" w:rsidR="00FF6102" w:rsidRPr="00903F89" w:rsidRDefault="00FF6102" w:rsidP="00903F89">
            <w:pPr>
              <w:jc w:val="both"/>
              <w:rPr>
                <w:rFonts w:cs="Arial"/>
                <w:b/>
                <w:sz w:val="20"/>
                <w:szCs w:val="20"/>
                <w:u w:val="single"/>
              </w:rPr>
            </w:pPr>
          </w:p>
        </w:tc>
      </w:tr>
      <w:tr w:rsidR="00903F89" w:rsidRPr="00903F89" w14:paraId="7CC97CC2" w14:textId="77777777" w:rsidTr="00B1212B">
        <w:tc>
          <w:tcPr>
            <w:tcW w:w="10800" w:type="dxa"/>
            <w:gridSpan w:val="10"/>
          </w:tcPr>
          <w:p w14:paraId="1E7800F5" w14:textId="19BC7550" w:rsidR="00FF6102" w:rsidRPr="00903F89" w:rsidRDefault="00FF6102" w:rsidP="00903F89">
            <w:pPr>
              <w:jc w:val="both"/>
              <w:rPr>
                <w:rFonts w:eastAsia="Arial" w:cs="Arial"/>
                <w:b/>
                <w:bCs/>
                <w:sz w:val="20"/>
                <w:szCs w:val="20"/>
                <w:u w:val="single"/>
              </w:rPr>
            </w:pPr>
            <w:r w:rsidRPr="00903F89">
              <w:rPr>
                <w:rFonts w:cs="Arial"/>
                <w:sz w:val="20"/>
                <w:szCs w:val="20"/>
              </w:rPr>
              <w:t>Η πρόνοια του άρθρου είναι ενδεικτική και προορίζεται να καλύψει δαπάνες για την διεκπεραίωση μελετών βιωσιμότητας αναφορικά με την υποστήριξη καινοτόμων τεχνολογιών και επιστημονικών αποτελεσμάτων.  Η χρηματοδότηση τυχόν δαπανών θα πραγματοποιείται από άλλες εισπράξεις (εκτός Κρατικής Χορηγίας).</w:t>
            </w:r>
          </w:p>
        </w:tc>
      </w:tr>
      <w:tr w:rsidR="00903F89" w:rsidRPr="00903F89" w14:paraId="703B2C45" w14:textId="77777777" w:rsidTr="00B1212B">
        <w:tc>
          <w:tcPr>
            <w:tcW w:w="10800" w:type="dxa"/>
            <w:gridSpan w:val="10"/>
          </w:tcPr>
          <w:p w14:paraId="7609C799" w14:textId="77777777" w:rsidR="00FF6102" w:rsidRPr="00903F89" w:rsidRDefault="00FF6102" w:rsidP="00903F89">
            <w:pPr>
              <w:jc w:val="both"/>
              <w:rPr>
                <w:rFonts w:cs="Arial"/>
                <w:sz w:val="20"/>
                <w:szCs w:val="20"/>
              </w:rPr>
            </w:pPr>
          </w:p>
        </w:tc>
      </w:tr>
      <w:tr w:rsidR="00903F89" w:rsidRPr="00903F89" w14:paraId="607E8692" w14:textId="77777777" w:rsidTr="00B1212B">
        <w:tc>
          <w:tcPr>
            <w:tcW w:w="10800" w:type="dxa"/>
            <w:gridSpan w:val="10"/>
          </w:tcPr>
          <w:p w14:paraId="6F671431" w14:textId="3FBA8AFF" w:rsidR="00FF6102" w:rsidRPr="00903F89" w:rsidRDefault="00FF6102" w:rsidP="00903F89">
            <w:pPr>
              <w:jc w:val="both"/>
              <w:rPr>
                <w:rFonts w:cs="Arial"/>
                <w:b/>
                <w:bCs/>
                <w:sz w:val="20"/>
                <w:szCs w:val="20"/>
                <w:u w:val="single"/>
              </w:rPr>
            </w:pPr>
            <w:r w:rsidRPr="00903F89">
              <w:rPr>
                <w:rFonts w:cs="Arial"/>
                <w:b/>
                <w:bCs/>
                <w:sz w:val="20"/>
                <w:szCs w:val="20"/>
                <w:u w:val="single"/>
              </w:rPr>
              <w:t>Άρθρο 357 – Πρόγραμμα Ανάπτυξης Μουσικών Ταλέντων – €0</w:t>
            </w:r>
          </w:p>
        </w:tc>
      </w:tr>
      <w:tr w:rsidR="00903F89" w:rsidRPr="00903F89" w14:paraId="1FA8310A" w14:textId="77777777" w:rsidTr="00B1212B">
        <w:tc>
          <w:tcPr>
            <w:tcW w:w="10800" w:type="dxa"/>
            <w:gridSpan w:val="10"/>
          </w:tcPr>
          <w:p w14:paraId="292C32DE" w14:textId="77777777" w:rsidR="00FF6102" w:rsidRPr="00903F89" w:rsidRDefault="00FF6102" w:rsidP="00903F89">
            <w:pPr>
              <w:jc w:val="both"/>
              <w:rPr>
                <w:rFonts w:cs="Arial"/>
                <w:b/>
                <w:bCs/>
                <w:sz w:val="20"/>
                <w:szCs w:val="20"/>
                <w:u w:val="single"/>
              </w:rPr>
            </w:pPr>
          </w:p>
        </w:tc>
      </w:tr>
      <w:tr w:rsidR="00903F89" w:rsidRPr="00903F89" w14:paraId="61E59218" w14:textId="77777777" w:rsidTr="00B1212B">
        <w:trPr>
          <w:trHeight w:val="71"/>
        </w:trPr>
        <w:tc>
          <w:tcPr>
            <w:tcW w:w="10800" w:type="dxa"/>
            <w:gridSpan w:val="10"/>
          </w:tcPr>
          <w:p w14:paraId="5FD3F832" w14:textId="139440BF" w:rsidR="00FF6102" w:rsidRPr="00903F89" w:rsidRDefault="002D7039" w:rsidP="00903F89">
            <w:pPr>
              <w:jc w:val="both"/>
              <w:rPr>
                <w:rFonts w:eastAsia="Arial" w:cs="Arial"/>
                <w:sz w:val="20"/>
                <w:szCs w:val="20"/>
              </w:rPr>
            </w:pPr>
            <w:r w:rsidRPr="00903F89">
              <w:rPr>
                <w:rFonts w:eastAsia="Arial" w:cs="Arial"/>
                <w:sz w:val="20"/>
                <w:szCs w:val="20"/>
              </w:rPr>
              <w:t xml:space="preserve">Κατάργηση </w:t>
            </w:r>
            <w:r w:rsidR="00614B7B">
              <w:rPr>
                <w:rFonts w:eastAsia="Arial" w:cs="Arial"/>
                <w:sz w:val="20"/>
                <w:szCs w:val="20"/>
              </w:rPr>
              <w:t>ά</w:t>
            </w:r>
            <w:r w:rsidRPr="00903F89">
              <w:rPr>
                <w:rFonts w:eastAsia="Arial" w:cs="Arial"/>
                <w:sz w:val="20"/>
                <w:szCs w:val="20"/>
              </w:rPr>
              <w:t xml:space="preserve">ρθρου. </w:t>
            </w:r>
            <w:r w:rsidR="00614B7B">
              <w:rPr>
                <w:rFonts w:eastAsia="Arial" w:cs="Arial"/>
                <w:sz w:val="20"/>
                <w:szCs w:val="20"/>
              </w:rPr>
              <w:t xml:space="preserve"> </w:t>
            </w:r>
            <w:r w:rsidRPr="00903F89">
              <w:rPr>
                <w:rFonts w:eastAsia="Arial" w:cs="Arial"/>
                <w:sz w:val="20"/>
                <w:szCs w:val="20"/>
              </w:rPr>
              <w:t>Δαπάνες του Προγράμματος Ανάπτυξης Μουσικών Ταλέντων καλύπτονται από τις πρόνοιες των επιμέρους άρθρων του Προϋπολογισμού του Πανεπιστημίου Κύπρου (Ομάδες 100 - 400), ανάλογα με τη φύση των δαπανών του.</w:t>
            </w:r>
          </w:p>
        </w:tc>
      </w:tr>
      <w:tr w:rsidR="00903F89" w:rsidRPr="00903F89" w14:paraId="5F39DE2A" w14:textId="77777777" w:rsidTr="00B1212B">
        <w:tc>
          <w:tcPr>
            <w:tcW w:w="10800" w:type="dxa"/>
            <w:gridSpan w:val="10"/>
          </w:tcPr>
          <w:p w14:paraId="7CE102EB" w14:textId="54B39EDA" w:rsidR="00FF6102" w:rsidRPr="00903F89" w:rsidRDefault="00FF6102" w:rsidP="00903F89">
            <w:pPr>
              <w:jc w:val="both"/>
              <w:rPr>
                <w:rFonts w:eastAsia="Arial" w:cs="Arial"/>
                <w:sz w:val="20"/>
                <w:szCs w:val="20"/>
              </w:rPr>
            </w:pPr>
          </w:p>
        </w:tc>
      </w:tr>
      <w:tr w:rsidR="00903F89" w:rsidRPr="00903F89" w14:paraId="72E5030F" w14:textId="77777777" w:rsidTr="00B1212B">
        <w:tc>
          <w:tcPr>
            <w:tcW w:w="10800" w:type="dxa"/>
            <w:gridSpan w:val="10"/>
          </w:tcPr>
          <w:p w14:paraId="5F46BE3A" w14:textId="710C3B78" w:rsidR="00FF6102" w:rsidRPr="00903F89" w:rsidRDefault="00D054C1" w:rsidP="00903F89">
            <w:pPr>
              <w:jc w:val="both"/>
              <w:rPr>
                <w:rFonts w:eastAsia="Arial" w:cs="Arial"/>
                <w:b/>
                <w:bCs/>
                <w:sz w:val="20"/>
                <w:szCs w:val="20"/>
                <w:u w:val="single"/>
              </w:rPr>
            </w:pPr>
            <w:r w:rsidRPr="00903F89">
              <w:rPr>
                <w:rFonts w:cs="Arial"/>
                <w:b/>
                <w:bCs/>
                <w:sz w:val="20"/>
                <w:szCs w:val="20"/>
                <w:u w:val="single"/>
              </w:rPr>
              <w:t>ΟΜΑΔΑ</w:t>
            </w:r>
            <w:r w:rsidR="00FF6102" w:rsidRPr="00903F89">
              <w:rPr>
                <w:rFonts w:cs="Arial"/>
                <w:b/>
                <w:bCs/>
                <w:sz w:val="20"/>
                <w:szCs w:val="20"/>
                <w:u w:val="single"/>
              </w:rPr>
              <w:t xml:space="preserve"> 400 – ΚΕΦΑΛΑΙΟΥΧΙΚΕΣ ΔΑΠΑΝΕΣ</w:t>
            </w:r>
          </w:p>
        </w:tc>
      </w:tr>
      <w:tr w:rsidR="00903F89" w:rsidRPr="00903F89" w14:paraId="0B6497DF" w14:textId="77777777" w:rsidTr="00B1212B">
        <w:tc>
          <w:tcPr>
            <w:tcW w:w="2780" w:type="dxa"/>
            <w:gridSpan w:val="3"/>
          </w:tcPr>
          <w:p w14:paraId="56B34BF0" w14:textId="77777777" w:rsidR="00FF6102" w:rsidRPr="00903F89" w:rsidRDefault="00FF6102" w:rsidP="00903F89">
            <w:pPr>
              <w:jc w:val="both"/>
              <w:rPr>
                <w:rFonts w:cs="Arial"/>
                <w:b/>
                <w:sz w:val="20"/>
                <w:szCs w:val="20"/>
                <w:u w:val="single"/>
              </w:rPr>
            </w:pPr>
          </w:p>
        </w:tc>
        <w:tc>
          <w:tcPr>
            <w:tcW w:w="8020" w:type="dxa"/>
            <w:gridSpan w:val="7"/>
          </w:tcPr>
          <w:p w14:paraId="377508D6" w14:textId="77777777" w:rsidR="00FF6102" w:rsidRPr="00903F89" w:rsidRDefault="00FF6102" w:rsidP="00903F89">
            <w:pPr>
              <w:jc w:val="both"/>
              <w:rPr>
                <w:rFonts w:cs="Arial"/>
                <w:b/>
                <w:sz w:val="20"/>
                <w:szCs w:val="20"/>
                <w:u w:val="single"/>
              </w:rPr>
            </w:pPr>
          </w:p>
        </w:tc>
      </w:tr>
      <w:tr w:rsidR="00903F89" w:rsidRPr="00903F89" w14:paraId="73223A19" w14:textId="77777777" w:rsidTr="00B1212B">
        <w:trPr>
          <w:trHeight w:val="80"/>
        </w:trPr>
        <w:tc>
          <w:tcPr>
            <w:tcW w:w="10800" w:type="dxa"/>
            <w:gridSpan w:val="10"/>
          </w:tcPr>
          <w:p w14:paraId="306871FE" w14:textId="5CF6B132" w:rsidR="00FF6102" w:rsidRPr="00903F89" w:rsidRDefault="00FF2718" w:rsidP="00903F89">
            <w:pPr>
              <w:pStyle w:val="Heading8"/>
              <w:outlineLvl w:val="7"/>
              <w:rPr>
                <w:rFonts w:ascii="Arial" w:eastAsia="Arial" w:hAnsi="Arial" w:cs="Arial"/>
                <w:sz w:val="20"/>
                <w:szCs w:val="20"/>
              </w:rPr>
            </w:pPr>
            <w:r w:rsidRPr="00903F89">
              <w:rPr>
                <w:rFonts w:ascii="Arial" w:eastAsia="Arial" w:hAnsi="Arial" w:cs="Arial"/>
                <w:sz w:val="20"/>
                <w:szCs w:val="20"/>
              </w:rPr>
              <w:t xml:space="preserve">Υποομάδα </w:t>
            </w:r>
            <w:r w:rsidR="00FF6102" w:rsidRPr="00903F89">
              <w:rPr>
                <w:rFonts w:ascii="Arial" w:eastAsia="Arial" w:hAnsi="Arial" w:cs="Arial"/>
                <w:sz w:val="20"/>
                <w:szCs w:val="20"/>
              </w:rPr>
              <w:t xml:space="preserve">401 – </w:t>
            </w:r>
            <w:r w:rsidR="00D054C1" w:rsidRPr="00903F89">
              <w:rPr>
                <w:rFonts w:ascii="Arial" w:eastAsia="Arial" w:hAnsi="Arial" w:cs="Arial"/>
                <w:sz w:val="20"/>
                <w:szCs w:val="20"/>
              </w:rPr>
              <w:t xml:space="preserve">Δαπάνες </w:t>
            </w:r>
            <w:r w:rsidR="00FF6102" w:rsidRPr="00903F89">
              <w:rPr>
                <w:rFonts w:ascii="Arial" w:eastAsia="Arial" w:hAnsi="Arial" w:cs="Arial"/>
                <w:sz w:val="20"/>
                <w:szCs w:val="20"/>
              </w:rPr>
              <w:t>Βιβλιοθήκη</w:t>
            </w:r>
            <w:r w:rsidR="00D054C1" w:rsidRPr="00903F89">
              <w:rPr>
                <w:rFonts w:ascii="Arial" w:eastAsia="Arial" w:hAnsi="Arial" w:cs="Arial"/>
                <w:sz w:val="20"/>
                <w:szCs w:val="20"/>
              </w:rPr>
              <w:t>ς</w:t>
            </w:r>
          </w:p>
        </w:tc>
      </w:tr>
      <w:tr w:rsidR="00903F89" w:rsidRPr="00903F89" w14:paraId="0BC43920" w14:textId="77777777" w:rsidTr="00B1212B">
        <w:tc>
          <w:tcPr>
            <w:tcW w:w="2780" w:type="dxa"/>
            <w:gridSpan w:val="3"/>
          </w:tcPr>
          <w:p w14:paraId="031BCE5E" w14:textId="77777777" w:rsidR="00FF6102" w:rsidRPr="00903F89" w:rsidRDefault="00FF6102" w:rsidP="00903F89">
            <w:pPr>
              <w:jc w:val="both"/>
              <w:rPr>
                <w:rFonts w:cs="Arial"/>
                <w:b/>
                <w:sz w:val="20"/>
                <w:szCs w:val="20"/>
                <w:u w:val="single"/>
              </w:rPr>
            </w:pPr>
          </w:p>
        </w:tc>
        <w:tc>
          <w:tcPr>
            <w:tcW w:w="8020" w:type="dxa"/>
            <w:gridSpan w:val="7"/>
          </w:tcPr>
          <w:p w14:paraId="5CC8943C" w14:textId="77777777" w:rsidR="00FF6102" w:rsidRPr="00903F89" w:rsidRDefault="00FF6102" w:rsidP="00903F89">
            <w:pPr>
              <w:jc w:val="both"/>
              <w:rPr>
                <w:rFonts w:cs="Arial"/>
                <w:b/>
                <w:sz w:val="20"/>
                <w:szCs w:val="20"/>
                <w:u w:val="single"/>
              </w:rPr>
            </w:pPr>
          </w:p>
        </w:tc>
      </w:tr>
      <w:tr w:rsidR="00903F89" w:rsidRPr="00903F89" w14:paraId="09CCE4AE" w14:textId="77777777" w:rsidTr="00B1212B">
        <w:tc>
          <w:tcPr>
            <w:tcW w:w="10800" w:type="dxa"/>
            <w:gridSpan w:val="10"/>
          </w:tcPr>
          <w:p w14:paraId="2EDDB09B" w14:textId="38445CCD"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402 – Πληροφοριακό Υλικό (Ηλεκτρονικό και Έντυπο) με Μόνιμη Πρόσβαση ή ως Αγορά – €1.471.880</w:t>
            </w:r>
          </w:p>
        </w:tc>
      </w:tr>
      <w:tr w:rsidR="00903F89" w:rsidRPr="00903F89" w14:paraId="653EA4BE" w14:textId="77777777" w:rsidTr="00B1212B">
        <w:tc>
          <w:tcPr>
            <w:tcW w:w="2780" w:type="dxa"/>
            <w:gridSpan w:val="3"/>
          </w:tcPr>
          <w:p w14:paraId="146DADCC" w14:textId="77777777" w:rsidR="00FF6102" w:rsidRPr="00903F89" w:rsidRDefault="00FF6102" w:rsidP="00903F89">
            <w:pPr>
              <w:jc w:val="both"/>
              <w:rPr>
                <w:rFonts w:cs="Arial"/>
                <w:b/>
                <w:sz w:val="20"/>
                <w:szCs w:val="20"/>
                <w:u w:val="single"/>
              </w:rPr>
            </w:pPr>
          </w:p>
        </w:tc>
        <w:tc>
          <w:tcPr>
            <w:tcW w:w="8020" w:type="dxa"/>
            <w:gridSpan w:val="7"/>
          </w:tcPr>
          <w:p w14:paraId="4EB122A1" w14:textId="77777777" w:rsidR="00FF6102" w:rsidRPr="00903F89" w:rsidRDefault="00FF6102" w:rsidP="00903F89">
            <w:pPr>
              <w:jc w:val="both"/>
              <w:rPr>
                <w:rFonts w:cs="Arial"/>
                <w:b/>
                <w:sz w:val="20"/>
                <w:szCs w:val="20"/>
                <w:u w:val="single"/>
              </w:rPr>
            </w:pPr>
          </w:p>
        </w:tc>
      </w:tr>
      <w:tr w:rsidR="00903F89" w:rsidRPr="00903F89" w14:paraId="59C5B1DD" w14:textId="77777777" w:rsidTr="00B1212B">
        <w:tc>
          <w:tcPr>
            <w:tcW w:w="10800" w:type="dxa"/>
            <w:gridSpan w:val="10"/>
          </w:tcPr>
          <w:p w14:paraId="315660A0" w14:textId="5E7B10FC" w:rsidR="00FF6102" w:rsidRPr="00903F89" w:rsidRDefault="00FF6102" w:rsidP="00903F89">
            <w:pPr>
              <w:jc w:val="both"/>
              <w:rPr>
                <w:rFonts w:eastAsia="Arial" w:cs="Arial"/>
                <w:b/>
                <w:bCs/>
                <w:sz w:val="20"/>
                <w:szCs w:val="20"/>
                <w:u w:val="single"/>
              </w:rPr>
            </w:pPr>
            <w:r w:rsidRPr="00903F89">
              <w:rPr>
                <w:rFonts w:cs="Arial"/>
                <w:sz w:val="20"/>
                <w:szCs w:val="20"/>
              </w:rPr>
              <w:t>Η πρόνοια προορίζεται να καλύψει δαπάνες που αφορούν στην αγορά επιστημονικού πληροφοριακού υλικού (έντυπου ή ηλεκτρονικού με δυνατότητα μόνιμης πρόσβασης) ή ετήσιων συνδρομών σε επιστημονικά περιοδικά και βιβλία, παλαιά τεύχη περιοδικών, κ.ά. προς κάλυψη των αναγκών όλων των Σχολών/Τμημάτων, Υπηρεσιών του Πανεπιστημίου Κύπρου. Η πρόνοια δύναται επίσης να καλύψει κύριες αναπτυξιακές ανάγκες του Πανεπιστημίου Κύπρου όπως π.χ.:</w:t>
            </w:r>
          </w:p>
        </w:tc>
      </w:tr>
      <w:tr w:rsidR="00903F89" w:rsidRPr="00903F89" w14:paraId="0E7A3FD3" w14:textId="77777777" w:rsidTr="00B1212B">
        <w:tc>
          <w:tcPr>
            <w:tcW w:w="2780" w:type="dxa"/>
            <w:gridSpan w:val="3"/>
          </w:tcPr>
          <w:p w14:paraId="5EED0E04" w14:textId="77777777" w:rsidR="00FF6102" w:rsidRPr="00903F89" w:rsidRDefault="00FF6102" w:rsidP="00903F89">
            <w:pPr>
              <w:jc w:val="both"/>
              <w:rPr>
                <w:rFonts w:cs="Arial"/>
                <w:b/>
                <w:sz w:val="20"/>
                <w:szCs w:val="20"/>
                <w:u w:val="single"/>
              </w:rPr>
            </w:pPr>
          </w:p>
        </w:tc>
        <w:tc>
          <w:tcPr>
            <w:tcW w:w="8020" w:type="dxa"/>
            <w:gridSpan w:val="7"/>
          </w:tcPr>
          <w:p w14:paraId="473FA34B" w14:textId="77777777" w:rsidR="00FF6102" w:rsidRPr="00903F89" w:rsidRDefault="00FF6102" w:rsidP="00903F89">
            <w:pPr>
              <w:jc w:val="both"/>
              <w:rPr>
                <w:rFonts w:cs="Arial"/>
                <w:b/>
                <w:sz w:val="20"/>
                <w:szCs w:val="20"/>
                <w:u w:val="single"/>
              </w:rPr>
            </w:pPr>
          </w:p>
        </w:tc>
      </w:tr>
      <w:tr w:rsidR="00903F89" w:rsidRPr="00903F89" w14:paraId="40DAA768" w14:textId="77777777" w:rsidTr="00B1212B">
        <w:tc>
          <w:tcPr>
            <w:tcW w:w="10800" w:type="dxa"/>
            <w:gridSpan w:val="10"/>
          </w:tcPr>
          <w:p w14:paraId="34A0B857" w14:textId="77777777" w:rsidR="00FF6102" w:rsidRPr="00903F89" w:rsidRDefault="00FF6102" w:rsidP="00903F89">
            <w:pPr>
              <w:pStyle w:val="ListParagraph"/>
              <w:numPr>
                <w:ilvl w:val="0"/>
                <w:numId w:val="17"/>
              </w:numPr>
              <w:ind w:left="342" w:hanging="342"/>
              <w:contextualSpacing/>
              <w:jc w:val="both"/>
              <w:rPr>
                <w:rFonts w:eastAsia="Arial" w:cs="Arial"/>
                <w:strike/>
                <w:sz w:val="20"/>
                <w:szCs w:val="20"/>
              </w:rPr>
            </w:pPr>
            <w:r w:rsidRPr="00903F89">
              <w:rPr>
                <w:rFonts w:cs="Arial"/>
                <w:sz w:val="20"/>
                <w:szCs w:val="20"/>
              </w:rPr>
              <w:t>Κάλυψη αναγκών σχετικά με τη συντήρηση και ανάπτυξη της συλλογής, καθώς και των υπηρεσιών Πληροφοριακής Υποστήριξης προς τους χρήστες της Βιβλιοθήκης.</w:t>
            </w:r>
          </w:p>
          <w:p w14:paraId="54417407" w14:textId="77777777" w:rsidR="00FF6102" w:rsidRPr="00903F89" w:rsidRDefault="00FF6102" w:rsidP="00903F89">
            <w:pPr>
              <w:pStyle w:val="ListParagraph"/>
              <w:numPr>
                <w:ilvl w:val="0"/>
                <w:numId w:val="17"/>
              </w:numPr>
              <w:ind w:left="342" w:hanging="342"/>
              <w:contextualSpacing/>
              <w:jc w:val="both"/>
              <w:rPr>
                <w:rFonts w:eastAsia="Arial" w:cs="Arial"/>
                <w:sz w:val="20"/>
                <w:szCs w:val="20"/>
              </w:rPr>
            </w:pPr>
            <w:r w:rsidRPr="00903F89">
              <w:rPr>
                <w:rFonts w:cs="Arial"/>
                <w:sz w:val="20"/>
                <w:szCs w:val="20"/>
              </w:rPr>
              <w:t>Νέες επιστημονικές κατευθύνσεις στο πλαίσιο ανάπτυξης του Πανεπιστημίου Κύπρου</w:t>
            </w:r>
          </w:p>
          <w:p w14:paraId="6E0D1AA4" w14:textId="77777777" w:rsidR="00FF6102" w:rsidRPr="00903F89" w:rsidRDefault="00FF6102" w:rsidP="00903F89">
            <w:pPr>
              <w:numPr>
                <w:ilvl w:val="0"/>
                <w:numId w:val="16"/>
              </w:numPr>
              <w:ind w:left="342" w:hanging="342"/>
              <w:jc w:val="both"/>
              <w:rPr>
                <w:rFonts w:eastAsia="Arial" w:cs="Arial"/>
                <w:sz w:val="20"/>
                <w:szCs w:val="20"/>
              </w:rPr>
            </w:pPr>
            <w:r w:rsidRPr="00903F89">
              <w:rPr>
                <w:rFonts w:cs="Arial"/>
                <w:sz w:val="20"/>
                <w:szCs w:val="20"/>
              </w:rPr>
              <w:t xml:space="preserve">Διατήρηση ή/και ενίσχυση των σχετικών δαπανών για όλες τις Σχολές/Τμήματα, Υπηρεσίες του Πανεπιστημίου Κύπρου. </w:t>
            </w:r>
          </w:p>
          <w:p w14:paraId="07C3E737" w14:textId="77777777" w:rsidR="00FF6102" w:rsidRPr="00903F89" w:rsidRDefault="00FF6102" w:rsidP="00903F89">
            <w:pPr>
              <w:numPr>
                <w:ilvl w:val="0"/>
                <w:numId w:val="16"/>
              </w:numPr>
              <w:ind w:left="342" w:hanging="342"/>
              <w:jc w:val="both"/>
              <w:rPr>
                <w:rFonts w:eastAsia="Arial" w:cs="Arial"/>
                <w:sz w:val="20"/>
                <w:szCs w:val="20"/>
              </w:rPr>
            </w:pPr>
            <w:r w:rsidRPr="00903F89">
              <w:rPr>
                <w:rFonts w:cs="Arial"/>
                <w:sz w:val="20"/>
                <w:szCs w:val="20"/>
              </w:rPr>
              <w:t>Κάλυψη αναγκών σχετικά με εξειδικευμένες συνδρομές που αφορούν τη λειτουργία της Βιβλιοθήκης</w:t>
            </w:r>
          </w:p>
          <w:p w14:paraId="6D49BCBE" w14:textId="50017746" w:rsidR="00FF6102" w:rsidRPr="00903F89" w:rsidRDefault="00FF6102" w:rsidP="00903F89">
            <w:pPr>
              <w:numPr>
                <w:ilvl w:val="0"/>
                <w:numId w:val="16"/>
              </w:numPr>
              <w:ind w:left="342" w:hanging="342"/>
              <w:jc w:val="both"/>
              <w:rPr>
                <w:rFonts w:eastAsia="Arial" w:cs="Arial"/>
                <w:sz w:val="20"/>
                <w:szCs w:val="20"/>
              </w:rPr>
            </w:pPr>
            <w:r w:rsidRPr="00903F89">
              <w:rPr>
                <w:rFonts w:cs="Arial"/>
                <w:sz w:val="20"/>
                <w:szCs w:val="20"/>
              </w:rPr>
              <w:t>Κάλυψη του ετήσιου κόστους από την αύξηση στις τιμές των βιβλίων, περιοδικών, κ.ά.</w:t>
            </w:r>
          </w:p>
        </w:tc>
      </w:tr>
      <w:tr w:rsidR="00903F89" w:rsidRPr="00903F89" w14:paraId="5E7540ED" w14:textId="77777777" w:rsidTr="00B1212B">
        <w:trPr>
          <w:trHeight w:val="72"/>
        </w:trPr>
        <w:tc>
          <w:tcPr>
            <w:tcW w:w="2780" w:type="dxa"/>
            <w:gridSpan w:val="3"/>
          </w:tcPr>
          <w:p w14:paraId="01C72465" w14:textId="77777777" w:rsidR="00FF6102" w:rsidRPr="00903F89" w:rsidRDefault="00FF6102" w:rsidP="00903F89">
            <w:pPr>
              <w:jc w:val="both"/>
              <w:rPr>
                <w:rFonts w:cs="Arial"/>
                <w:b/>
                <w:sz w:val="20"/>
                <w:szCs w:val="20"/>
                <w:u w:val="single"/>
              </w:rPr>
            </w:pPr>
          </w:p>
        </w:tc>
        <w:tc>
          <w:tcPr>
            <w:tcW w:w="8020" w:type="dxa"/>
            <w:gridSpan w:val="7"/>
          </w:tcPr>
          <w:p w14:paraId="4FCBF64E" w14:textId="77777777" w:rsidR="00FF6102" w:rsidRPr="00903F89" w:rsidRDefault="00FF6102" w:rsidP="00903F89">
            <w:pPr>
              <w:jc w:val="both"/>
              <w:rPr>
                <w:rFonts w:cs="Arial"/>
                <w:b/>
                <w:sz w:val="20"/>
                <w:szCs w:val="20"/>
                <w:u w:val="single"/>
              </w:rPr>
            </w:pPr>
          </w:p>
        </w:tc>
      </w:tr>
      <w:tr w:rsidR="00903F89" w:rsidRPr="00903F89" w14:paraId="2FB5F815" w14:textId="77777777" w:rsidTr="00B1212B">
        <w:tc>
          <w:tcPr>
            <w:tcW w:w="10800" w:type="dxa"/>
            <w:gridSpan w:val="10"/>
          </w:tcPr>
          <w:p w14:paraId="4D7C2C22" w14:textId="588C74FC" w:rsidR="00FF6102" w:rsidRPr="00903F89" w:rsidRDefault="00FF6102" w:rsidP="00903F89">
            <w:pPr>
              <w:contextualSpacing/>
              <w:jc w:val="both"/>
              <w:rPr>
                <w:rFonts w:eastAsia="Arial" w:cs="Arial"/>
                <w:sz w:val="20"/>
                <w:szCs w:val="20"/>
              </w:rPr>
            </w:pPr>
            <w:r w:rsidRPr="00903F89">
              <w:rPr>
                <w:rFonts w:cs="Arial"/>
                <w:sz w:val="20"/>
                <w:szCs w:val="20"/>
              </w:rPr>
              <w:t xml:space="preserve">Συνδρομές επιστημονικών περιοδικών ή υπηρεσιών οι οποίες εμπίπτουν στο πλαίσιο του άρθρου αυτού, προπληρώνονται από τον Προϋπολογισμό του κάθε έτους για το επόμενο έτος, προκειμένου να αποφεύγεται διακοπή στην πρόσβαση ή και να παραχωρούνται προς το Πανεπιστήμιο Κύπρου σχετικές εκπτώσεις ή/και άλλα οφέλη.  </w:t>
            </w:r>
          </w:p>
        </w:tc>
      </w:tr>
      <w:tr w:rsidR="00903F89" w:rsidRPr="00903F89" w14:paraId="3B1D157A" w14:textId="77777777" w:rsidTr="00B1212B">
        <w:tc>
          <w:tcPr>
            <w:tcW w:w="10800" w:type="dxa"/>
            <w:gridSpan w:val="10"/>
          </w:tcPr>
          <w:p w14:paraId="4D3D1360" w14:textId="77777777" w:rsidR="00FF6102" w:rsidRPr="00903F89" w:rsidRDefault="00FF6102" w:rsidP="00903F89">
            <w:pPr>
              <w:contextualSpacing/>
              <w:jc w:val="both"/>
              <w:rPr>
                <w:rFonts w:cs="Arial"/>
                <w:sz w:val="20"/>
                <w:szCs w:val="20"/>
              </w:rPr>
            </w:pPr>
          </w:p>
        </w:tc>
      </w:tr>
      <w:tr w:rsidR="00903F89" w:rsidRPr="00903F89" w14:paraId="68B2F1A9" w14:textId="77777777" w:rsidTr="00B1212B">
        <w:tc>
          <w:tcPr>
            <w:tcW w:w="10800" w:type="dxa"/>
            <w:gridSpan w:val="10"/>
            <w:shd w:val="clear" w:color="auto" w:fill="auto"/>
          </w:tcPr>
          <w:p w14:paraId="7CB7645F" w14:textId="2B7D3FFE" w:rsidR="00FF6102" w:rsidRPr="00903F89" w:rsidRDefault="00FF6102" w:rsidP="00903F89">
            <w:pPr>
              <w:contextualSpacing/>
              <w:jc w:val="both"/>
              <w:rPr>
                <w:rFonts w:cs="Arial"/>
                <w:b/>
                <w:sz w:val="20"/>
                <w:szCs w:val="20"/>
                <w:u w:val="single"/>
              </w:rPr>
            </w:pPr>
            <w:r w:rsidRPr="00903F89">
              <w:rPr>
                <w:rFonts w:cs="Arial"/>
                <w:sz w:val="20"/>
                <w:szCs w:val="20"/>
              </w:rPr>
              <w:t xml:space="preserve">Η πρόνοια για τα πιο πάνω ενδέχεται να καλύψει μεταξύ άλλων δαπάνες του Νηπιαγωγείου και Βρεφοκομικού Σταθμού του Πανεπιστημίου Κύπρου από δικές του εισπράξεις, καθώς και δαπάνες του Κέντρου Επιχειρηματικότητας και του Συμβουλίου Αθλητισμού, ή/και άλλων ανεξαρτήτων οντοτήτων του Πανεπιστημίου Κύπρου. </w:t>
            </w:r>
          </w:p>
        </w:tc>
      </w:tr>
      <w:tr w:rsidR="00903F89" w:rsidRPr="00903F89" w14:paraId="52D75FA6" w14:textId="77777777" w:rsidTr="00B1212B">
        <w:tc>
          <w:tcPr>
            <w:tcW w:w="10800" w:type="dxa"/>
            <w:gridSpan w:val="10"/>
            <w:shd w:val="clear" w:color="auto" w:fill="auto"/>
          </w:tcPr>
          <w:p w14:paraId="235A1B55" w14:textId="77777777" w:rsidR="00FF6102" w:rsidRPr="00903F89" w:rsidRDefault="00FF6102" w:rsidP="00903F89">
            <w:pPr>
              <w:contextualSpacing/>
              <w:jc w:val="both"/>
              <w:rPr>
                <w:rFonts w:cs="Arial"/>
                <w:sz w:val="20"/>
                <w:szCs w:val="20"/>
              </w:rPr>
            </w:pPr>
          </w:p>
        </w:tc>
      </w:tr>
      <w:tr w:rsidR="00903F89" w:rsidRPr="00903F89" w14:paraId="444B61AB" w14:textId="77777777" w:rsidTr="00B1212B">
        <w:tc>
          <w:tcPr>
            <w:tcW w:w="10800" w:type="dxa"/>
            <w:gridSpan w:val="10"/>
            <w:shd w:val="clear" w:color="auto" w:fill="auto"/>
          </w:tcPr>
          <w:p w14:paraId="4C2F0E7B" w14:textId="2C01BD74" w:rsidR="00FF6102" w:rsidRPr="00903F89" w:rsidRDefault="00FF6102" w:rsidP="00903F89">
            <w:pPr>
              <w:jc w:val="both"/>
              <w:rPr>
                <w:rFonts w:cs="Arial"/>
                <w:b/>
                <w:bCs/>
                <w:sz w:val="20"/>
                <w:szCs w:val="20"/>
                <w:u w:val="single"/>
              </w:rPr>
            </w:pPr>
            <w:r w:rsidRPr="00903F89">
              <w:rPr>
                <w:rFonts w:cs="Arial"/>
                <w:b/>
                <w:bCs/>
                <w:sz w:val="20"/>
                <w:szCs w:val="20"/>
                <w:u w:val="single"/>
              </w:rPr>
              <w:t>Άρθρο 403 – Εξοπλισμός Βιβλιοθήκης – €60</w:t>
            </w:r>
            <w:r w:rsidRPr="00903F89">
              <w:rPr>
                <w:rFonts w:cs="Arial"/>
                <w:b/>
                <w:bCs/>
                <w:sz w:val="20"/>
                <w:szCs w:val="20"/>
                <w:u w:val="single"/>
                <w:lang w:val="en-US"/>
              </w:rPr>
              <w:t>.000</w:t>
            </w:r>
          </w:p>
        </w:tc>
      </w:tr>
      <w:tr w:rsidR="00903F89" w:rsidRPr="00903F89" w14:paraId="2D466A8D" w14:textId="77777777" w:rsidTr="00B1212B">
        <w:tc>
          <w:tcPr>
            <w:tcW w:w="3072" w:type="dxa"/>
            <w:gridSpan w:val="4"/>
            <w:shd w:val="clear" w:color="auto" w:fill="auto"/>
          </w:tcPr>
          <w:p w14:paraId="1310DAB4" w14:textId="77777777" w:rsidR="00FF6102" w:rsidRPr="00903F89" w:rsidRDefault="00FF6102" w:rsidP="00903F89">
            <w:pPr>
              <w:jc w:val="both"/>
              <w:rPr>
                <w:rFonts w:cs="Arial"/>
                <w:b/>
                <w:sz w:val="20"/>
                <w:szCs w:val="20"/>
                <w:u w:val="single"/>
              </w:rPr>
            </w:pPr>
          </w:p>
        </w:tc>
        <w:tc>
          <w:tcPr>
            <w:tcW w:w="7728" w:type="dxa"/>
            <w:gridSpan w:val="6"/>
            <w:shd w:val="clear" w:color="auto" w:fill="auto"/>
          </w:tcPr>
          <w:p w14:paraId="08A2D714" w14:textId="77777777" w:rsidR="00FF6102" w:rsidRPr="00903F89" w:rsidRDefault="00FF6102" w:rsidP="00903F89">
            <w:pPr>
              <w:jc w:val="both"/>
              <w:rPr>
                <w:rFonts w:cs="Arial"/>
                <w:b/>
                <w:sz w:val="20"/>
                <w:szCs w:val="20"/>
                <w:u w:val="single"/>
              </w:rPr>
            </w:pPr>
          </w:p>
        </w:tc>
      </w:tr>
      <w:tr w:rsidR="00903F89" w:rsidRPr="00903F89" w14:paraId="71378C15" w14:textId="77777777" w:rsidTr="00B1212B">
        <w:tc>
          <w:tcPr>
            <w:tcW w:w="10800" w:type="dxa"/>
            <w:gridSpan w:val="10"/>
            <w:shd w:val="clear" w:color="auto" w:fill="auto"/>
          </w:tcPr>
          <w:p w14:paraId="0F5955A6" w14:textId="08B0192F" w:rsidR="00FF6102" w:rsidRPr="00903F89" w:rsidRDefault="00FF6102" w:rsidP="00903F89">
            <w:pPr>
              <w:autoSpaceDE w:val="0"/>
              <w:autoSpaceDN w:val="0"/>
              <w:adjustRightInd w:val="0"/>
              <w:jc w:val="both"/>
              <w:rPr>
                <w:rFonts w:eastAsiaTheme="minorHAnsi" w:cs="Arial"/>
                <w:sz w:val="20"/>
                <w:szCs w:val="20"/>
              </w:rPr>
            </w:pPr>
            <w:r w:rsidRPr="00903F89">
              <w:rPr>
                <w:rFonts w:cs="Arial"/>
                <w:sz w:val="20"/>
                <w:szCs w:val="20"/>
              </w:rPr>
              <w:t>Οι σχετικές πιστώσεις προορίζονται να καλύψουν δαπάνες προμήθειας εξειδικευμένου τεχνολογικού εξοπλισμού για το Κέντρο Πληροφόρησης – Βιβλιοθήκη «Στέλιος Ιωάννου»</w:t>
            </w:r>
            <w:r w:rsidRPr="00903F89">
              <w:rPr>
                <w:rFonts w:eastAsiaTheme="minorHAnsi" w:cs="Arial"/>
                <w:sz w:val="20"/>
                <w:szCs w:val="20"/>
              </w:rPr>
              <w:t xml:space="preserve"> και του Παραρτήματος της Βιβλιοθήκης στην Ερευνητική Μονάδα Αρχαιολογίας</w:t>
            </w:r>
            <w:r w:rsidRPr="00903F89">
              <w:rPr>
                <w:rFonts w:cs="Arial"/>
                <w:sz w:val="20"/>
                <w:szCs w:val="20"/>
              </w:rPr>
              <w:t xml:space="preserve">. </w:t>
            </w:r>
          </w:p>
        </w:tc>
      </w:tr>
      <w:tr w:rsidR="00903F89" w:rsidRPr="00903F89" w14:paraId="476FEDC2" w14:textId="77777777" w:rsidTr="00B1212B">
        <w:tc>
          <w:tcPr>
            <w:tcW w:w="10800" w:type="dxa"/>
            <w:gridSpan w:val="10"/>
            <w:shd w:val="clear" w:color="auto" w:fill="auto"/>
          </w:tcPr>
          <w:p w14:paraId="434BA118" w14:textId="77777777" w:rsidR="00FF6102" w:rsidRPr="00903F89" w:rsidRDefault="00FF6102" w:rsidP="00903F89">
            <w:pPr>
              <w:jc w:val="both"/>
              <w:rPr>
                <w:rFonts w:cs="Arial"/>
                <w:sz w:val="20"/>
                <w:szCs w:val="20"/>
              </w:rPr>
            </w:pPr>
          </w:p>
        </w:tc>
      </w:tr>
      <w:tr w:rsidR="00903F89" w:rsidRPr="00903F89" w14:paraId="748606F4" w14:textId="77777777" w:rsidTr="00B1212B">
        <w:tc>
          <w:tcPr>
            <w:tcW w:w="10800" w:type="dxa"/>
            <w:gridSpan w:val="10"/>
          </w:tcPr>
          <w:p w14:paraId="64CBABAD" w14:textId="5B5F1472" w:rsidR="00FF6102" w:rsidRPr="00903F89" w:rsidRDefault="00FF2718" w:rsidP="00903F89">
            <w:pPr>
              <w:jc w:val="both"/>
              <w:rPr>
                <w:rFonts w:cs="Arial"/>
                <w:b/>
                <w:bCs/>
                <w:sz w:val="20"/>
                <w:szCs w:val="20"/>
                <w:u w:val="double"/>
              </w:rPr>
            </w:pPr>
            <w:r w:rsidRPr="00903F89">
              <w:rPr>
                <w:rFonts w:cs="Arial"/>
                <w:b/>
                <w:bCs/>
                <w:sz w:val="20"/>
                <w:szCs w:val="20"/>
                <w:u w:val="double"/>
              </w:rPr>
              <w:t xml:space="preserve">Υποομάδα </w:t>
            </w:r>
            <w:r w:rsidR="00FF6102" w:rsidRPr="00903F89">
              <w:rPr>
                <w:rFonts w:cs="Arial"/>
                <w:b/>
                <w:bCs/>
                <w:sz w:val="20"/>
                <w:szCs w:val="20"/>
                <w:u w:val="double"/>
              </w:rPr>
              <w:t xml:space="preserve">410 – </w:t>
            </w:r>
            <w:r w:rsidR="00D054C1" w:rsidRPr="00903F89">
              <w:rPr>
                <w:rFonts w:cs="Arial"/>
                <w:b/>
                <w:bCs/>
                <w:sz w:val="20"/>
                <w:szCs w:val="20"/>
                <w:u w:val="double"/>
              </w:rPr>
              <w:t>Δαπάνες για Εξοπλισμό</w:t>
            </w:r>
          </w:p>
        </w:tc>
      </w:tr>
      <w:tr w:rsidR="00903F89" w:rsidRPr="00903F89" w14:paraId="5DBA6D6F" w14:textId="77777777" w:rsidTr="00B1212B">
        <w:tc>
          <w:tcPr>
            <w:tcW w:w="2780" w:type="dxa"/>
            <w:gridSpan w:val="3"/>
          </w:tcPr>
          <w:p w14:paraId="3F266181" w14:textId="77777777" w:rsidR="00FF6102" w:rsidRPr="00903F89" w:rsidRDefault="00FF6102" w:rsidP="00903F89">
            <w:pPr>
              <w:jc w:val="both"/>
              <w:rPr>
                <w:rFonts w:cs="Arial"/>
                <w:b/>
                <w:sz w:val="20"/>
                <w:szCs w:val="20"/>
                <w:u w:val="single"/>
              </w:rPr>
            </w:pPr>
          </w:p>
        </w:tc>
        <w:tc>
          <w:tcPr>
            <w:tcW w:w="8020" w:type="dxa"/>
            <w:gridSpan w:val="7"/>
            <w:shd w:val="clear" w:color="auto" w:fill="auto"/>
          </w:tcPr>
          <w:p w14:paraId="05C7D170" w14:textId="552258E6" w:rsidR="00FF6102" w:rsidRPr="00903F89" w:rsidRDefault="00FF6102" w:rsidP="00903F89">
            <w:pPr>
              <w:jc w:val="both"/>
              <w:rPr>
                <w:rFonts w:cs="Arial"/>
                <w:b/>
                <w:sz w:val="20"/>
                <w:szCs w:val="20"/>
                <w:u w:val="single"/>
              </w:rPr>
            </w:pPr>
          </w:p>
        </w:tc>
      </w:tr>
      <w:tr w:rsidR="00903F89" w:rsidRPr="00903F89" w14:paraId="28497707" w14:textId="77777777" w:rsidTr="00B1212B">
        <w:tc>
          <w:tcPr>
            <w:tcW w:w="10800" w:type="dxa"/>
            <w:gridSpan w:val="10"/>
            <w:shd w:val="clear" w:color="auto" w:fill="auto"/>
          </w:tcPr>
          <w:p w14:paraId="3220EB68" w14:textId="572AFB94" w:rsidR="00FF6102" w:rsidRPr="00903F89" w:rsidRDefault="00FF6102" w:rsidP="00903F89">
            <w:pPr>
              <w:jc w:val="both"/>
              <w:rPr>
                <w:rFonts w:eastAsia="Arial" w:cs="Arial"/>
                <w:b/>
                <w:bCs/>
                <w:sz w:val="20"/>
                <w:szCs w:val="20"/>
                <w:u w:val="single"/>
                <w:lang w:val="en-US"/>
              </w:rPr>
            </w:pPr>
            <w:r w:rsidRPr="00903F89">
              <w:rPr>
                <w:rFonts w:cs="Arial"/>
                <w:b/>
                <w:bCs/>
                <w:sz w:val="20"/>
                <w:szCs w:val="20"/>
                <w:u w:val="single"/>
              </w:rPr>
              <w:t>Άρθρο 411 - Αγορά Μηχανοκινήτων Οχημάτων - €30.000</w:t>
            </w:r>
          </w:p>
        </w:tc>
      </w:tr>
      <w:tr w:rsidR="00903F89" w:rsidRPr="00903F89" w14:paraId="58CC2202" w14:textId="77777777" w:rsidTr="00B1212B">
        <w:tc>
          <w:tcPr>
            <w:tcW w:w="10800" w:type="dxa"/>
            <w:gridSpan w:val="10"/>
            <w:shd w:val="clear" w:color="auto" w:fill="auto"/>
          </w:tcPr>
          <w:p w14:paraId="3C1DF08C" w14:textId="77777777" w:rsidR="00FF6102" w:rsidRPr="00903F89" w:rsidRDefault="00FF6102" w:rsidP="00903F89">
            <w:pPr>
              <w:jc w:val="both"/>
              <w:rPr>
                <w:rFonts w:cs="Arial"/>
                <w:sz w:val="20"/>
                <w:szCs w:val="20"/>
                <w:u w:val="single"/>
              </w:rPr>
            </w:pPr>
          </w:p>
        </w:tc>
      </w:tr>
      <w:tr w:rsidR="00903F89" w:rsidRPr="00903F89" w14:paraId="019FE29D" w14:textId="77777777" w:rsidTr="00B1212B">
        <w:tc>
          <w:tcPr>
            <w:tcW w:w="10800" w:type="dxa"/>
            <w:gridSpan w:val="10"/>
            <w:shd w:val="clear" w:color="auto" w:fill="auto"/>
          </w:tcPr>
          <w:p w14:paraId="5DB4F174" w14:textId="25694707" w:rsidR="00FF6102" w:rsidRPr="00903F89" w:rsidRDefault="00FF6102" w:rsidP="00903F89">
            <w:pPr>
              <w:jc w:val="both"/>
              <w:rPr>
                <w:rFonts w:eastAsia="Arial" w:cs="Arial"/>
                <w:sz w:val="20"/>
                <w:szCs w:val="20"/>
                <w:u w:val="single"/>
              </w:rPr>
            </w:pPr>
            <w:r w:rsidRPr="00903F89">
              <w:rPr>
                <w:rFonts w:cs="Arial"/>
                <w:sz w:val="20"/>
                <w:szCs w:val="20"/>
              </w:rPr>
              <w:t>Το άρθρο καλύπτει δαπάνες αγοράς μηχανοκινήτων οχημάτων για τις ανάγκες του Πανεπιστημίου.</w:t>
            </w:r>
          </w:p>
        </w:tc>
      </w:tr>
      <w:tr w:rsidR="00903F89" w:rsidRPr="00903F89" w14:paraId="2AB575B5" w14:textId="77777777" w:rsidTr="00B1212B">
        <w:tc>
          <w:tcPr>
            <w:tcW w:w="10800" w:type="dxa"/>
            <w:gridSpan w:val="10"/>
            <w:shd w:val="clear" w:color="auto" w:fill="auto"/>
          </w:tcPr>
          <w:p w14:paraId="67044AC6" w14:textId="77777777" w:rsidR="00FF6102" w:rsidRPr="00903F89" w:rsidRDefault="00FF6102" w:rsidP="00903F89">
            <w:pPr>
              <w:jc w:val="both"/>
              <w:rPr>
                <w:rFonts w:cs="Arial"/>
                <w:sz w:val="20"/>
                <w:szCs w:val="20"/>
              </w:rPr>
            </w:pPr>
          </w:p>
        </w:tc>
      </w:tr>
      <w:tr w:rsidR="00903F89" w:rsidRPr="00903F89" w14:paraId="162C4479" w14:textId="77777777" w:rsidTr="00B1212B">
        <w:tc>
          <w:tcPr>
            <w:tcW w:w="10800" w:type="dxa"/>
            <w:gridSpan w:val="10"/>
          </w:tcPr>
          <w:p w14:paraId="4AEA3627" w14:textId="263AA643" w:rsidR="00FF6102" w:rsidRPr="00903F89" w:rsidRDefault="00FF6102" w:rsidP="00903F89">
            <w:pPr>
              <w:jc w:val="both"/>
              <w:rPr>
                <w:rFonts w:eastAsia="Arial" w:cs="Arial"/>
                <w:b/>
                <w:bCs/>
                <w:sz w:val="20"/>
                <w:szCs w:val="20"/>
                <w:u w:val="single"/>
              </w:rPr>
            </w:pPr>
            <w:r w:rsidRPr="00903F89">
              <w:rPr>
                <w:rFonts w:cs="Arial"/>
                <w:b/>
                <w:bCs/>
                <w:sz w:val="20"/>
                <w:szCs w:val="20"/>
                <w:u w:val="single"/>
              </w:rPr>
              <w:t xml:space="preserve">Άρθρο 412 – </w:t>
            </w:r>
            <w:bookmarkStart w:id="57" w:name="_Hlk77234121"/>
            <w:r w:rsidRPr="00903F89">
              <w:rPr>
                <w:rFonts w:cs="Arial"/>
                <w:b/>
                <w:bCs/>
                <w:sz w:val="20"/>
                <w:szCs w:val="20"/>
                <w:u w:val="single"/>
              </w:rPr>
              <w:t xml:space="preserve">Αγορά Μηχανογραφικού, Ηλεκτρονικού και Άλλου Εξοπλισμού </w:t>
            </w:r>
            <w:bookmarkEnd w:id="57"/>
            <w:r w:rsidRPr="00903F89">
              <w:rPr>
                <w:rFonts w:cs="Arial"/>
                <w:b/>
                <w:bCs/>
                <w:sz w:val="20"/>
                <w:szCs w:val="20"/>
                <w:u w:val="single"/>
              </w:rPr>
              <w:t>– €5.067.780</w:t>
            </w:r>
          </w:p>
        </w:tc>
      </w:tr>
      <w:tr w:rsidR="00903F89" w:rsidRPr="00903F89" w14:paraId="721BBF4D" w14:textId="77777777" w:rsidTr="00B1212B">
        <w:tc>
          <w:tcPr>
            <w:tcW w:w="2780" w:type="dxa"/>
            <w:gridSpan w:val="3"/>
          </w:tcPr>
          <w:p w14:paraId="4330DF81" w14:textId="77777777" w:rsidR="00FF6102" w:rsidRPr="00903F89" w:rsidRDefault="00FF6102" w:rsidP="00903F89">
            <w:pPr>
              <w:jc w:val="both"/>
              <w:rPr>
                <w:rFonts w:cs="Arial"/>
                <w:b/>
                <w:sz w:val="20"/>
                <w:szCs w:val="20"/>
                <w:u w:val="single"/>
              </w:rPr>
            </w:pPr>
          </w:p>
        </w:tc>
        <w:tc>
          <w:tcPr>
            <w:tcW w:w="8020" w:type="dxa"/>
            <w:gridSpan w:val="7"/>
          </w:tcPr>
          <w:p w14:paraId="44FB3F57" w14:textId="77777777" w:rsidR="00FF6102" w:rsidRPr="00903F89" w:rsidRDefault="00FF6102" w:rsidP="00903F89">
            <w:pPr>
              <w:jc w:val="both"/>
              <w:rPr>
                <w:rFonts w:cs="Arial"/>
                <w:b/>
                <w:sz w:val="20"/>
                <w:szCs w:val="20"/>
                <w:u w:val="single"/>
              </w:rPr>
            </w:pPr>
          </w:p>
        </w:tc>
      </w:tr>
      <w:tr w:rsidR="00903F89" w:rsidRPr="00903F89" w14:paraId="16989C47" w14:textId="77777777" w:rsidTr="00B1212B">
        <w:tc>
          <w:tcPr>
            <w:tcW w:w="10800" w:type="dxa"/>
            <w:gridSpan w:val="10"/>
          </w:tcPr>
          <w:p w14:paraId="69DB2147" w14:textId="6C8DF848" w:rsidR="00FF6102" w:rsidRPr="00903F89" w:rsidRDefault="00FF6102" w:rsidP="00903F89">
            <w:pPr>
              <w:jc w:val="both"/>
              <w:rPr>
                <w:rFonts w:eastAsia="Arial" w:cs="Arial"/>
                <w:b/>
                <w:bCs/>
                <w:sz w:val="20"/>
                <w:szCs w:val="20"/>
                <w:u w:val="single"/>
              </w:rPr>
            </w:pPr>
            <w:bookmarkStart w:id="58" w:name="_Hlk77234489"/>
            <w:r w:rsidRPr="00903F89">
              <w:rPr>
                <w:rFonts w:cs="Arial"/>
                <w:sz w:val="20"/>
                <w:szCs w:val="20"/>
              </w:rPr>
              <w:t xml:space="preserve">Η πρόνοια προορίζεται να καλύψει δαπάνες αγοράς εξοπλισμού, απαραίτητου για τη δημιουργία υποδομής αλλά και για τη λειτουργία των ερευνητικών και διδακτικών εργαστηρίων διαφόρων οργανωτικών μονάδων.  Η πρόνοια καλύπτει επίσης αγορά εξοπλισμού για νέο προσωπικό και ερευνητικά προγράμματα, για αντικατάσταση πεπαλαιωμένου εξοπλισμού, καθώς και για αγορά αδειών χρήσης λογισμικών.  </w:t>
            </w:r>
            <w:bookmarkEnd w:id="58"/>
            <w:r w:rsidRPr="00903F89">
              <w:rPr>
                <w:rFonts w:cs="Arial"/>
                <w:sz w:val="20"/>
                <w:szCs w:val="20"/>
              </w:rPr>
              <w:t>Η πρόνοια αναμένεται να καλύψει δαπάνες μέχρι €1.200.000 οι οποίες θα χρηματοδοτηθούν από την είσπραξη Κυβερνητικής Χορηγίας η οποία θα προέλθει από τις συμφωνίες Δανείων της Κυπριακής Δημοκρατίας με την Ευρωπαϊκή Τράπεζα Επενδύσεων και την Τράπεζα Αναπτύξεως του Συμβουλίου της Ευρώπης, και αφορούν την υποδομή/ εξοπλισμό των Τμημάτων της Πολυτεχνικής Σχολής.</w:t>
            </w:r>
          </w:p>
        </w:tc>
      </w:tr>
      <w:tr w:rsidR="00903F89" w:rsidRPr="00903F89" w14:paraId="387428FA" w14:textId="77777777" w:rsidTr="00B1212B">
        <w:tc>
          <w:tcPr>
            <w:tcW w:w="10800" w:type="dxa"/>
            <w:gridSpan w:val="10"/>
          </w:tcPr>
          <w:p w14:paraId="77B01074" w14:textId="77777777" w:rsidR="00FF6102" w:rsidRPr="00903F89" w:rsidRDefault="00FF6102" w:rsidP="00903F89">
            <w:pPr>
              <w:jc w:val="both"/>
              <w:rPr>
                <w:rFonts w:cs="Arial"/>
                <w:sz w:val="20"/>
                <w:szCs w:val="20"/>
              </w:rPr>
            </w:pPr>
          </w:p>
        </w:tc>
      </w:tr>
      <w:tr w:rsidR="00903F89" w:rsidRPr="00903F89" w14:paraId="61871760" w14:textId="77777777" w:rsidTr="00B1212B">
        <w:tc>
          <w:tcPr>
            <w:tcW w:w="10800" w:type="dxa"/>
            <w:gridSpan w:val="10"/>
            <w:shd w:val="clear" w:color="auto" w:fill="auto"/>
          </w:tcPr>
          <w:p w14:paraId="5B54DBF4" w14:textId="02425D01" w:rsidR="00FF6102" w:rsidRPr="00903F89" w:rsidRDefault="00FF6102" w:rsidP="00903F89">
            <w:pPr>
              <w:jc w:val="both"/>
              <w:rPr>
                <w:rFonts w:eastAsia="Arial" w:cs="Arial"/>
                <w:sz w:val="20"/>
                <w:szCs w:val="20"/>
              </w:rPr>
            </w:pPr>
            <w:r w:rsidRPr="00903F89">
              <w:rPr>
                <w:rFonts w:cs="Arial"/>
                <w:sz w:val="20"/>
                <w:szCs w:val="20"/>
              </w:rPr>
              <w:t>Η πρόνοια καλύπτει συγχρηματοδοτήσεις ευρωπαϊκών χρηματοδοτούμενων προγραμμάτων και προγραμμάτων του Ιδρύματος Έρευνας και Καινοτομίας (ΙδΕΚ).</w:t>
            </w:r>
            <w:r w:rsidRPr="00903F89">
              <w:rPr>
                <w:rFonts w:eastAsia="Arial" w:cs="Arial"/>
                <w:sz w:val="20"/>
                <w:szCs w:val="20"/>
              </w:rPr>
              <w:t xml:space="preserve">  </w:t>
            </w:r>
          </w:p>
        </w:tc>
      </w:tr>
      <w:tr w:rsidR="00903F89" w:rsidRPr="00903F89" w14:paraId="788247D2" w14:textId="77777777" w:rsidTr="00B1212B">
        <w:tc>
          <w:tcPr>
            <w:tcW w:w="10800" w:type="dxa"/>
            <w:gridSpan w:val="10"/>
          </w:tcPr>
          <w:p w14:paraId="1698A1C2" w14:textId="77777777" w:rsidR="00FF6102" w:rsidRPr="00903F89" w:rsidRDefault="00FF6102" w:rsidP="00903F89">
            <w:pPr>
              <w:jc w:val="both"/>
              <w:rPr>
                <w:rFonts w:cs="Arial"/>
                <w:b/>
                <w:sz w:val="20"/>
                <w:szCs w:val="20"/>
                <w:u w:val="single"/>
              </w:rPr>
            </w:pPr>
          </w:p>
        </w:tc>
      </w:tr>
      <w:tr w:rsidR="00903F89" w:rsidRPr="00903F89" w14:paraId="5776256B" w14:textId="77777777" w:rsidTr="00B1212B">
        <w:tc>
          <w:tcPr>
            <w:tcW w:w="10800" w:type="dxa"/>
            <w:gridSpan w:val="10"/>
            <w:shd w:val="clear" w:color="auto" w:fill="auto"/>
          </w:tcPr>
          <w:p w14:paraId="390A33E8" w14:textId="265771E7" w:rsidR="00FF6102" w:rsidRPr="00903F89" w:rsidRDefault="006507D9" w:rsidP="00903F89">
            <w:pPr>
              <w:jc w:val="both"/>
              <w:rPr>
                <w:rFonts w:eastAsia="Arial" w:cs="Arial"/>
                <w:sz w:val="20"/>
                <w:szCs w:val="20"/>
              </w:rPr>
            </w:pPr>
            <w:r w:rsidRPr="00903F89">
              <w:rPr>
                <w:rFonts w:cs="Arial"/>
                <w:sz w:val="20"/>
                <w:szCs w:val="20"/>
              </w:rPr>
              <w:t>Σημειώνεται ότι η πρόνοια του 2022 προορίζεται να καλύψει μεταξύ άλλων δαπάνες που εμπίπτουν στις ακόλουθες κατηγορίες:</w:t>
            </w:r>
          </w:p>
        </w:tc>
      </w:tr>
      <w:tr w:rsidR="00903F89" w:rsidRPr="00903F89" w14:paraId="413A3CC7" w14:textId="77777777" w:rsidTr="00B1212B">
        <w:tc>
          <w:tcPr>
            <w:tcW w:w="10800" w:type="dxa"/>
            <w:gridSpan w:val="10"/>
            <w:shd w:val="clear" w:color="auto" w:fill="auto"/>
          </w:tcPr>
          <w:p w14:paraId="6A86676A" w14:textId="77777777" w:rsidR="00FF6102" w:rsidRPr="00903F89" w:rsidRDefault="00FF6102" w:rsidP="00903F89">
            <w:pPr>
              <w:jc w:val="both"/>
              <w:rPr>
                <w:rFonts w:cs="Arial"/>
                <w:b/>
                <w:sz w:val="20"/>
                <w:szCs w:val="20"/>
                <w:u w:val="single"/>
              </w:rPr>
            </w:pPr>
          </w:p>
        </w:tc>
      </w:tr>
      <w:tr w:rsidR="00903F89" w:rsidRPr="00903F89" w14:paraId="79F0987B" w14:textId="77777777" w:rsidTr="00B1212B">
        <w:tc>
          <w:tcPr>
            <w:tcW w:w="10800" w:type="dxa"/>
            <w:gridSpan w:val="10"/>
            <w:shd w:val="clear" w:color="auto" w:fill="auto"/>
          </w:tcPr>
          <w:p w14:paraId="2E59477B" w14:textId="77777777" w:rsidR="006507D9" w:rsidRPr="00903F89" w:rsidRDefault="006507D9" w:rsidP="00903F89">
            <w:pPr>
              <w:numPr>
                <w:ilvl w:val="0"/>
                <w:numId w:val="2"/>
              </w:numPr>
              <w:jc w:val="both"/>
              <w:rPr>
                <w:rFonts w:cs="Arial"/>
                <w:sz w:val="20"/>
                <w:szCs w:val="20"/>
              </w:rPr>
            </w:pPr>
            <w:r w:rsidRPr="00903F89">
              <w:rPr>
                <w:rFonts w:cs="Arial"/>
                <w:sz w:val="20"/>
                <w:szCs w:val="20"/>
              </w:rPr>
              <w:t>μηχανογραφικό εξοπλισμό,</w:t>
            </w:r>
          </w:p>
          <w:p w14:paraId="321810E7" w14:textId="5B7C0AF6" w:rsidR="006507D9" w:rsidRPr="00903F89" w:rsidRDefault="006507D9" w:rsidP="00903F89">
            <w:pPr>
              <w:numPr>
                <w:ilvl w:val="0"/>
                <w:numId w:val="2"/>
              </w:numPr>
              <w:jc w:val="both"/>
              <w:rPr>
                <w:rFonts w:cs="Arial"/>
                <w:sz w:val="20"/>
                <w:szCs w:val="20"/>
              </w:rPr>
            </w:pPr>
            <w:r w:rsidRPr="00903F89">
              <w:rPr>
                <w:rFonts w:cs="Arial"/>
                <w:sz w:val="20"/>
                <w:szCs w:val="20"/>
              </w:rPr>
              <w:t>εξοπλισμό πληροφορικής,</w:t>
            </w:r>
          </w:p>
          <w:p w14:paraId="604D31E0" w14:textId="3F35E856" w:rsidR="006507D9" w:rsidRPr="00903F89" w:rsidRDefault="006507D9" w:rsidP="00903F89">
            <w:pPr>
              <w:numPr>
                <w:ilvl w:val="0"/>
                <w:numId w:val="2"/>
              </w:numPr>
              <w:jc w:val="both"/>
              <w:rPr>
                <w:rFonts w:cs="Arial"/>
                <w:sz w:val="20"/>
                <w:szCs w:val="20"/>
              </w:rPr>
            </w:pPr>
            <w:r w:rsidRPr="00903F89">
              <w:rPr>
                <w:rFonts w:cs="Arial"/>
                <w:sz w:val="20"/>
                <w:szCs w:val="20"/>
              </w:rPr>
              <w:t>υπηρεσίες εγκατάστασης και παραμετροποίησης εξοπλισμού πληροφορικής,</w:t>
            </w:r>
          </w:p>
          <w:p w14:paraId="0C7F54EA" w14:textId="47F3AC41" w:rsidR="006507D9" w:rsidRPr="00903F89" w:rsidRDefault="006507D9" w:rsidP="00903F89">
            <w:pPr>
              <w:numPr>
                <w:ilvl w:val="0"/>
                <w:numId w:val="2"/>
              </w:numPr>
              <w:jc w:val="both"/>
              <w:rPr>
                <w:rFonts w:cs="Arial"/>
                <w:sz w:val="20"/>
                <w:szCs w:val="20"/>
              </w:rPr>
            </w:pPr>
            <w:r w:rsidRPr="00903F89">
              <w:rPr>
                <w:rFonts w:cs="Arial"/>
                <w:sz w:val="20"/>
                <w:szCs w:val="20"/>
              </w:rPr>
              <w:t xml:space="preserve">αγορά υπηρεσιών </w:t>
            </w:r>
            <w:proofErr w:type="spellStart"/>
            <w:r w:rsidRPr="00903F89">
              <w:rPr>
                <w:rFonts w:cs="Arial"/>
                <w:sz w:val="20"/>
                <w:szCs w:val="20"/>
              </w:rPr>
              <w:t>Call</w:t>
            </w:r>
            <w:proofErr w:type="spellEnd"/>
            <w:r w:rsidRPr="00903F89">
              <w:rPr>
                <w:rFonts w:cs="Arial"/>
                <w:sz w:val="20"/>
                <w:szCs w:val="20"/>
              </w:rPr>
              <w:t xml:space="preserve"> Center</w:t>
            </w:r>
          </w:p>
          <w:p w14:paraId="0BE95620" w14:textId="0430A4A5" w:rsidR="006507D9" w:rsidRPr="00903F89" w:rsidRDefault="006507D9" w:rsidP="00903F89">
            <w:pPr>
              <w:numPr>
                <w:ilvl w:val="0"/>
                <w:numId w:val="2"/>
              </w:numPr>
              <w:jc w:val="both"/>
              <w:rPr>
                <w:rFonts w:cs="Arial"/>
                <w:sz w:val="20"/>
                <w:szCs w:val="20"/>
              </w:rPr>
            </w:pPr>
            <w:r w:rsidRPr="00903F89">
              <w:rPr>
                <w:rFonts w:cs="Arial"/>
                <w:sz w:val="20"/>
                <w:szCs w:val="20"/>
              </w:rPr>
              <w:t>υπηρεσίες εκπαίδευσης ως αναπόσπαστο μέρος έργων πληροφορικής</w:t>
            </w:r>
          </w:p>
          <w:p w14:paraId="1199B72F" w14:textId="77777777" w:rsidR="006507D9" w:rsidRPr="00903F89" w:rsidRDefault="006507D9" w:rsidP="00903F89">
            <w:pPr>
              <w:numPr>
                <w:ilvl w:val="0"/>
                <w:numId w:val="2"/>
              </w:numPr>
              <w:jc w:val="both"/>
              <w:rPr>
                <w:rFonts w:cs="Arial"/>
                <w:sz w:val="20"/>
                <w:szCs w:val="20"/>
              </w:rPr>
            </w:pPr>
            <w:r w:rsidRPr="00903F89">
              <w:rPr>
                <w:rFonts w:cs="Arial"/>
                <w:sz w:val="20"/>
                <w:szCs w:val="20"/>
              </w:rPr>
              <w:t>εργαστηριακό (μη πληροφορικό) εξοπλισμό,</w:t>
            </w:r>
          </w:p>
          <w:p w14:paraId="51154A55" w14:textId="77777777" w:rsidR="006507D9" w:rsidRPr="00903F89" w:rsidRDefault="006507D9" w:rsidP="00903F89">
            <w:pPr>
              <w:numPr>
                <w:ilvl w:val="0"/>
                <w:numId w:val="2"/>
              </w:numPr>
              <w:jc w:val="both"/>
              <w:rPr>
                <w:rFonts w:cs="Arial"/>
                <w:sz w:val="20"/>
                <w:szCs w:val="20"/>
              </w:rPr>
            </w:pPr>
            <w:r w:rsidRPr="00903F89">
              <w:rPr>
                <w:rFonts w:cs="Arial"/>
                <w:sz w:val="20"/>
                <w:szCs w:val="20"/>
              </w:rPr>
              <w:t>ηλεκτρονικό εξοπλισμό (π.χ. φωτοτυπικές μηχανές και περιφερειακό εξοπλισμό διοικητικής υποστήριξης όπως μηχανές καταστροφής εγγράφων (</w:t>
            </w:r>
            <w:proofErr w:type="spellStart"/>
            <w:r w:rsidRPr="00903F89">
              <w:rPr>
                <w:rFonts w:cs="Arial"/>
                <w:sz w:val="20"/>
                <w:szCs w:val="20"/>
              </w:rPr>
              <w:t>shredding</w:t>
            </w:r>
            <w:proofErr w:type="spellEnd"/>
            <w:r w:rsidRPr="00903F89">
              <w:rPr>
                <w:rFonts w:cs="Arial"/>
                <w:sz w:val="20"/>
                <w:szCs w:val="20"/>
              </w:rPr>
              <w:t xml:space="preserve"> </w:t>
            </w:r>
            <w:proofErr w:type="spellStart"/>
            <w:r w:rsidRPr="00903F89">
              <w:rPr>
                <w:rFonts w:cs="Arial"/>
                <w:sz w:val="20"/>
                <w:szCs w:val="20"/>
              </w:rPr>
              <w:t>machine</w:t>
            </w:r>
            <w:proofErr w:type="spellEnd"/>
            <w:r w:rsidRPr="00903F89">
              <w:rPr>
                <w:rFonts w:cs="Arial"/>
                <w:sz w:val="20"/>
                <w:szCs w:val="20"/>
              </w:rPr>
              <w:t>), μηχανήματα προβολής εικόνας (</w:t>
            </w:r>
            <w:proofErr w:type="spellStart"/>
            <w:r w:rsidRPr="00903F89">
              <w:rPr>
                <w:rFonts w:cs="Arial"/>
                <w:sz w:val="20"/>
                <w:szCs w:val="20"/>
              </w:rPr>
              <w:t>slide</w:t>
            </w:r>
            <w:proofErr w:type="spellEnd"/>
            <w:r w:rsidRPr="00903F89">
              <w:rPr>
                <w:rFonts w:cs="Arial"/>
                <w:sz w:val="20"/>
                <w:szCs w:val="20"/>
              </w:rPr>
              <w:t xml:space="preserve"> </w:t>
            </w:r>
            <w:proofErr w:type="spellStart"/>
            <w:r w:rsidRPr="00903F89">
              <w:rPr>
                <w:rFonts w:cs="Arial"/>
                <w:sz w:val="20"/>
                <w:szCs w:val="20"/>
              </w:rPr>
              <w:t>projectors</w:t>
            </w:r>
            <w:proofErr w:type="spellEnd"/>
            <w:r w:rsidRPr="00903F89">
              <w:rPr>
                <w:rFonts w:cs="Arial"/>
                <w:sz w:val="20"/>
                <w:szCs w:val="20"/>
              </w:rPr>
              <w:t>), μηχανήματα προβολής (</w:t>
            </w:r>
            <w:proofErr w:type="spellStart"/>
            <w:r w:rsidRPr="00903F89">
              <w:rPr>
                <w:rFonts w:cs="Arial"/>
                <w:sz w:val="20"/>
                <w:szCs w:val="20"/>
              </w:rPr>
              <w:t>overhead</w:t>
            </w:r>
            <w:proofErr w:type="spellEnd"/>
            <w:r w:rsidRPr="00903F89">
              <w:rPr>
                <w:rFonts w:cs="Arial"/>
                <w:sz w:val="20"/>
                <w:szCs w:val="20"/>
              </w:rPr>
              <w:t xml:space="preserve"> - </w:t>
            </w:r>
            <w:proofErr w:type="spellStart"/>
            <w:r w:rsidRPr="00903F89">
              <w:rPr>
                <w:rFonts w:cs="Arial"/>
                <w:sz w:val="20"/>
                <w:szCs w:val="20"/>
              </w:rPr>
              <w:t>projectors</w:t>
            </w:r>
            <w:proofErr w:type="spellEnd"/>
            <w:r w:rsidRPr="00903F89">
              <w:rPr>
                <w:rFonts w:cs="Arial"/>
                <w:sz w:val="20"/>
                <w:szCs w:val="20"/>
              </w:rPr>
              <w:t>), οθόνες τοίχου</w:t>
            </w:r>
          </w:p>
          <w:p w14:paraId="38D18AED" w14:textId="77777777" w:rsidR="006507D9" w:rsidRPr="00903F89" w:rsidRDefault="006507D9" w:rsidP="00903F89">
            <w:pPr>
              <w:numPr>
                <w:ilvl w:val="0"/>
                <w:numId w:val="2"/>
              </w:numPr>
              <w:jc w:val="both"/>
              <w:rPr>
                <w:rFonts w:cs="Arial"/>
                <w:sz w:val="20"/>
                <w:szCs w:val="20"/>
              </w:rPr>
            </w:pPr>
            <w:r w:rsidRPr="00903F89">
              <w:rPr>
                <w:rFonts w:cs="Arial"/>
                <w:sz w:val="20"/>
                <w:szCs w:val="20"/>
              </w:rPr>
              <w:t xml:space="preserve">υποστήριξη του θεσμού των εναρκτήριων χρηματοδοτήσεων, </w:t>
            </w:r>
          </w:p>
          <w:p w14:paraId="59CB7D17" w14:textId="77777777" w:rsidR="006507D9" w:rsidRPr="00903F89" w:rsidRDefault="006507D9" w:rsidP="00903F89">
            <w:pPr>
              <w:numPr>
                <w:ilvl w:val="0"/>
                <w:numId w:val="2"/>
              </w:numPr>
              <w:jc w:val="both"/>
              <w:rPr>
                <w:rFonts w:cs="Arial"/>
                <w:sz w:val="20"/>
                <w:szCs w:val="20"/>
              </w:rPr>
            </w:pPr>
            <w:r w:rsidRPr="00903F89">
              <w:rPr>
                <w:rFonts w:cs="Arial"/>
                <w:sz w:val="20"/>
                <w:szCs w:val="20"/>
              </w:rPr>
              <w:t xml:space="preserve">συγχρηματοδότηση των μη επιλέξιμων δαπανών απόσβεσης εξοπλισμού ερευνητικών προγραμμάτων, και </w:t>
            </w:r>
          </w:p>
          <w:p w14:paraId="6E8AB0C5" w14:textId="77777777" w:rsidR="006507D9" w:rsidRPr="00903F89" w:rsidRDefault="006507D9" w:rsidP="00903F89">
            <w:pPr>
              <w:numPr>
                <w:ilvl w:val="0"/>
                <w:numId w:val="2"/>
              </w:numPr>
              <w:jc w:val="both"/>
              <w:rPr>
                <w:rFonts w:cs="Arial"/>
                <w:sz w:val="20"/>
                <w:szCs w:val="20"/>
              </w:rPr>
            </w:pPr>
            <w:r w:rsidRPr="00903F89">
              <w:rPr>
                <w:rFonts w:cs="Arial"/>
                <w:sz w:val="20"/>
                <w:szCs w:val="20"/>
              </w:rPr>
              <w:t xml:space="preserve">δαπάνες αναβάθμισης των συστημάτων της Κεντρικής Διοίκησης, </w:t>
            </w:r>
          </w:p>
          <w:p w14:paraId="757DE615" w14:textId="5004E0F3" w:rsidR="00FF6102" w:rsidRPr="00903F89" w:rsidRDefault="006507D9" w:rsidP="00903F89">
            <w:pPr>
              <w:numPr>
                <w:ilvl w:val="0"/>
                <w:numId w:val="2"/>
              </w:numPr>
              <w:jc w:val="both"/>
              <w:rPr>
                <w:rFonts w:cs="Arial"/>
                <w:sz w:val="20"/>
                <w:szCs w:val="20"/>
              </w:rPr>
            </w:pPr>
            <w:r w:rsidRPr="00903F89">
              <w:rPr>
                <w:rFonts w:cs="Arial"/>
                <w:sz w:val="20"/>
                <w:szCs w:val="20"/>
              </w:rPr>
              <w:t>αγορά ερευνητικού εξοπλισμού.</w:t>
            </w:r>
          </w:p>
        </w:tc>
      </w:tr>
      <w:tr w:rsidR="00903F89" w:rsidRPr="00903F89" w14:paraId="6321C5D6" w14:textId="77777777" w:rsidTr="00B1212B">
        <w:tc>
          <w:tcPr>
            <w:tcW w:w="10800" w:type="dxa"/>
            <w:gridSpan w:val="10"/>
            <w:shd w:val="clear" w:color="auto" w:fill="auto"/>
          </w:tcPr>
          <w:p w14:paraId="1E169368" w14:textId="77777777" w:rsidR="00FF6102" w:rsidRPr="00903F89" w:rsidRDefault="00FF6102" w:rsidP="00903F89">
            <w:pPr>
              <w:jc w:val="both"/>
              <w:rPr>
                <w:rFonts w:cs="Arial"/>
                <w:b/>
                <w:sz w:val="20"/>
                <w:szCs w:val="20"/>
                <w:u w:val="single"/>
              </w:rPr>
            </w:pPr>
          </w:p>
        </w:tc>
      </w:tr>
      <w:tr w:rsidR="00903F89" w:rsidRPr="00903F89" w14:paraId="7FF0BB25" w14:textId="77777777" w:rsidTr="00B1212B">
        <w:tc>
          <w:tcPr>
            <w:tcW w:w="10800" w:type="dxa"/>
            <w:gridSpan w:val="10"/>
            <w:shd w:val="clear" w:color="auto" w:fill="auto"/>
          </w:tcPr>
          <w:p w14:paraId="0171A5C2" w14:textId="76546EC4" w:rsidR="00F87E65" w:rsidRPr="00903F89" w:rsidRDefault="00AE7D32" w:rsidP="00903F89">
            <w:pPr>
              <w:jc w:val="both"/>
              <w:rPr>
                <w:rFonts w:cs="Arial"/>
                <w:sz w:val="20"/>
                <w:szCs w:val="20"/>
              </w:rPr>
            </w:pPr>
            <w:r w:rsidRPr="00903F89">
              <w:rPr>
                <w:rFonts w:cs="Arial"/>
                <w:sz w:val="20"/>
                <w:szCs w:val="20"/>
              </w:rPr>
              <w:t>Η πρόνοια του άρθρου αναμένεται να καλύψει και τις δαπάνες προμήθειας νέου Συστήματος Διαχείρισης Ταυτοτήτων και  Δικαιωμάτων Πρόσβασης, για αντικατάσταση του υφιστάμενου Συστήματος του οποίου η συμφωνία συντήρησης λήγει εντός του 2022.  Το νέο σύστημα αποτελεί κρίσιμο σύστημα πληροφορικής, και είναι απαραίτητο για την αυτόματη διαχείριση του κύκλου ζωής των λογαριασμών (</w:t>
            </w:r>
            <w:proofErr w:type="spellStart"/>
            <w:r w:rsidRPr="00903F89">
              <w:rPr>
                <w:rFonts w:cs="Arial"/>
                <w:sz w:val="20"/>
                <w:szCs w:val="20"/>
              </w:rPr>
              <w:t>usernames</w:t>
            </w:r>
            <w:proofErr w:type="spellEnd"/>
            <w:r w:rsidRPr="00903F89">
              <w:rPr>
                <w:rFonts w:cs="Arial"/>
                <w:sz w:val="20"/>
                <w:szCs w:val="20"/>
              </w:rPr>
              <w:t>/</w:t>
            </w:r>
            <w:proofErr w:type="spellStart"/>
            <w:r w:rsidRPr="00903F89">
              <w:rPr>
                <w:rFonts w:cs="Arial"/>
                <w:sz w:val="20"/>
                <w:szCs w:val="20"/>
              </w:rPr>
              <w:t>passwords</w:t>
            </w:r>
            <w:proofErr w:type="spellEnd"/>
            <w:r w:rsidRPr="00903F89">
              <w:rPr>
                <w:rFonts w:cs="Arial"/>
                <w:sz w:val="20"/>
                <w:szCs w:val="20"/>
              </w:rPr>
              <w:t>) του ΠΚ, με τους οποίους τα μέλη της πανεπιστημιακής κοινότητας αποκτούν δικαιώματα πρόσβασης στα απαραίτητα συστήματά του.</w:t>
            </w:r>
          </w:p>
        </w:tc>
      </w:tr>
      <w:tr w:rsidR="00903F89" w:rsidRPr="00903F89" w14:paraId="4750ABE0" w14:textId="77777777" w:rsidTr="00B1212B">
        <w:tc>
          <w:tcPr>
            <w:tcW w:w="10800" w:type="dxa"/>
            <w:gridSpan w:val="10"/>
          </w:tcPr>
          <w:p w14:paraId="0A10F341" w14:textId="77777777" w:rsidR="00F87E65" w:rsidRPr="00903F89" w:rsidRDefault="00F87E65" w:rsidP="00903F89">
            <w:pPr>
              <w:jc w:val="both"/>
              <w:rPr>
                <w:rFonts w:cs="Arial"/>
                <w:sz w:val="20"/>
                <w:szCs w:val="20"/>
              </w:rPr>
            </w:pPr>
          </w:p>
        </w:tc>
      </w:tr>
      <w:tr w:rsidR="00903F89" w:rsidRPr="00903F89" w14:paraId="64DDCB34" w14:textId="77777777" w:rsidTr="00B1212B">
        <w:tc>
          <w:tcPr>
            <w:tcW w:w="10800" w:type="dxa"/>
            <w:gridSpan w:val="10"/>
            <w:shd w:val="clear" w:color="auto" w:fill="auto"/>
          </w:tcPr>
          <w:p w14:paraId="21AF8068" w14:textId="77777777" w:rsidR="00FF6102" w:rsidRPr="00903F89" w:rsidRDefault="00FF6102" w:rsidP="00903F89">
            <w:pPr>
              <w:jc w:val="both"/>
              <w:rPr>
                <w:rFonts w:eastAsia="Arial" w:cs="Arial"/>
                <w:b/>
                <w:bCs/>
                <w:sz w:val="20"/>
                <w:szCs w:val="20"/>
                <w:u w:val="single"/>
              </w:rPr>
            </w:pPr>
            <w:r w:rsidRPr="00903F89">
              <w:rPr>
                <w:rFonts w:cs="Arial"/>
                <w:sz w:val="20"/>
                <w:szCs w:val="20"/>
              </w:rPr>
              <w:t xml:space="preserve">Δαπάνες που αφορούν στην προμήθεια οικιακών συσκευών για τον εξοπλισμό των χώρων κουζίνας, γραφείων και αιθουσών διδασκαλίας στις εγκαταστάσεις και στα υπό ενοικίαση κτήρια του Πανεπιστημίου Κύπρου [π.χ. ψυγείο, τηλεόραση, συσκευή βίντεο, ράδιο – κασετόφωνο], δύναται να καλύπτονται από την πρόνοια του άρθρου αυτού. </w:t>
            </w:r>
          </w:p>
        </w:tc>
      </w:tr>
      <w:tr w:rsidR="00903F89" w:rsidRPr="00903F89" w14:paraId="6AF20CD9" w14:textId="77777777" w:rsidTr="00B1212B">
        <w:tc>
          <w:tcPr>
            <w:tcW w:w="10800" w:type="dxa"/>
            <w:gridSpan w:val="10"/>
          </w:tcPr>
          <w:p w14:paraId="2BC9774A" w14:textId="77777777" w:rsidR="00FF6102" w:rsidRPr="00903F89" w:rsidRDefault="00FF6102" w:rsidP="00903F89">
            <w:pPr>
              <w:jc w:val="both"/>
              <w:rPr>
                <w:rFonts w:cs="Arial"/>
                <w:b/>
                <w:sz w:val="20"/>
                <w:szCs w:val="20"/>
                <w:u w:val="single"/>
              </w:rPr>
            </w:pPr>
          </w:p>
        </w:tc>
      </w:tr>
      <w:tr w:rsidR="00903F89" w:rsidRPr="00903F89" w14:paraId="290DDFEB" w14:textId="77777777" w:rsidTr="00B1212B">
        <w:tc>
          <w:tcPr>
            <w:tcW w:w="10800" w:type="dxa"/>
            <w:gridSpan w:val="10"/>
          </w:tcPr>
          <w:p w14:paraId="3082E813" w14:textId="6CE5784A"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413 – Αγορά Κινητής Επίπλωσης και Εξοπλισμού – €963.500</w:t>
            </w:r>
          </w:p>
        </w:tc>
      </w:tr>
      <w:tr w:rsidR="00903F89" w:rsidRPr="00903F89" w14:paraId="47855F7E" w14:textId="77777777" w:rsidTr="00B1212B">
        <w:tc>
          <w:tcPr>
            <w:tcW w:w="10800" w:type="dxa"/>
            <w:gridSpan w:val="10"/>
          </w:tcPr>
          <w:p w14:paraId="794E2F9C" w14:textId="77777777" w:rsidR="00FF6102" w:rsidRPr="00903F89" w:rsidRDefault="00FF6102" w:rsidP="00903F89">
            <w:pPr>
              <w:jc w:val="both"/>
              <w:rPr>
                <w:rFonts w:cs="Arial"/>
                <w:b/>
                <w:sz w:val="20"/>
                <w:szCs w:val="20"/>
                <w:u w:val="single"/>
              </w:rPr>
            </w:pPr>
          </w:p>
        </w:tc>
      </w:tr>
      <w:tr w:rsidR="00903F89" w:rsidRPr="00903F89" w14:paraId="2F4215F3" w14:textId="77777777" w:rsidTr="00B1212B">
        <w:tc>
          <w:tcPr>
            <w:tcW w:w="10800" w:type="dxa"/>
            <w:gridSpan w:val="10"/>
            <w:shd w:val="clear" w:color="auto" w:fill="auto"/>
          </w:tcPr>
          <w:p w14:paraId="534593C0" w14:textId="43698C61" w:rsidR="00FF6102" w:rsidRPr="00903F89" w:rsidRDefault="00FF6102" w:rsidP="00903F89">
            <w:pPr>
              <w:jc w:val="both"/>
              <w:rPr>
                <w:rFonts w:eastAsia="Arial" w:cs="Arial"/>
                <w:sz w:val="20"/>
                <w:szCs w:val="20"/>
                <w:u w:val="single"/>
              </w:rPr>
            </w:pPr>
            <w:r w:rsidRPr="00903F89">
              <w:rPr>
                <w:rFonts w:cs="Arial"/>
                <w:sz w:val="20"/>
                <w:szCs w:val="20"/>
              </w:rPr>
              <w:t xml:space="preserve">Η πιο πάνω πρόνοια προορίζεται να καλύψει την αγορά γενικού εξοπλισμού, επίπλωσης γραφειακών χώρων και χώρων διαμονής καθώς και την προμήθεια κινητής επίπλωσης στις εγκαταστάσεις του Πανεπιστημίου Κύπρου και στα υπό ενοικίαση/ ιδιόκτητα κτήρια και χώρους (γραφεία, αίθουσες διδασκαλίας, εργαστήρια, χώρους διαμονής </w:t>
            </w:r>
            <w:r w:rsidR="00D55285" w:rsidRPr="00903F89">
              <w:rPr>
                <w:rFonts w:cs="Arial"/>
                <w:sz w:val="20"/>
                <w:szCs w:val="20"/>
              </w:rPr>
              <w:t>κ.λπ</w:t>
            </w:r>
            <w:r w:rsidRPr="00903F89">
              <w:rPr>
                <w:rFonts w:cs="Arial"/>
                <w:sz w:val="20"/>
                <w:szCs w:val="20"/>
              </w:rPr>
              <w:t>.).</w:t>
            </w:r>
          </w:p>
        </w:tc>
      </w:tr>
      <w:tr w:rsidR="00903F89" w:rsidRPr="00903F89" w14:paraId="3070CA08" w14:textId="77777777" w:rsidTr="00B1212B">
        <w:tc>
          <w:tcPr>
            <w:tcW w:w="2780" w:type="dxa"/>
            <w:gridSpan w:val="3"/>
          </w:tcPr>
          <w:p w14:paraId="5B0EE79E" w14:textId="77777777" w:rsidR="00FF6102" w:rsidRPr="00903F89" w:rsidRDefault="00FF6102" w:rsidP="00903F89">
            <w:pPr>
              <w:jc w:val="both"/>
              <w:rPr>
                <w:rFonts w:cs="Arial"/>
                <w:b/>
                <w:sz w:val="20"/>
                <w:szCs w:val="20"/>
                <w:u w:val="single"/>
              </w:rPr>
            </w:pPr>
          </w:p>
        </w:tc>
        <w:tc>
          <w:tcPr>
            <w:tcW w:w="8020" w:type="dxa"/>
            <w:gridSpan w:val="7"/>
            <w:shd w:val="clear" w:color="auto" w:fill="auto"/>
          </w:tcPr>
          <w:p w14:paraId="65D8869E" w14:textId="77777777" w:rsidR="00FF6102" w:rsidRPr="00903F89" w:rsidRDefault="00FF6102" w:rsidP="00903F89">
            <w:pPr>
              <w:jc w:val="both"/>
              <w:rPr>
                <w:rFonts w:cs="Arial"/>
                <w:sz w:val="20"/>
                <w:szCs w:val="20"/>
                <w:u w:val="single"/>
              </w:rPr>
            </w:pPr>
          </w:p>
        </w:tc>
      </w:tr>
      <w:tr w:rsidR="00903F89" w:rsidRPr="00903F89" w14:paraId="382B6D24" w14:textId="77777777" w:rsidTr="00B1212B">
        <w:tc>
          <w:tcPr>
            <w:tcW w:w="10800" w:type="dxa"/>
            <w:gridSpan w:val="10"/>
            <w:shd w:val="clear" w:color="auto" w:fill="auto"/>
          </w:tcPr>
          <w:p w14:paraId="1BC38E01" w14:textId="5099CED6" w:rsidR="00FF6102" w:rsidRPr="00903F89" w:rsidRDefault="00FF6102" w:rsidP="00903F89">
            <w:pPr>
              <w:jc w:val="both"/>
              <w:rPr>
                <w:rFonts w:eastAsia="Arial" w:cs="Arial"/>
                <w:sz w:val="20"/>
                <w:szCs w:val="20"/>
                <w:u w:val="single"/>
              </w:rPr>
            </w:pPr>
            <w:r w:rsidRPr="00903F89">
              <w:rPr>
                <w:rFonts w:cs="Arial"/>
                <w:sz w:val="20"/>
                <w:szCs w:val="20"/>
              </w:rPr>
              <w:t xml:space="preserve">Δαπάνες που αφορούν στην προμήθεια παρεμφερών αντικειμένων και μικροεξοπλισμού γραφείων (συστήματα αρχειοθέτησης, ρόνεο, μεταλλικά ερμάρια, αμαξάκια μεταφορών, κρεμάστρες, σκάλες, καλοριφέρ, ανεμιστήρες, κλειδοθήκες, </w:t>
            </w:r>
            <w:r w:rsidR="00D55285" w:rsidRPr="00903F89">
              <w:rPr>
                <w:rFonts w:cs="Arial"/>
                <w:sz w:val="20"/>
                <w:szCs w:val="20"/>
              </w:rPr>
              <w:t>κ.λπ</w:t>
            </w:r>
            <w:r w:rsidRPr="00903F89">
              <w:rPr>
                <w:rFonts w:cs="Arial"/>
                <w:sz w:val="20"/>
                <w:szCs w:val="20"/>
              </w:rPr>
              <w:t xml:space="preserve">.), δύναται να καλύπτονται από την πρόνοια του άρθρου αυτού. </w:t>
            </w:r>
          </w:p>
        </w:tc>
      </w:tr>
      <w:tr w:rsidR="00903F89" w:rsidRPr="00903F89" w14:paraId="2FF0392E" w14:textId="77777777" w:rsidTr="00B1212B">
        <w:trPr>
          <w:trHeight w:val="288"/>
        </w:trPr>
        <w:tc>
          <w:tcPr>
            <w:tcW w:w="2780" w:type="dxa"/>
            <w:gridSpan w:val="3"/>
          </w:tcPr>
          <w:p w14:paraId="158EB4D1" w14:textId="77777777" w:rsidR="00FF6102" w:rsidRPr="00903F89" w:rsidRDefault="00FF6102" w:rsidP="00903F89">
            <w:pPr>
              <w:jc w:val="both"/>
              <w:rPr>
                <w:rFonts w:cs="Arial"/>
                <w:b/>
                <w:sz w:val="20"/>
                <w:szCs w:val="20"/>
                <w:u w:val="single"/>
              </w:rPr>
            </w:pPr>
          </w:p>
        </w:tc>
        <w:tc>
          <w:tcPr>
            <w:tcW w:w="8020" w:type="dxa"/>
            <w:gridSpan w:val="7"/>
          </w:tcPr>
          <w:p w14:paraId="1EBB644F" w14:textId="77777777" w:rsidR="00FF6102" w:rsidRPr="00903F89" w:rsidRDefault="00FF6102" w:rsidP="00903F89">
            <w:pPr>
              <w:jc w:val="both"/>
              <w:rPr>
                <w:rFonts w:cs="Arial"/>
                <w:b/>
                <w:sz w:val="20"/>
                <w:szCs w:val="20"/>
                <w:u w:val="single"/>
              </w:rPr>
            </w:pPr>
          </w:p>
        </w:tc>
      </w:tr>
      <w:tr w:rsidR="00903F89" w:rsidRPr="00903F89" w14:paraId="76F31C16" w14:textId="77777777" w:rsidTr="00B1212B">
        <w:tc>
          <w:tcPr>
            <w:tcW w:w="10800" w:type="dxa"/>
            <w:gridSpan w:val="10"/>
          </w:tcPr>
          <w:p w14:paraId="07F902F5" w14:textId="41AFD72A" w:rsidR="00FF6102" w:rsidRPr="00903F89" w:rsidRDefault="00FF6102" w:rsidP="00903F89">
            <w:pPr>
              <w:jc w:val="both"/>
              <w:rPr>
                <w:rFonts w:eastAsia="Arial" w:cs="Arial"/>
                <w:b/>
                <w:bCs/>
                <w:sz w:val="20"/>
                <w:szCs w:val="20"/>
                <w:u w:val="single"/>
              </w:rPr>
            </w:pPr>
            <w:r w:rsidRPr="00903F89">
              <w:rPr>
                <w:rFonts w:cs="Arial"/>
                <w:sz w:val="20"/>
                <w:szCs w:val="20"/>
              </w:rPr>
              <w:t>Πρόνοια προορίζεται να καλύψει ανάγκες κινητής επίπλωσης και εξοπλισμού κυρίως για έργα τα οποία ολοκληρώνονται εντός του 2022</w:t>
            </w:r>
            <w:r w:rsidRPr="00903F89">
              <w:rPr>
                <w:rFonts w:eastAsia="Arial" w:cs="Arial"/>
                <w:sz w:val="20"/>
                <w:szCs w:val="20"/>
              </w:rPr>
              <w:t xml:space="preserve">.  </w:t>
            </w:r>
          </w:p>
        </w:tc>
      </w:tr>
      <w:tr w:rsidR="00903F89" w:rsidRPr="00903F89" w14:paraId="504CCB22" w14:textId="77777777" w:rsidTr="00B1212B">
        <w:tc>
          <w:tcPr>
            <w:tcW w:w="2780" w:type="dxa"/>
            <w:gridSpan w:val="3"/>
          </w:tcPr>
          <w:p w14:paraId="5B912E91" w14:textId="77777777" w:rsidR="00FF6102" w:rsidRPr="00903F89" w:rsidRDefault="00FF6102" w:rsidP="00903F89">
            <w:pPr>
              <w:jc w:val="both"/>
              <w:rPr>
                <w:rFonts w:cs="Arial"/>
                <w:b/>
                <w:sz w:val="20"/>
                <w:szCs w:val="20"/>
                <w:u w:val="single"/>
              </w:rPr>
            </w:pPr>
          </w:p>
        </w:tc>
        <w:tc>
          <w:tcPr>
            <w:tcW w:w="8020" w:type="dxa"/>
            <w:gridSpan w:val="7"/>
          </w:tcPr>
          <w:p w14:paraId="6BB469C2" w14:textId="77777777" w:rsidR="00FF6102" w:rsidRPr="00903F89" w:rsidRDefault="00FF6102" w:rsidP="00903F89">
            <w:pPr>
              <w:jc w:val="both"/>
              <w:rPr>
                <w:rFonts w:cs="Arial"/>
                <w:b/>
                <w:sz w:val="20"/>
                <w:szCs w:val="20"/>
                <w:u w:val="single"/>
              </w:rPr>
            </w:pPr>
          </w:p>
        </w:tc>
      </w:tr>
      <w:tr w:rsidR="00903F89" w:rsidRPr="00903F89" w14:paraId="1740BCB9" w14:textId="77777777" w:rsidTr="00B1212B">
        <w:tc>
          <w:tcPr>
            <w:tcW w:w="10800" w:type="dxa"/>
            <w:gridSpan w:val="10"/>
          </w:tcPr>
          <w:p w14:paraId="2BC3F2A7" w14:textId="003B7E6A" w:rsidR="00FF6102" w:rsidRPr="00903F89" w:rsidRDefault="00FF6102" w:rsidP="00903F89">
            <w:pPr>
              <w:jc w:val="both"/>
              <w:rPr>
                <w:rFonts w:eastAsia="Arial" w:cs="Arial"/>
                <w:b/>
                <w:bCs/>
                <w:sz w:val="20"/>
                <w:szCs w:val="20"/>
                <w:u w:val="single"/>
              </w:rPr>
            </w:pPr>
            <w:r w:rsidRPr="00903F89">
              <w:rPr>
                <w:rFonts w:cs="Arial"/>
                <w:sz w:val="20"/>
                <w:szCs w:val="20"/>
              </w:rPr>
              <w:t>Η πρόνοια του άρθρου δύναται επίσης να καλύψει δαπάνες για αντικατάσταση ή αγορά νέων οργάνων γυμναστικής στο γυμναστήριο του Αθλητικού Κέντρου του Πανεπιστημίου Κύπρου οι οποίες θα χρηματοδοτηθούν κυρίως από έσοδα που προκύπτουν από τη λειτουργία του Αθλητικού Κέντρου.</w:t>
            </w:r>
          </w:p>
        </w:tc>
      </w:tr>
      <w:tr w:rsidR="00903F89" w:rsidRPr="00903F89" w14:paraId="2639D51E" w14:textId="77777777" w:rsidTr="00B1212B">
        <w:tc>
          <w:tcPr>
            <w:tcW w:w="2780" w:type="dxa"/>
            <w:gridSpan w:val="3"/>
          </w:tcPr>
          <w:p w14:paraId="7D42E47E" w14:textId="77777777" w:rsidR="00FF6102" w:rsidRPr="00903F89" w:rsidRDefault="00FF6102" w:rsidP="00903F89">
            <w:pPr>
              <w:jc w:val="both"/>
              <w:rPr>
                <w:rFonts w:cs="Arial"/>
                <w:b/>
                <w:sz w:val="20"/>
                <w:szCs w:val="20"/>
                <w:u w:val="single"/>
              </w:rPr>
            </w:pPr>
          </w:p>
        </w:tc>
        <w:tc>
          <w:tcPr>
            <w:tcW w:w="8020" w:type="dxa"/>
            <w:gridSpan w:val="7"/>
          </w:tcPr>
          <w:p w14:paraId="0A44B3F5" w14:textId="77777777" w:rsidR="00FF6102" w:rsidRPr="00903F89" w:rsidRDefault="00FF6102" w:rsidP="00903F89">
            <w:pPr>
              <w:jc w:val="both"/>
              <w:rPr>
                <w:rFonts w:cs="Arial"/>
                <w:b/>
                <w:sz w:val="20"/>
                <w:szCs w:val="20"/>
                <w:u w:val="single"/>
              </w:rPr>
            </w:pPr>
          </w:p>
        </w:tc>
      </w:tr>
      <w:tr w:rsidR="00903F89" w:rsidRPr="00903F89" w14:paraId="3F5FA387" w14:textId="77777777" w:rsidTr="00B1212B">
        <w:tc>
          <w:tcPr>
            <w:tcW w:w="10800" w:type="dxa"/>
            <w:gridSpan w:val="10"/>
          </w:tcPr>
          <w:p w14:paraId="0F07F571" w14:textId="0C1DC577" w:rsidR="00FF6102" w:rsidRPr="00903F89" w:rsidRDefault="00FF6102" w:rsidP="00903F89">
            <w:pPr>
              <w:jc w:val="both"/>
              <w:rPr>
                <w:rFonts w:cs="Arial"/>
                <w:sz w:val="20"/>
                <w:szCs w:val="20"/>
              </w:rPr>
            </w:pPr>
            <w:r w:rsidRPr="00903F89">
              <w:rPr>
                <w:rFonts w:cs="Arial"/>
                <w:sz w:val="20"/>
                <w:szCs w:val="20"/>
              </w:rPr>
              <w:t>Η πρόνοια αναμένεται να καλύψει δαπάνες μέχρι €843.300 οι οποίες θα χρηματοδοτηθούν από την είσπραξη Κυβερνητικής Χορηγίας η οποία θα προέλθει από τις συμφωνίες Δανείων της Κυπριακής Δημοκρατίας με την Ευρωπαϊκή Τράπεζα Επενδύσεων και την Τράπεζα Αναπτύξεως του Συμβουλίου της Ευρώπης, και αφορούν κυρίως την υποδομή/ εξοπλισμό των Τμημάτων της Πολυτεχνικής Σχολής.</w:t>
            </w:r>
          </w:p>
        </w:tc>
      </w:tr>
      <w:tr w:rsidR="00903F89" w:rsidRPr="00903F89" w14:paraId="35B8E85B" w14:textId="77777777" w:rsidTr="00B1212B">
        <w:tc>
          <w:tcPr>
            <w:tcW w:w="2780" w:type="dxa"/>
            <w:gridSpan w:val="3"/>
          </w:tcPr>
          <w:p w14:paraId="12DF8803" w14:textId="77777777" w:rsidR="00FF6102" w:rsidRPr="00903F89" w:rsidRDefault="00FF6102" w:rsidP="00903F89">
            <w:pPr>
              <w:jc w:val="both"/>
              <w:rPr>
                <w:rFonts w:cs="Arial"/>
                <w:b/>
                <w:sz w:val="20"/>
                <w:szCs w:val="20"/>
                <w:u w:val="single"/>
              </w:rPr>
            </w:pPr>
          </w:p>
        </w:tc>
        <w:tc>
          <w:tcPr>
            <w:tcW w:w="8020" w:type="dxa"/>
            <w:gridSpan w:val="7"/>
          </w:tcPr>
          <w:p w14:paraId="24719DA1" w14:textId="77777777" w:rsidR="00FF6102" w:rsidRPr="00903F89" w:rsidRDefault="00FF6102" w:rsidP="00903F89">
            <w:pPr>
              <w:jc w:val="both"/>
              <w:rPr>
                <w:rFonts w:cs="Arial"/>
                <w:b/>
                <w:sz w:val="20"/>
                <w:szCs w:val="20"/>
                <w:u w:val="single"/>
              </w:rPr>
            </w:pPr>
          </w:p>
        </w:tc>
      </w:tr>
      <w:tr w:rsidR="00903F89" w:rsidRPr="00903F89" w14:paraId="1EBD03AE" w14:textId="77777777" w:rsidTr="00B1212B">
        <w:tc>
          <w:tcPr>
            <w:tcW w:w="10800" w:type="dxa"/>
            <w:gridSpan w:val="10"/>
          </w:tcPr>
          <w:p w14:paraId="2A912ECC" w14:textId="55FA0296"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414 – Ωκεανογραφικό Κέντρο</w:t>
            </w:r>
            <w:r w:rsidR="009D2AC8" w:rsidRPr="00903F89">
              <w:rPr>
                <w:rFonts w:cs="Arial"/>
                <w:b/>
                <w:bCs/>
                <w:sz w:val="20"/>
                <w:szCs w:val="20"/>
                <w:u w:val="single"/>
              </w:rPr>
              <w:t>- €0</w:t>
            </w:r>
          </w:p>
        </w:tc>
      </w:tr>
      <w:tr w:rsidR="00903F89" w:rsidRPr="00903F89" w14:paraId="2CB10E68" w14:textId="77777777" w:rsidTr="00B1212B">
        <w:tc>
          <w:tcPr>
            <w:tcW w:w="2780" w:type="dxa"/>
            <w:gridSpan w:val="3"/>
          </w:tcPr>
          <w:p w14:paraId="5B71EA02" w14:textId="77777777" w:rsidR="00FF6102" w:rsidRPr="00903F89" w:rsidRDefault="00FF6102" w:rsidP="00903F89">
            <w:pPr>
              <w:jc w:val="both"/>
              <w:rPr>
                <w:rFonts w:cs="Arial"/>
                <w:b/>
                <w:sz w:val="20"/>
                <w:szCs w:val="20"/>
                <w:u w:val="single"/>
              </w:rPr>
            </w:pPr>
          </w:p>
        </w:tc>
        <w:tc>
          <w:tcPr>
            <w:tcW w:w="8020" w:type="dxa"/>
            <w:gridSpan w:val="7"/>
          </w:tcPr>
          <w:p w14:paraId="62608A93" w14:textId="7ECBD843" w:rsidR="00FF6102" w:rsidRPr="00903F89" w:rsidRDefault="00FF6102" w:rsidP="00903F89">
            <w:pPr>
              <w:jc w:val="both"/>
              <w:rPr>
                <w:rFonts w:cs="Arial"/>
                <w:b/>
                <w:i/>
                <w:sz w:val="20"/>
                <w:szCs w:val="20"/>
                <w:u w:val="single"/>
              </w:rPr>
            </w:pPr>
          </w:p>
        </w:tc>
      </w:tr>
      <w:tr w:rsidR="00903F89" w:rsidRPr="00903F89" w14:paraId="43D5E96B" w14:textId="77777777" w:rsidTr="00B1212B">
        <w:tc>
          <w:tcPr>
            <w:tcW w:w="10800" w:type="dxa"/>
            <w:gridSpan w:val="10"/>
          </w:tcPr>
          <w:p w14:paraId="3598D952" w14:textId="1F6B81DB" w:rsidR="00FF6102" w:rsidRPr="00903F89" w:rsidRDefault="002D7039" w:rsidP="00903F89">
            <w:pPr>
              <w:jc w:val="both"/>
              <w:rPr>
                <w:rFonts w:cs="Arial"/>
                <w:b/>
                <w:sz w:val="20"/>
                <w:szCs w:val="20"/>
              </w:rPr>
            </w:pPr>
            <w:r w:rsidRPr="00903F89">
              <w:rPr>
                <w:rFonts w:cs="Arial"/>
                <w:sz w:val="20"/>
                <w:szCs w:val="20"/>
              </w:rPr>
              <w:t xml:space="preserve">Κατάργηση </w:t>
            </w:r>
            <w:r w:rsidR="00614B7B">
              <w:rPr>
                <w:rFonts w:cs="Arial"/>
                <w:sz w:val="20"/>
                <w:szCs w:val="20"/>
              </w:rPr>
              <w:t>ά</w:t>
            </w:r>
            <w:r w:rsidRPr="00903F89">
              <w:rPr>
                <w:rFonts w:cs="Arial"/>
                <w:sz w:val="20"/>
                <w:szCs w:val="20"/>
              </w:rPr>
              <w:t xml:space="preserve">ρθρου. </w:t>
            </w:r>
            <w:r w:rsidR="00614B7B">
              <w:rPr>
                <w:rFonts w:cs="Arial"/>
                <w:sz w:val="20"/>
                <w:szCs w:val="20"/>
              </w:rPr>
              <w:t xml:space="preserve"> </w:t>
            </w:r>
            <w:r w:rsidRPr="00903F89">
              <w:rPr>
                <w:rFonts w:cs="Arial"/>
                <w:sz w:val="20"/>
                <w:szCs w:val="20"/>
              </w:rPr>
              <w:t>Δαπάνες του Ωκεανογραφικού Κέντρου καλύπτονται από τις πρόνοιες των επιμέρους άρθρων του Προϋπολογισμού του Πανεπιστημίου Κύπρου (Ομάδες 100 - 400) ανάλογα με τη φύση των δαπανών του.</w:t>
            </w:r>
          </w:p>
        </w:tc>
      </w:tr>
      <w:tr w:rsidR="00903F89" w:rsidRPr="00903F89" w14:paraId="5FCEB994" w14:textId="77777777" w:rsidTr="00B1212B">
        <w:tc>
          <w:tcPr>
            <w:tcW w:w="2780" w:type="dxa"/>
            <w:gridSpan w:val="3"/>
          </w:tcPr>
          <w:p w14:paraId="37D8F3E8" w14:textId="77777777" w:rsidR="00FF6102" w:rsidRPr="00903F89" w:rsidRDefault="00FF6102" w:rsidP="00903F89">
            <w:pPr>
              <w:jc w:val="both"/>
              <w:rPr>
                <w:rFonts w:cs="Arial"/>
                <w:b/>
                <w:sz w:val="20"/>
                <w:szCs w:val="20"/>
                <w:u w:val="single"/>
              </w:rPr>
            </w:pPr>
          </w:p>
        </w:tc>
        <w:tc>
          <w:tcPr>
            <w:tcW w:w="8020" w:type="dxa"/>
            <w:gridSpan w:val="7"/>
          </w:tcPr>
          <w:p w14:paraId="1911ED71" w14:textId="77777777" w:rsidR="00FF6102" w:rsidRPr="00903F89" w:rsidRDefault="00FF6102" w:rsidP="00903F89">
            <w:pPr>
              <w:jc w:val="both"/>
              <w:rPr>
                <w:rFonts w:cs="Arial"/>
                <w:b/>
                <w:i/>
                <w:sz w:val="20"/>
                <w:szCs w:val="20"/>
                <w:u w:val="single"/>
              </w:rPr>
            </w:pPr>
          </w:p>
        </w:tc>
      </w:tr>
      <w:tr w:rsidR="00903F89" w:rsidRPr="00903F89" w14:paraId="3B08E9AD" w14:textId="77777777" w:rsidTr="00B1212B">
        <w:tc>
          <w:tcPr>
            <w:tcW w:w="10800" w:type="dxa"/>
            <w:gridSpan w:val="10"/>
          </w:tcPr>
          <w:p w14:paraId="74CB6C5C" w14:textId="0406C4E6" w:rsidR="00FF6102" w:rsidRPr="00903F89" w:rsidRDefault="00FF6102" w:rsidP="00903F89">
            <w:pPr>
              <w:jc w:val="both"/>
              <w:rPr>
                <w:rFonts w:cs="Arial"/>
                <w:b/>
                <w:bCs/>
                <w:sz w:val="20"/>
                <w:szCs w:val="20"/>
                <w:u w:val="single"/>
              </w:rPr>
            </w:pPr>
            <w:r w:rsidRPr="00903F89">
              <w:rPr>
                <w:rFonts w:cs="Arial"/>
                <w:b/>
                <w:bCs/>
                <w:sz w:val="20"/>
                <w:szCs w:val="20"/>
                <w:u w:val="single"/>
              </w:rPr>
              <w:t>Άρθρο 415 – Επιδιορθώσεις ή/και Αποκαταστάσεις Ζημιών σε Οχήματα, Εξοπλισμό και Εγκαταστάσεις του Πανεπιστημίου Κύπρου – €10</w:t>
            </w:r>
          </w:p>
        </w:tc>
      </w:tr>
      <w:tr w:rsidR="00903F89" w:rsidRPr="00903F89" w14:paraId="6BF9BC51" w14:textId="77777777" w:rsidTr="00B1212B">
        <w:tc>
          <w:tcPr>
            <w:tcW w:w="2780" w:type="dxa"/>
            <w:gridSpan w:val="3"/>
          </w:tcPr>
          <w:p w14:paraId="6C2A574F" w14:textId="5B3363DC" w:rsidR="00FF6102" w:rsidRPr="00903F89" w:rsidRDefault="00FF6102" w:rsidP="00903F89">
            <w:pPr>
              <w:jc w:val="both"/>
              <w:rPr>
                <w:rFonts w:cs="Arial"/>
                <w:b/>
                <w:sz w:val="20"/>
                <w:szCs w:val="20"/>
                <w:u w:val="single"/>
              </w:rPr>
            </w:pPr>
          </w:p>
        </w:tc>
        <w:tc>
          <w:tcPr>
            <w:tcW w:w="8020" w:type="dxa"/>
            <w:gridSpan w:val="7"/>
          </w:tcPr>
          <w:p w14:paraId="2F6454FB" w14:textId="77777777" w:rsidR="00FF6102" w:rsidRPr="00903F89" w:rsidRDefault="00FF6102" w:rsidP="00903F89">
            <w:pPr>
              <w:jc w:val="both"/>
              <w:rPr>
                <w:rFonts w:cs="Arial"/>
                <w:b/>
                <w:sz w:val="20"/>
                <w:szCs w:val="20"/>
                <w:u w:val="single"/>
              </w:rPr>
            </w:pPr>
          </w:p>
        </w:tc>
      </w:tr>
      <w:tr w:rsidR="00903F89" w:rsidRPr="00903F89" w14:paraId="74975D8D" w14:textId="77777777" w:rsidTr="00B1212B">
        <w:tc>
          <w:tcPr>
            <w:tcW w:w="10800" w:type="dxa"/>
            <w:gridSpan w:val="10"/>
          </w:tcPr>
          <w:p w14:paraId="244134E8" w14:textId="6E7339B0" w:rsidR="00FF6102" w:rsidRPr="00903F89" w:rsidRDefault="00FF6102" w:rsidP="00903F89">
            <w:pPr>
              <w:jc w:val="both"/>
              <w:rPr>
                <w:rFonts w:eastAsia="Arial" w:cs="Arial"/>
                <w:b/>
                <w:bCs/>
                <w:sz w:val="20"/>
                <w:szCs w:val="20"/>
                <w:u w:val="single"/>
              </w:rPr>
            </w:pPr>
            <w:r w:rsidRPr="00903F89">
              <w:rPr>
                <w:rFonts w:cs="Arial"/>
                <w:sz w:val="20"/>
                <w:szCs w:val="20"/>
              </w:rPr>
              <w:t>Η πρόνοια του άρθρου καθορίστηκε στο παρόν στάδιο ενδεικτικά σε €10.  Στην περίπτωση που σχετικές δαπάνες θα πρέπει να διενεργηθούν, θα γίνονται οι ανάλογες μεταφορές, σύμφωνα με τις πρόνοιες του άρθρου 4, του Περί Προϋπολογισμού του Πανεπιστημίου Κύπρου Νόμου</w:t>
            </w:r>
          </w:p>
        </w:tc>
      </w:tr>
      <w:tr w:rsidR="00903F89" w:rsidRPr="00903F89" w14:paraId="339125A8" w14:textId="77777777" w:rsidTr="00B1212B">
        <w:tc>
          <w:tcPr>
            <w:tcW w:w="2780" w:type="dxa"/>
            <w:gridSpan w:val="3"/>
          </w:tcPr>
          <w:p w14:paraId="3AB52A97" w14:textId="77777777" w:rsidR="00FF6102" w:rsidRPr="00903F89" w:rsidRDefault="00FF6102" w:rsidP="00903F89">
            <w:pPr>
              <w:jc w:val="both"/>
              <w:rPr>
                <w:rFonts w:cs="Arial"/>
                <w:b/>
                <w:sz w:val="20"/>
                <w:szCs w:val="20"/>
                <w:u w:val="single"/>
              </w:rPr>
            </w:pPr>
          </w:p>
        </w:tc>
        <w:tc>
          <w:tcPr>
            <w:tcW w:w="8020" w:type="dxa"/>
            <w:gridSpan w:val="7"/>
          </w:tcPr>
          <w:p w14:paraId="532FAFA8" w14:textId="77777777" w:rsidR="00FF6102" w:rsidRPr="00903F89" w:rsidRDefault="00FF6102" w:rsidP="00903F89">
            <w:pPr>
              <w:jc w:val="both"/>
              <w:rPr>
                <w:rFonts w:cs="Arial"/>
                <w:b/>
                <w:sz w:val="20"/>
                <w:szCs w:val="20"/>
                <w:u w:val="single"/>
              </w:rPr>
            </w:pPr>
          </w:p>
        </w:tc>
      </w:tr>
      <w:tr w:rsidR="00903F89" w:rsidRPr="00903F89" w14:paraId="08382CDF" w14:textId="77777777" w:rsidTr="00B1212B">
        <w:tc>
          <w:tcPr>
            <w:tcW w:w="10800" w:type="dxa"/>
            <w:gridSpan w:val="10"/>
            <w:shd w:val="clear" w:color="auto" w:fill="auto"/>
          </w:tcPr>
          <w:p w14:paraId="1F046F8D" w14:textId="4C59F471"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416 - Διαρθρωτικά Προγράμματα και Σχέδια- €</w:t>
            </w:r>
            <w:r w:rsidR="009D2AC8" w:rsidRPr="00903F89">
              <w:rPr>
                <w:rFonts w:cs="Arial"/>
                <w:b/>
                <w:bCs/>
                <w:sz w:val="20"/>
                <w:szCs w:val="20"/>
                <w:u w:val="single"/>
              </w:rPr>
              <w:t>0</w:t>
            </w:r>
          </w:p>
        </w:tc>
      </w:tr>
      <w:tr w:rsidR="00903F89" w:rsidRPr="00903F89" w14:paraId="2B8666CF" w14:textId="77777777" w:rsidTr="00B1212B">
        <w:tc>
          <w:tcPr>
            <w:tcW w:w="2780" w:type="dxa"/>
            <w:gridSpan w:val="3"/>
            <w:shd w:val="clear" w:color="auto" w:fill="auto"/>
          </w:tcPr>
          <w:p w14:paraId="43632876" w14:textId="77777777" w:rsidR="00FF6102" w:rsidRPr="00903F89" w:rsidRDefault="00FF6102" w:rsidP="00903F89">
            <w:pPr>
              <w:jc w:val="both"/>
              <w:rPr>
                <w:rFonts w:cs="Arial"/>
                <w:b/>
                <w:sz w:val="20"/>
                <w:szCs w:val="20"/>
                <w:u w:val="single"/>
              </w:rPr>
            </w:pPr>
          </w:p>
        </w:tc>
        <w:tc>
          <w:tcPr>
            <w:tcW w:w="8020" w:type="dxa"/>
            <w:gridSpan w:val="7"/>
            <w:shd w:val="clear" w:color="auto" w:fill="auto"/>
          </w:tcPr>
          <w:p w14:paraId="4E13FFB2" w14:textId="77777777" w:rsidR="00FF6102" w:rsidRPr="00903F89" w:rsidRDefault="00FF6102" w:rsidP="00903F89">
            <w:pPr>
              <w:jc w:val="both"/>
              <w:rPr>
                <w:rFonts w:cs="Arial"/>
                <w:b/>
                <w:bCs/>
                <w:sz w:val="20"/>
                <w:szCs w:val="20"/>
                <w:u w:val="single"/>
              </w:rPr>
            </w:pPr>
          </w:p>
        </w:tc>
      </w:tr>
      <w:tr w:rsidR="00903F89" w:rsidRPr="00903F89" w14:paraId="163E1DC3" w14:textId="77777777" w:rsidTr="00B1212B">
        <w:tc>
          <w:tcPr>
            <w:tcW w:w="10800" w:type="dxa"/>
            <w:gridSpan w:val="10"/>
            <w:tcBorders>
              <w:top w:val="nil"/>
              <w:left w:val="nil"/>
              <w:bottom w:val="nil"/>
              <w:right w:val="nil"/>
            </w:tcBorders>
            <w:shd w:val="clear" w:color="auto" w:fill="auto"/>
          </w:tcPr>
          <w:p w14:paraId="13649F40" w14:textId="1ED9B42C" w:rsidR="00FF6102" w:rsidRPr="00903F89" w:rsidRDefault="000C78A6" w:rsidP="00903F89">
            <w:pPr>
              <w:jc w:val="both"/>
              <w:rPr>
                <w:rFonts w:cs="Arial"/>
                <w:bCs/>
                <w:sz w:val="20"/>
                <w:szCs w:val="20"/>
                <w:u w:val="single"/>
              </w:rPr>
            </w:pPr>
            <w:r w:rsidRPr="000C78A6">
              <w:rPr>
                <w:rFonts w:eastAsia="Arial" w:cs="Arial"/>
                <w:sz w:val="20"/>
                <w:szCs w:val="20"/>
                <w:u w:color="000000"/>
              </w:rPr>
              <w:t xml:space="preserve">Κατάργηση </w:t>
            </w:r>
            <w:r w:rsidR="00614B7B">
              <w:rPr>
                <w:rFonts w:eastAsia="Arial" w:cs="Arial"/>
                <w:sz w:val="20"/>
                <w:szCs w:val="20"/>
                <w:u w:color="000000"/>
              </w:rPr>
              <w:t>ά</w:t>
            </w:r>
            <w:r w:rsidRPr="000C78A6">
              <w:rPr>
                <w:rFonts w:eastAsia="Arial" w:cs="Arial"/>
                <w:sz w:val="20"/>
                <w:szCs w:val="20"/>
                <w:u w:color="000000"/>
              </w:rPr>
              <w:t>ρθρου. Οι δαπάνες για το 2022 εμφανίζονται στο Άρθρο 602</w:t>
            </w:r>
            <w:r w:rsidR="00614B7B">
              <w:rPr>
                <w:rFonts w:eastAsia="Arial" w:cs="Arial"/>
                <w:sz w:val="20"/>
                <w:szCs w:val="20"/>
                <w:u w:color="000000"/>
              </w:rPr>
              <w:t>,</w:t>
            </w:r>
            <w:r w:rsidRPr="000C78A6">
              <w:rPr>
                <w:rFonts w:eastAsia="Arial" w:cs="Arial"/>
                <w:sz w:val="20"/>
                <w:szCs w:val="20"/>
                <w:u w:color="000000"/>
              </w:rPr>
              <w:t xml:space="preserve"> με τίτλο «Διαρθρωτικά Προγράμματα και Σχέδια», στην Υποομάδα 601 «Δαπάνες Συγχρηματοδοτούμενες από Κοινοτικούς Πόρους»).</w:t>
            </w:r>
          </w:p>
        </w:tc>
      </w:tr>
      <w:tr w:rsidR="00903F89" w:rsidRPr="00903F89" w14:paraId="1701BB8B" w14:textId="77777777" w:rsidTr="00B1212B">
        <w:tc>
          <w:tcPr>
            <w:tcW w:w="10800" w:type="dxa"/>
            <w:gridSpan w:val="10"/>
            <w:tcBorders>
              <w:top w:val="nil"/>
              <w:left w:val="nil"/>
              <w:bottom w:val="nil"/>
              <w:right w:val="nil"/>
            </w:tcBorders>
            <w:shd w:val="clear" w:color="auto" w:fill="auto"/>
          </w:tcPr>
          <w:p w14:paraId="630D79AD" w14:textId="77777777" w:rsidR="00FF6102" w:rsidRPr="00903F89" w:rsidRDefault="00FF6102" w:rsidP="00903F89">
            <w:pPr>
              <w:jc w:val="both"/>
              <w:rPr>
                <w:rFonts w:cs="Arial"/>
                <w:b/>
                <w:bCs/>
                <w:sz w:val="20"/>
                <w:szCs w:val="20"/>
                <w:u w:val="single"/>
              </w:rPr>
            </w:pPr>
          </w:p>
        </w:tc>
      </w:tr>
      <w:tr w:rsidR="00903F89" w:rsidRPr="00903F89" w14:paraId="4324382D" w14:textId="77777777" w:rsidTr="00B1212B">
        <w:trPr>
          <w:trHeight w:val="112"/>
        </w:trPr>
        <w:tc>
          <w:tcPr>
            <w:tcW w:w="10800" w:type="dxa"/>
            <w:gridSpan w:val="10"/>
            <w:shd w:val="clear" w:color="auto" w:fill="auto"/>
          </w:tcPr>
          <w:p w14:paraId="16BF476F" w14:textId="42999D21" w:rsidR="00FF6102" w:rsidRPr="00903F89" w:rsidRDefault="00FF6102" w:rsidP="00903F89">
            <w:pPr>
              <w:jc w:val="both"/>
              <w:rPr>
                <w:rFonts w:cs="Arial"/>
                <w:b/>
                <w:bCs/>
                <w:sz w:val="20"/>
                <w:szCs w:val="20"/>
                <w:u w:val="single"/>
              </w:rPr>
            </w:pPr>
            <w:r w:rsidRPr="00903F89">
              <w:rPr>
                <w:rFonts w:cs="Arial"/>
                <w:b/>
                <w:bCs/>
                <w:sz w:val="20"/>
                <w:szCs w:val="20"/>
                <w:u w:val="single"/>
              </w:rPr>
              <w:t>Άρθρο 417 - Έργα και Σχέδια Συγχρηματοδοτούμενα από Κοινοτικούς Πόρους (Δαπάνες από Χρηματοδότηση Πανεπιστημίου)- €</w:t>
            </w:r>
            <w:r w:rsidR="00975E00" w:rsidRPr="00903F89">
              <w:rPr>
                <w:rFonts w:cs="Arial"/>
                <w:b/>
                <w:bCs/>
                <w:sz w:val="20"/>
                <w:szCs w:val="20"/>
                <w:u w:val="single"/>
              </w:rPr>
              <w:t>0</w:t>
            </w:r>
          </w:p>
        </w:tc>
      </w:tr>
      <w:tr w:rsidR="00903F89" w:rsidRPr="00903F89" w14:paraId="64F423CE" w14:textId="77777777" w:rsidTr="00B1212B">
        <w:tc>
          <w:tcPr>
            <w:tcW w:w="10800" w:type="dxa"/>
            <w:gridSpan w:val="10"/>
            <w:shd w:val="clear" w:color="auto" w:fill="auto"/>
          </w:tcPr>
          <w:p w14:paraId="2BEE02F4" w14:textId="77777777" w:rsidR="00FF6102" w:rsidRPr="00903F89" w:rsidRDefault="00FF6102" w:rsidP="00903F89">
            <w:pPr>
              <w:jc w:val="both"/>
              <w:rPr>
                <w:rFonts w:cs="Arial"/>
                <w:b/>
                <w:bCs/>
                <w:sz w:val="20"/>
                <w:szCs w:val="20"/>
                <w:u w:val="single"/>
              </w:rPr>
            </w:pPr>
          </w:p>
        </w:tc>
      </w:tr>
      <w:tr w:rsidR="00903F89" w:rsidRPr="00903F89" w14:paraId="7CF7E1A2" w14:textId="77777777" w:rsidTr="00B1212B">
        <w:tc>
          <w:tcPr>
            <w:tcW w:w="10800" w:type="dxa"/>
            <w:gridSpan w:val="10"/>
            <w:shd w:val="clear" w:color="auto" w:fill="auto"/>
          </w:tcPr>
          <w:p w14:paraId="335C74C1" w14:textId="07A76F97" w:rsidR="00FF6102" w:rsidRPr="00903F89" w:rsidRDefault="00FF6102" w:rsidP="00903F89">
            <w:pPr>
              <w:jc w:val="both"/>
              <w:rPr>
                <w:rFonts w:cs="Arial"/>
                <w:b/>
                <w:bCs/>
                <w:sz w:val="20"/>
                <w:szCs w:val="20"/>
              </w:rPr>
            </w:pPr>
            <w:r w:rsidRPr="00903F89">
              <w:rPr>
                <w:rFonts w:cs="Arial"/>
                <w:bCs/>
                <w:sz w:val="20"/>
                <w:szCs w:val="20"/>
              </w:rPr>
              <w:t xml:space="preserve">Κατάργηση </w:t>
            </w:r>
            <w:r w:rsidR="00614B7B">
              <w:rPr>
                <w:rFonts w:cs="Arial"/>
                <w:bCs/>
                <w:sz w:val="20"/>
                <w:szCs w:val="20"/>
              </w:rPr>
              <w:t>ά</w:t>
            </w:r>
            <w:r w:rsidRPr="00903F89">
              <w:rPr>
                <w:rFonts w:cs="Arial"/>
                <w:bCs/>
                <w:sz w:val="20"/>
                <w:szCs w:val="20"/>
              </w:rPr>
              <w:t>ρθρου.</w:t>
            </w:r>
            <w:r w:rsidRPr="00903F89">
              <w:rPr>
                <w:rFonts w:cs="Arial"/>
                <w:sz w:val="20"/>
                <w:szCs w:val="20"/>
              </w:rPr>
              <w:t xml:space="preserve"> </w:t>
            </w:r>
            <w:r w:rsidR="000C78A6" w:rsidRPr="000C78A6">
              <w:rPr>
                <w:rFonts w:cs="Arial"/>
                <w:sz w:val="20"/>
                <w:szCs w:val="20"/>
              </w:rPr>
              <w:t>Οι δαπάνες για το 2022 εμφανίζονται στο Άρθρο 621</w:t>
            </w:r>
            <w:r w:rsidR="00614B7B">
              <w:rPr>
                <w:rFonts w:cs="Arial"/>
                <w:sz w:val="20"/>
                <w:szCs w:val="20"/>
              </w:rPr>
              <w:t>,</w:t>
            </w:r>
            <w:r w:rsidR="000C78A6" w:rsidRPr="000C78A6">
              <w:rPr>
                <w:rFonts w:cs="Arial"/>
                <w:sz w:val="20"/>
                <w:szCs w:val="20"/>
              </w:rPr>
              <w:t xml:space="preserve"> με τίτλο «Έργα και Σχέδια Συγχρηματοδοτούμενα από Πανεπιστήμιο Κύπρου) - ΚΟΙΟΣ», στην Υποομάδα 620 «Δαπάνες Συγχρηματοδοτούμενες από Πανεπιστήμιο Κύπρου»).</w:t>
            </w:r>
          </w:p>
        </w:tc>
      </w:tr>
      <w:tr w:rsidR="00903F89" w:rsidRPr="00903F89" w14:paraId="23F655AC" w14:textId="77777777" w:rsidTr="00B1212B">
        <w:tc>
          <w:tcPr>
            <w:tcW w:w="10800" w:type="dxa"/>
            <w:gridSpan w:val="10"/>
            <w:shd w:val="clear" w:color="auto" w:fill="auto"/>
          </w:tcPr>
          <w:p w14:paraId="2E198454" w14:textId="77777777" w:rsidR="00FF6102" w:rsidRPr="00903F89" w:rsidRDefault="00FF6102" w:rsidP="00903F89">
            <w:pPr>
              <w:jc w:val="both"/>
              <w:rPr>
                <w:rFonts w:cs="Arial"/>
                <w:b/>
                <w:bCs/>
                <w:sz w:val="20"/>
                <w:szCs w:val="20"/>
                <w:u w:val="single"/>
              </w:rPr>
            </w:pPr>
          </w:p>
        </w:tc>
      </w:tr>
      <w:tr w:rsidR="00903F89" w:rsidRPr="00903F89" w14:paraId="459B0F1D" w14:textId="77777777" w:rsidTr="00B1212B">
        <w:tc>
          <w:tcPr>
            <w:tcW w:w="10800" w:type="dxa"/>
            <w:gridSpan w:val="10"/>
            <w:shd w:val="clear" w:color="auto" w:fill="auto"/>
          </w:tcPr>
          <w:p w14:paraId="74824B98" w14:textId="6B2EF850" w:rsidR="00FF6102" w:rsidRPr="00903F89" w:rsidRDefault="00FF6102" w:rsidP="00903F89">
            <w:pPr>
              <w:jc w:val="both"/>
              <w:rPr>
                <w:rFonts w:cs="Arial"/>
                <w:b/>
                <w:bCs/>
                <w:sz w:val="20"/>
                <w:szCs w:val="20"/>
                <w:u w:val="single"/>
              </w:rPr>
            </w:pPr>
            <w:r w:rsidRPr="00903F89">
              <w:rPr>
                <w:rFonts w:cs="Arial"/>
                <w:b/>
                <w:bCs/>
                <w:sz w:val="20"/>
                <w:szCs w:val="20"/>
                <w:u w:val="single"/>
              </w:rPr>
              <w:t xml:space="preserve">Άρθρο 418 </w:t>
            </w:r>
            <w:r w:rsidRPr="00903F89">
              <w:rPr>
                <w:rFonts w:eastAsia="Arial" w:cs="Arial"/>
                <w:b/>
                <w:bCs/>
                <w:sz w:val="20"/>
                <w:szCs w:val="20"/>
                <w:u w:val="single"/>
              </w:rPr>
              <w:t xml:space="preserve">– </w:t>
            </w:r>
            <w:r w:rsidRPr="00903F89">
              <w:rPr>
                <w:rFonts w:cs="Arial"/>
                <w:b/>
                <w:bCs/>
                <w:sz w:val="20"/>
                <w:szCs w:val="20"/>
                <w:u w:val="single"/>
              </w:rPr>
              <w:t>Έργα και Σχέδια Συγχρηματοδοτούμενα από Κοινοτικούς Πόρους (Δαπάνες από Χρηματοδότηση Πανεπιστημίου) - BIOBANK - Biobanking and the Cyprus Human Genome Project</w:t>
            </w:r>
            <w:r w:rsidR="00524745" w:rsidRPr="00903F89">
              <w:rPr>
                <w:rFonts w:cs="Arial"/>
                <w:b/>
                <w:bCs/>
                <w:sz w:val="20"/>
                <w:szCs w:val="20"/>
                <w:u w:val="single"/>
              </w:rPr>
              <w:t xml:space="preserve"> </w:t>
            </w:r>
            <w:r w:rsidRPr="00903F89">
              <w:rPr>
                <w:rFonts w:eastAsia="Arial" w:cs="Arial"/>
                <w:b/>
                <w:bCs/>
                <w:sz w:val="20"/>
                <w:szCs w:val="20"/>
                <w:u w:val="single"/>
              </w:rPr>
              <w:t>–</w:t>
            </w:r>
            <w:r w:rsidRPr="00903F89">
              <w:rPr>
                <w:rFonts w:cs="Arial"/>
                <w:b/>
                <w:bCs/>
                <w:sz w:val="20"/>
                <w:szCs w:val="20"/>
                <w:u w:val="single"/>
              </w:rPr>
              <w:t xml:space="preserve"> €0</w:t>
            </w:r>
          </w:p>
        </w:tc>
      </w:tr>
      <w:tr w:rsidR="00903F89" w:rsidRPr="00903F89" w14:paraId="35C1F721" w14:textId="77777777" w:rsidTr="00B1212B">
        <w:tc>
          <w:tcPr>
            <w:tcW w:w="10800" w:type="dxa"/>
            <w:gridSpan w:val="10"/>
            <w:shd w:val="clear" w:color="auto" w:fill="auto"/>
          </w:tcPr>
          <w:p w14:paraId="7308DAE2" w14:textId="77777777" w:rsidR="00FF6102" w:rsidRPr="00903F89" w:rsidRDefault="00FF6102" w:rsidP="00903F89">
            <w:pPr>
              <w:jc w:val="both"/>
              <w:rPr>
                <w:rFonts w:cs="Arial"/>
                <w:b/>
                <w:bCs/>
                <w:sz w:val="20"/>
                <w:szCs w:val="20"/>
                <w:u w:val="single"/>
              </w:rPr>
            </w:pPr>
          </w:p>
        </w:tc>
      </w:tr>
      <w:tr w:rsidR="00903F89" w:rsidRPr="00903F89" w14:paraId="088E9ED3" w14:textId="77777777" w:rsidTr="00B1212B">
        <w:tc>
          <w:tcPr>
            <w:tcW w:w="10800" w:type="dxa"/>
            <w:gridSpan w:val="10"/>
            <w:shd w:val="clear" w:color="auto" w:fill="auto"/>
          </w:tcPr>
          <w:p w14:paraId="7E867DA2" w14:textId="7F8777CA" w:rsidR="00FF6102" w:rsidRPr="00903F89" w:rsidRDefault="00FF6102" w:rsidP="00903F89">
            <w:pPr>
              <w:jc w:val="both"/>
              <w:rPr>
                <w:rFonts w:cs="Arial"/>
                <w:b/>
                <w:bCs/>
                <w:sz w:val="20"/>
                <w:szCs w:val="20"/>
                <w:u w:val="single"/>
              </w:rPr>
            </w:pPr>
            <w:r w:rsidRPr="00903F89">
              <w:rPr>
                <w:rFonts w:cs="Arial"/>
                <w:sz w:val="20"/>
                <w:szCs w:val="20"/>
              </w:rPr>
              <w:t xml:space="preserve">Κατάργηση </w:t>
            </w:r>
            <w:r w:rsidR="00614B7B">
              <w:rPr>
                <w:rFonts w:cs="Arial"/>
                <w:sz w:val="20"/>
                <w:szCs w:val="20"/>
              </w:rPr>
              <w:t>ά</w:t>
            </w:r>
            <w:r w:rsidRPr="00903F89">
              <w:rPr>
                <w:rFonts w:cs="Arial"/>
                <w:sz w:val="20"/>
                <w:szCs w:val="20"/>
              </w:rPr>
              <w:t xml:space="preserve">ρθρου. </w:t>
            </w:r>
            <w:r w:rsidR="000C78A6" w:rsidRPr="000C78A6">
              <w:rPr>
                <w:rFonts w:cs="Arial"/>
                <w:sz w:val="20"/>
                <w:szCs w:val="20"/>
              </w:rPr>
              <w:t>Οι δαπάνες για το 2022 εμφανίζονται στο Άρθρο 622</w:t>
            </w:r>
            <w:r w:rsidR="00614B7B">
              <w:rPr>
                <w:rFonts w:cs="Arial"/>
                <w:sz w:val="20"/>
                <w:szCs w:val="20"/>
              </w:rPr>
              <w:t>,</w:t>
            </w:r>
            <w:r w:rsidR="000C78A6" w:rsidRPr="000C78A6">
              <w:rPr>
                <w:rFonts w:cs="Arial"/>
                <w:sz w:val="20"/>
                <w:szCs w:val="20"/>
              </w:rPr>
              <w:t xml:space="preserve"> με τίτλο «Έργα και Σχέδια Συγχρηματοδοτούμενα από Πανεπιστήμιο Κύπρου) - BIOBANK - Biobanking and the Cyprus Human Genome Project», στην Υποομάδα 620 «Δαπάνες Συγχρηματοδοτούμενες από Πανεπιστήμιο Κύπρου»).</w:t>
            </w:r>
          </w:p>
        </w:tc>
      </w:tr>
      <w:tr w:rsidR="00903F89" w:rsidRPr="00903F89" w14:paraId="4C4806ED" w14:textId="77777777" w:rsidTr="00B1212B">
        <w:tc>
          <w:tcPr>
            <w:tcW w:w="10800" w:type="dxa"/>
            <w:gridSpan w:val="10"/>
            <w:shd w:val="clear" w:color="auto" w:fill="auto"/>
          </w:tcPr>
          <w:p w14:paraId="5147D876" w14:textId="77777777" w:rsidR="00FF6102" w:rsidRPr="00903F89" w:rsidRDefault="00FF6102" w:rsidP="00903F89">
            <w:pPr>
              <w:jc w:val="both"/>
              <w:rPr>
                <w:rFonts w:cs="Arial"/>
                <w:sz w:val="20"/>
                <w:szCs w:val="20"/>
              </w:rPr>
            </w:pPr>
          </w:p>
        </w:tc>
      </w:tr>
      <w:tr w:rsidR="00903F89" w:rsidRPr="00903F89" w14:paraId="7001E09D" w14:textId="77777777" w:rsidTr="00B1212B">
        <w:trPr>
          <w:gridAfter w:val="1"/>
          <w:wAfter w:w="168" w:type="dxa"/>
        </w:trPr>
        <w:tc>
          <w:tcPr>
            <w:tcW w:w="10632" w:type="dxa"/>
            <w:gridSpan w:val="9"/>
            <w:shd w:val="clear" w:color="auto" w:fill="auto"/>
          </w:tcPr>
          <w:p w14:paraId="3791D0BE" w14:textId="5F653B20" w:rsidR="00FF6102" w:rsidRPr="00903F89" w:rsidRDefault="00FF2718" w:rsidP="00903F89">
            <w:pPr>
              <w:jc w:val="both"/>
              <w:rPr>
                <w:rFonts w:cs="Arial"/>
                <w:b/>
                <w:bCs/>
                <w:sz w:val="20"/>
                <w:szCs w:val="20"/>
                <w:u w:val="double"/>
              </w:rPr>
            </w:pPr>
            <w:r w:rsidRPr="00903F89">
              <w:rPr>
                <w:rFonts w:cs="Arial"/>
                <w:b/>
                <w:bCs/>
                <w:sz w:val="20"/>
                <w:szCs w:val="20"/>
                <w:u w:val="double"/>
              </w:rPr>
              <w:t xml:space="preserve">Υποομάδα </w:t>
            </w:r>
            <w:r w:rsidR="00FF6102" w:rsidRPr="00903F89">
              <w:rPr>
                <w:rFonts w:cs="Arial"/>
                <w:b/>
                <w:bCs/>
                <w:sz w:val="20"/>
                <w:szCs w:val="20"/>
                <w:u w:val="double"/>
              </w:rPr>
              <w:t xml:space="preserve">420 – </w:t>
            </w:r>
            <w:r w:rsidR="00F529CF" w:rsidRPr="00903F89">
              <w:rPr>
                <w:rFonts w:cs="Arial"/>
                <w:b/>
                <w:bCs/>
                <w:sz w:val="20"/>
                <w:szCs w:val="20"/>
                <w:u w:val="double"/>
              </w:rPr>
              <w:t>Δαπάνες</w:t>
            </w:r>
            <w:r w:rsidR="00FC3C40" w:rsidRPr="00903F89">
              <w:rPr>
                <w:rFonts w:cs="Arial"/>
                <w:b/>
                <w:bCs/>
                <w:sz w:val="20"/>
                <w:szCs w:val="20"/>
                <w:u w:val="double"/>
              </w:rPr>
              <w:t xml:space="preserve"> </w:t>
            </w:r>
            <w:r w:rsidR="00FF6102" w:rsidRPr="00903F89">
              <w:rPr>
                <w:rFonts w:cs="Arial"/>
                <w:b/>
                <w:bCs/>
                <w:sz w:val="20"/>
                <w:szCs w:val="20"/>
                <w:u w:val="double"/>
              </w:rPr>
              <w:t>Στέγαση</w:t>
            </w:r>
            <w:r w:rsidR="00F529CF" w:rsidRPr="00903F89">
              <w:rPr>
                <w:rFonts w:cs="Arial"/>
                <w:b/>
                <w:bCs/>
                <w:sz w:val="20"/>
                <w:szCs w:val="20"/>
                <w:u w:val="double"/>
              </w:rPr>
              <w:t>ς</w:t>
            </w:r>
          </w:p>
        </w:tc>
      </w:tr>
      <w:tr w:rsidR="00903F89" w:rsidRPr="00903F89" w14:paraId="0AB1B68B" w14:textId="77777777" w:rsidTr="00B1212B">
        <w:trPr>
          <w:gridAfter w:val="1"/>
          <w:wAfter w:w="168" w:type="dxa"/>
        </w:trPr>
        <w:tc>
          <w:tcPr>
            <w:tcW w:w="10632" w:type="dxa"/>
            <w:gridSpan w:val="9"/>
          </w:tcPr>
          <w:p w14:paraId="5A8DBDA8" w14:textId="32FE1F59" w:rsidR="00FF6102" w:rsidRPr="00903F89" w:rsidRDefault="00FF6102" w:rsidP="00903F89">
            <w:pPr>
              <w:jc w:val="both"/>
              <w:rPr>
                <w:rFonts w:cs="Arial"/>
                <w:b/>
                <w:sz w:val="20"/>
                <w:szCs w:val="20"/>
                <w:u w:val="single"/>
              </w:rPr>
            </w:pPr>
          </w:p>
        </w:tc>
      </w:tr>
      <w:tr w:rsidR="00903F89" w:rsidRPr="00903F89" w14:paraId="2DFF4EC9" w14:textId="77777777" w:rsidTr="00B1212B">
        <w:trPr>
          <w:gridAfter w:val="1"/>
          <w:wAfter w:w="168" w:type="dxa"/>
        </w:trPr>
        <w:tc>
          <w:tcPr>
            <w:tcW w:w="10632" w:type="dxa"/>
            <w:gridSpan w:val="9"/>
          </w:tcPr>
          <w:p w14:paraId="7B8810F4" w14:textId="170F96C3"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421 – Δικαιώματα Εμπειρογνωμόνων, Συμβούλων, Αρχιτεκτονικοί Διαγωνισμοί, Μελέτες, Υπηρεσίες – €2.839.400</w:t>
            </w:r>
          </w:p>
        </w:tc>
      </w:tr>
      <w:tr w:rsidR="00903F89" w:rsidRPr="00903F89" w14:paraId="3F305CD6" w14:textId="77777777" w:rsidTr="00B1212B">
        <w:trPr>
          <w:gridAfter w:val="1"/>
          <w:wAfter w:w="168" w:type="dxa"/>
        </w:trPr>
        <w:tc>
          <w:tcPr>
            <w:tcW w:w="1992" w:type="dxa"/>
            <w:gridSpan w:val="2"/>
          </w:tcPr>
          <w:p w14:paraId="7DF72784" w14:textId="77777777" w:rsidR="00FF6102" w:rsidRPr="00903F89" w:rsidRDefault="00FF6102" w:rsidP="00903F89">
            <w:pPr>
              <w:jc w:val="both"/>
              <w:rPr>
                <w:rFonts w:cs="Arial"/>
                <w:b/>
                <w:sz w:val="20"/>
                <w:szCs w:val="20"/>
                <w:u w:val="single"/>
              </w:rPr>
            </w:pPr>
          </w:p>
        </w:tc>
        <w:tc>
          <w:tcPr>
            <w:tcW w:w="8640" w:type="dxa"/>
            <w:gridSpan w:val="7"/>
          </w:tcPr>
          <w:p w14:paraId="4AEE9E01" w14:textId="56C887C1" w:rsidR="00FF6102" w:rsidRPr="00903F89" w:rsidRDefault="00FF6102" w:rsidP="00903F89">
            <w:pPr>
              <w:jc w:val="both"/>
              <w:rPr>
                <w:rFonts w:eastAsia="Arial" w:cs="Arial"/>
                <w:b/>
                <w:bCs/>
                <w:sz w:val="20"/>
                <w:szCs w:val="20"/>
                <w:u w:val="single"/>
              </w:rPr>
            </w:pPr>
            <w:r w:rsidRPr="00903F89">
              <w:rPr>
                <w:rFonts w:eastAsia="Arial" w:cs="Arial"/>
                <w:b/>
                <w:bCs/>
                <w:i/>
                <w:iCs/>
                <w:sz w:val="20"/>
                <w:szCs w:val="20"/>
              </w:rPr>
              <w:t>:</w:t>
            </w:r>
          </w:p>
        </w:tc>
      </w:tr>
      <w:tr w:rsidR="00903F89" w:rsidRPr="00903F89" w14:paraId="1C580011" w14:textId="77777777" w:rsidTr="00B1212B">
        <w:trPr>
          <w:gridAfter w:val="1"/>
          <w:wAfter w:w="168" w:type="dxa"/>
        </w:trPr>
        <w:tc>
          <w:tcPr>
            <w:tcW w:w="10632" w:type="dxa"/>
            <w:gridSpan w:val="9"/>
            <w:shd w:val="clear" w:color="auto" w:fill="auto"/>
          </w:tcPr>
          <w:p w14:paraId="1A7F2FC3" w14:textId="00C5CE8D" w:rsidR="00FF6102" w:rsidRPr="00903F89" w:rsidRDefault="00FF6102" w:rsidP="00903F89">
            <w:pPr>
              <w:jc w:val="both"/>
              <w:rPr>
                <w:rFonts w:eastAsia="Arial" w:cs="Arial"/>
                <w:b/>
                <w:bCs/>
                <w:sz w:val="20"/>
                <w:szCs w:val="20"/>
                <w:u w:val="single"/>
              </w:rPr>
            </w:pPr>
            <w:r w:rsidRPr="00903F89">
              <w:rPr>
                <w:rFonts w:cs="Arial"/>
                <w:sz w:val="20"/>
                <w:szCs w:val="20"/>
              </w:rPr>
              <w:t xml:space="preserve">Το άρθρο αυτό αφορά στην προμήθεια συμβουλευτικών και άλλων υπηρεσιών που σχετίζονται με την υλοποίηση του Γενικού Χωροταξικού Σχεδίου της Πανεπιστημιούπολης και άλλων εγκαταστάσεων του Πανεπιστημίου, στην κάλυψη των δαπανών που απαιτούνται για τη διερεύνηση τεχνικών και άλλων λύσεων ή/και συνεργασιών που αφορούν στην ολοκλήρωση σχετικών μελετών και στην ενημέρωση ή τεχνική κατάρτιση του εμπλεκόμενου προσωπικού σε θέματα, μεθόδους και διαδικασίες που σχετίζονται με τον προγραμματισμό, το σχεδιασμό, την κατασκευή και λειτουργία των εγκαταστάσεων του Πανεπιστημίου. </w:t>
            </w:r>
          </w:p>
        </w:tc>
      </w:tr>
      <w:tr w:rsidR="00903F89" w:rsidRPr="00903F89" w14:paraId="02772770" w14:textId="77777777" w:rsidTr="00B1212B">
        <w:trPr>
          <w:gridAfter w:val="1"/>
          <w:wAfter w:w="168" w:type="dxa"/>
        </w:trPr>
        <w:tc>
          <w:tcPr>
            <w:tcW w:w="10632" w:type="dxa"/>
            <w:gridSpan w:val="9"/>
            <w:shd w:val="clear" w:color="auto" w:fill="auto"/>
          </w:tcPr>
          <w:p w14:paraId="49209815" w14:textId="77777777" w:rsidR="00FF6102" w:rsidRPr="00903F89" w:rsidRDefault="00FF6102" w:rsidP="00903F89">
            <w:pPr>
              <w:jc w:val="both"/>
              <w:rPr>
                <w:rFonts w:cs="Arial"/>
                <w:sz w:val="20"/>
                <w:szCs w:val="20"/>
              </w:rPr>
            </w:pPr>
          </w:p>
        </w:tc>
      </w:tr>
      <w:tr w:rsidR="00903F89" w:rsidRPr="00903F89" w14:paraId="67D03E2B" w14:textId="77777777" w:rsidTr="00B1212B">
        <w:trPr>
          <w:gridAfter w:val="1"/>
          <w:wAfter w:w="168" w:type="dxa"/>
        </w:trPr>
        <w:tc>
          <w:tcPr>
            <w:tcW w:w="10632" w:type="dxa"/>
            <w:gridSpan w:val="9"/>
          </w:tcPr>
          <w:p w14:paraId="6AE82B41" w14:textId="084E25BF" w:rsidR="00FF6102" w:rsidRPr="00903F89" w:rsidRDefault="00FF6102" w:rsidP="00903F89">
            <w:pPr>
              <w:jc w:val="both"/>
              <w:rPr>
                <w:rFonts w:eastAsia="Arial" w:cs="Arial"/>
                <w:sz w:val="20"/>
                <w:szCs w:val="20"/>
              </w:rPr>
            </w:pPr>
            <w:r w:rsidRPr="00903F89">
              <w:rPr>
                <w:rFonts w:cs="Arial"/>
                <w:sz w:val="20"/>
                <w:szCs w:val="20"/>
              </w:rPr>
              <w:t>Επίσης, στην κάλυψη δαπανών που αφορούν στην προκήρυξη και διεκπεραίωση αρχιτεκτονικών διαγωνισμών, στην πληρωμή επαγγελματικών δικαιωμάτων και αμοιβών, διαχειριστικών και άλλων υποστηρικτικών εξόδων που προκύπτουν ή σχετίζονται με τα πιο πάνω.</w:t>
            </w:r>
          </w:p>
        </w:tc>
      </w:tr>
      <w:tr w:rsidR="00903F89" w:rsidRPr="00903F89" w14:paraId="275FA241" w14:textId="77777777" w:rsidTr="00B1212B">
        <w:trPr>
          <w:gridAfter w:val="1"/>
          <w:wAfter w:w="168" w:type="dxa"/>
        </w:trPr>
        <w:tc>
          <w:tcPr>
            <w:tcW w:w="8215" w:type="dxa"/>
            <w:gridSpan w:val="7"/>
          </w:tcPr>
          <w:p w14:paraId="3768B92C" w14:textId="77777777" w:rsidR="00FF6102" w:rsidRPr="00903F89" w:rsidRDefault="00FF6102" w:rsidP="00903F89">
            <w:pPr>
              <w:jc w:val="both"/>
              <w:rPr>
                <w:rFonts w:cs="Arial"/>
                <w:sz w:val="20"/>
                <w:szCs w:val="20"/>
              </w:rPr>
            </w:pPr>
          </w:p>
        </w:tc>
        <w:tc>
          <w:tcPr>
            <w:tcW w:w="2417" w:type="dxa"/>
            <w:gridSpan w:val="2"/>
            <w:shd w:val="clear" w:color="auto" w:fill="auto"/>
          </w:tcPr>
          <w:p w14:paraId="23AFB92C" w14:textId="51B7F8F2" w:rsidR="00FF6102" w:rsidRPr="00903F89" w:rsidRDefault="00FF6102" w:rsidP="00903F89">
            <w:pPr>
              <w:jc w:val="both"/>
              <w:rPr>
                <w:rFonts w:cs="Arial"/>
                <w:sz w:val="20"/>
                <w:szCs w:val="20"/>
              </w:rPr>
            </w:pPr>
          </w:p>
        </w:tc>
      </w:tr>
      <w:tr w:rsidR="00903F89" w:rsidRPr="00903F89" w14:paraId="1C12D9FB" w14:textId="77777777" w:rsidTr="00B1212B">
        <w:trPr>
          <w:gridAfter w:val="1"/>
          <w:wAfter w:w="168" w:type="dxa"/>
        </w:trPr>
        <w:tc>
          <w:tcPr>
            <w:tcW w:w="10632" w:type="dxa"/>
            <w:gridSpan w:val="9"/>
            <w:shd w:val="clear" w:color="auto" w:fill="auto"/>
          </w:tcPr>
          <w:p w14:paraId="33C80920" w14:textId="5422579E" w:rsidR="00FF6102" w:rsidRPr="00903F89" w:rsidRDefault="00FF6102" w:rsidP="00903F89">
            <w:pPr>
              <w:jc w:val="both"/>
              <w:rPr>
                <w:rFonts w:eastAsia="Arial" w:cs="Arial"/>
                <w:sz w:val="20"/>
                <w:szCs w:val="20"/>
              </w:rPr>
            </w:pPr>
            <w:r w:rsidRPr="00903F89">
              <w:rPr>
                <w:rFonts w:cs="Arial"/>
                <w:sz w:val="20"/>
                <w:szCs w:val="20"/>
              </w:rPr>
              <w:t>Η πρόνοια προορίζεται να καλύψει δαπάνες οι οποίες αφορούν κυρίως έργα τα οποία θα χρηματοδοτηθούν από πρόσθετη Κυβερνητική Χορηγία από τα δάνεια με την Ευρωπαϊκή Τράπεζα Επενδύσεων και την Τράπεζα Αναπτύξεως του Συμβουλίου της Ευρώπης, καθώς και δαπάνες για άλλα έργα που θα καλυφθούν από άλλα έσοδα εκτός κρατικής χορηγίας του Πανεπιστημίου Κύπρου.  Ενδεικτικά καταγράφονται τα έργα των οποίων σχετικές δαπάνες αναμένεται να καλυφθούν το 2022</w:t>
            </w:r>
            <w:r w:rsidRPr="00903F89">
              <w:rPr>
                <w:rFonts w:eastAsia="Arial" w:cs="Arial"/>
                <w:sz w:val="20"/>
                <w:szCs w:val="20"/>
              </w:rPr>
              <w:t>:</w:t>
            </w:r>
          </w:p>
        </w:tc>
      </w:tr>
      <w:tr w:rsidR="00903F89" w:rsidRPr="00903F89" w14:paraId="1D8EBB75" w14:textId="77777777" w:rsidTr="00B1212B">
        <w:trPr>
          <w:gridAfter w:val="1"/>
          <w:wAfter w:w="168" w:type="dxa"/>
        </w:trPr>
        <w:tc>
          <w:tcPr>
            <w:tcW w:w="10632" w:type="dxa"/>
            <w:gridSpan w:val="9"/>
            <w:shd w:val="clear" w:color="auto" w:fill="auto"/>
          </w:tcPr>
          <w:p w14:paraId="022D43CD" w14:textId="77777777" w:rsidR="00FF6102" w:rsidRPr="00903F89" w:rsidRDefault="00FF6102" w:rsidP="00903F89">
            <w:pPr>
              <w:jc w:val="both"/>
              <w:rPr>
                <w:rFonts w:cs="Arial"/>
                <w:sz w:val="20"/>
                <w:szCs w:val="20"/>
              </w:rPr>
            </w:pPr>
          </w:p>
        </w:tc>
      </w:tr>
      <w:tr w:rsidR="00903F89" w:rsidRPr="00903F89" w14:paraId="18047126" w14:textId="77777777" w:rsidTr="00B1212B">
        <w:trPr>
          <w:gridAfter w:val="1"/>
          <w:wAfter w:w="168" w:type="dxa"/>
        </w:trPr>
        <w:tc>
          <w:tcPr>
            <w:tcW w:w="10632" w:type="dxa"/>
            <w:gridSpan w:val="9"/>
            <w:shd w:val="clear" w:color="auto" w:fill="auto"/>
          </w:tcPr>
          <w:tbl>
            <w:tblPr>
              <w:tblpPr w:leftFromText="180" w:rightFromText="180" w:vertAnchor="text" w:horzAnchor="margin" w:tblpY="-192"/>
              <w:tblOverlap w:val="never"/>
              <w:tblW w:w="10449" w:type="dxa"/>
              <w:tblLayout w:type="fixed"/>
              <w:tblLook w:val="04A0" w:firstRow="1" w:lastRow="0" w:firstColumn="1" w:lastColumn="0" w:noHBand="0" w:noVBand="1"/>
            </w:tblPr>
            <w:tblGrid>
              <w:gridCol w:w="533"/>
              <w:gridCol w:w="9916"/>
            </w:tblGrid>
            <w:tr w:rsidR="00FF6102" w:rsidRPr="00903F89" w14:paraId="080BF2ED" w14:textId="77777777" w:rsidTr="00380448">
              <w:trPr>
                <w:trHeight w:val="20"/>
              </w:trPr>
              <w:tc>
                <w:tcPr>
                  <w:tcW w:w="10449" w:type="dxa"/>
                  <w:gridSpan w:val="2"/>
                  <w:shd w:val="clear" w:color="auto" w:fill="auto"/>
                  <w:noWrap/>
                  <w:vAlign w:val="center"/>
                </w:tcPr>
                <w:p w14:paraId="552503B4" w14:textId="77777777" w:rsidR="00FF6102" w:rsidRPr="00903F89" w:rsidRDefault="00FF6102" w:rsidP="00903F89">
                  <w:pPr>
                    <w:jc w:val="both"/>
                    <w:rPr>
                      <w:rFonts w:eastAsia="Arial" w:cs="Arial"/>
                      <w:sz w:val="20"/>
                      <w:szCs w:val="20"/>
                      <w:u w:val="single"/>
                    </w:rPr>
                  </w:pPr>
                  <w:r w:rsidRPr="00903F89">
                    <w:rPr>
                      <w:rFonts w:cs="Arial"/>
                      <w:sz w:val="20"/>
                      <w:szCs w:val="20"/>
                      <w:u w:val="single"/>
                    </w:rPr>
                    <w:t>Έργα Χρηματοδοτούμενα από Κυβερνητική Χορηγία από τα δάνεια με την Ευρωπαϊκή Τράπεζα Επενδύσεων και την Τράπεζα Αναπτύξεως του Συμβουλίου της Ευρώπης:</w:t>
                  </w:r>
                </w:p>
              </w:tc>
            </w:tr>
            <w:tr w:rsidR="00FF6102" w:rsidRPr="00903F89" w14:paraId="4E7028D8" w14:textId="77777777" w:rsidTr="00380448">
              <w:trPr>
                <w:trHeight w:val="20"/>
              </w:trPr>
              <w:tc>
                <w:tcPr>
                  <w:tcW w:w="10449" w:type="dxa"/>
                  <w:gridSpan w:val="2"/>
                  <w:shd w:val="clear" w:color="auto" w:fill="auto"/>
                  <w:noWrap/>
                  <w:vAlign w:val="center"/>
                </w:tcPr>
                <w:p w14:paraId="7ADB69A0" w14:textId="77777777" w:rsidR="00FF6102" w:rsidRPr="00903F89" w:rsidRDefault="00FF6102" w:rsidP="00903F89">
                  <w:pPr>
                    <w:jc w:val="both"/>
                    <w:rPr>
                      <w:rFonts w:cs="Arial"/>
                      <w:sz w:val="20"/>
                      <w:szCs w:val="20"/>
                      <w:u w:val="single"/>
                    </w:rPr>
                  </w:pPr>
                </w:p>
              </w:tc>
            </w:tr>
            <w:tr w:rsidR="00FF6102" w:rsidRPr="00903F89" w14:paraId="1E9C3E47" w14:textId="77777777" w:rsidTr="00380448">
              <w:trPr>
                <w:trHeight w:val="20"/>
              </w:trPr>
              <w:tc>
                <w:tcPr>
                  <w:tcW w:w="533" w:type="dxa"/>
                  <w:shd w:val="clear" w:color="auto" w:fill="auto"/>
                  <w:noWrap/>
                  <w:vAlign w:val="center"/>
                  <w:hideMark/>
                </w:tcPr>
                <w:p w14:paraId="4D731C1A" w14:textId="77777777" w:rsidR="00FF6102" w:rsidRPr="00903F89" w:rsidRDefault="00FF6102" w:rsidP="00903F89">
                  <w:pPr>
                    <w:pStyle w:val="ListParagraph"/>
                    <w:numPr>
                      <w:ilvl w:val="0"/>
                      <w:numId w:val="35"/>
                    </w:numPr>
                    <w:jc w:val="both"/>
                    <w:rPr>
                      <w:rFonts w:eastAsia="Arial" w:cs="Arial"/>
                      <w:sz w:val="20"/>
                      <w:szCs w:val="20"/>
                    </w:rPr>
                  </w:pPr>
                </w:p>
              </w:tc>
              <w:tc>
                <w:tcPr>
                  <w:tcW w:w="9916" w:type="dxa"/>
                  <w:shd w:val="clear" w:color="auto" w:fill="auto"/>
                  <w:noWrap/>
                  <w:vAlign w:val="bottom"/>
                  <w:hideMark/>
                </w:tcPr>
                <w:p w14:paraId="5409FF84" w14:textId="77777777" w:rsidR="00FF6102" w:rsidRPr="00903F89" w:rsidRDefault="00FF6102" w:rsidP="00903F89">
                  <w:pPr>
                    <w:tabs>
                      <w:tab w:val="left" w:pos="318"/>
                    </w:tabs>
                    <w:jc w:val="both"/>
                    <w:rPr>
                      <w:rFonts w:eastAsia="Arial" w:cs="Arial"/>
                      <w:sz w:val="20"/>
                      <w:szCs w:val="20"/>
                    </w:rPr>
                  </w:pPr>
                  <w:r w:rsidRPr="00903F89">
                    <w:rPr>
                      <w:rFonts w:cs="Arial"/>
                      <w:sz w:val="20"/>
                      <w:szCs w:val="20"/>
                    </w:rPr>
                    <w:t>Πολυτεχνική Σχολή - Σύμβουλοι</w:t>
                  </w:r>
                </w:p>
              </w:tc>
            </w:tr>
            <w:tr w:rsidR="00FF6102" w:rsidRPr="00903F89" w14:paraId="1D5AEA14" w14:textId="77777777" w:rsidTr="00380448">
              <w:trPr>
                <w:trHeight w:val="20"/>
              </w:trPr>
              <w:tc>
                <w:tcPr>
                  <w:tcW w:w="533" w:type="dxa"/>
                  <w:shd w:val="clear" w:color="auto" w:fill="auto"/>
                  <w:noWrap/>
                  <w:vAlign w:val="center"/>
                  <w:hideMark/>
                </w:tcPr>
                <w:p w14:paraId="6B0DDCAB" w14:textId="77777777" w:rsidR="00FF6102" w:rsidRPr="00903F89" w:rsidRDefault="00FF6102" w:rsidP="00903F89">
                  <w:pPr>
                    <w:pStyle w:val="ListParagraph"/>
                    <w:numPr>
                      <w:ilvl w:val="0"/>
                      <w:numId w:val="35"/>
                    </w:numPr>
                    <w:jc w:val="both"/>
                    <w:rPr>
                      <w:rFonts w:eastAsia="Arial" w:cs="Arial"/>
                      <w:sz w:val="20"/>
                      <w:szCs w:val="20"/>
                    </w:rPr>
                  </w:pPr>
                </w:p>
              </w:tc>
              <w:tc>
                <w:tcPr>
                  <w:tcW w:w="9916" w:type="dxa"/>
                  <w:shd w:val="clear" w:color="auto" w:fill="auto"/>
                  <w:noWrap/>
                  <w:vAlign w:val="bottom"/>
                  <w:hideMark/>
                </w:tcPr>
                <w:p w14:paraId="0DD772C7" w14:textId="69951949" w:rsidR="00FF6102" w:rsidRPr="00903F89" w:rsidRDefault="00FF6102" w:rsidP="00903F89">
                  <w:pPr>
                    <w:tabs>
                      <w:tab w:val="left" w:pos="318"/>
                    </w:tabs>
                    <w:jc w:val="both"/>
                    <w:rPr>
                      <w:rFonts w:eastAsia="Arial" w:cs="Arial"/>
                      <w:sz w:val="20"/>
                      <w:szCs w:val="20"/>
                    </w:rPr>
                  </w:pPr>
                  <w:r w:rsidRPr="00903F89">
                    <w:rPr>
                      <w:rFonts w:cs="Arial"/>
                      <w:sz w:val="20"/>
                      <w:szCs w:val="20"/>
                    </w:rPr>
                    <w:t>Ιατρική Σχολή στην Πανεπιστημιούπολη - Σύμβουλοι, Μελετητές, Επιμετρητές</w:t>
                  </w:r>
                </w:p>
              </w:tc>
            </w:tr>
            <w:tr w:rsidR="00FF6102" w:rsidRPr="00903F89" w14:paraId="54FD0309" w14:textId="77777777" w:rsidTr="00380448">
              <w:trPr>
                <w:trHeight w:val="80"/>
              </w:trPr>
              <w:tc>
                <w:tcPr>
                  <w:tcW w:w="533" w:type="dxa"/>
                  <w:shd w:val="clear" w:color="auto" w:fill="auto"/>
                  <w:noWrap/>
                  <w:vAlign w:val="center"/>
                  <w:hideMark/>
                </w:tcPr>
                <w:p w14:paraId="43D2B411" w14:textId="77777777" w:rsidR="00FF6102" w:rsidRPr="00903F89" w:rsidRDefault="00FF6102" w:rsidP="00903F89">
                  <w:pPr>
                    <w:pStyle w:val="ListParagraph"/>
                    <w:numPr>
                      <w:ilvl w:val="0"/>
                      <w:numId w:val="35"/>
                    </w:numPr>
                    <w:jc w:val="both"/>
                    <w:rPr>
                      <w:rFonts w:eastAsia="Arial" w:cs="Arial"/>
                      <w:sz w:val="20"/>
                      <w:szCs w:val="20"/>
                    </w:rPr>
                  </w:pPr>
                </w:p>
              </w:tc>
              <w:tc>
                <w:tcPr>
                  <w:tcW w:w="9916" w:type="dxa"/>
                  <w:shd w:val="clear" w:color="auto" w:fill="auto"/>
                  <w:noWrap/>
                  <w:vAlign w:val="bottom"/>
                  <w:hideMark/>
                </w:tcPr>
                <w:p w14:paraId="0552CFDD" w14:textId="0756F204" w:rsidR="00FF6102" w:rsidRPr="00903F89" w:rsidRDefault="00FF6102" w:rsidP="00903F89">
                  <w:pPr>
                    <w:tabs>
                      <w:tab w:val="left" w:pos="318"/>
                    </w:tabs>
                    <w:jc w:val="both"/>
                    <w:rPr>
                      <w:rFonts w:eastAsia="Arial" w:cs="Arial"/>
                      <w:sz w:val="20"/>
                      <w:szCs w:val="20"/>
                    </w:rPr>
                  </w:pPr>
                  <w:r w:rsidRPr="00903F89">
                    <w:rPr>
                      <w:rFonts w:cs="Arial"/>
                      <w:sz w:val="20"/>
                      <w:szCs w:val="20"/>
                    </w:rPr>
                    <w:t>Τμήμα Βιολογικών Επιστημών &amp; Χώροι Διδασκαλίας ΙΙΙ - Σύμβουλοι, Μελετητές, Επιμετρητές</w:t>
                  </w:r>
                </w:p>
              </w:tc>
            </w:tr>
            <w:tr w:rsidR="00FF6102" w:rsidRPr="00903F89" w14:paraId="6FB476BE" w14:textId="77777777" w:rsidTr="00380448">
              <w:trPr>
                <w:trHeight w:val="20"/>
              </w:trPr>
              <w:tc>
                <w:tcPr>
                  <w:tcW w:w="533" w:type="dxa"/>
                  <w:shd w:val="clear" w:color="auto" w:fill="auto"/>
                  <w:noWrap/>
                  <w:vAlign w:val="bottom"/>
                  <w:hideMark/>
                </w:tcPr>
                <w:p w14:paraId="096A617D" w14:textId="77777777" w:rsidR="00FF6102" w:rsidRPr="00903F89" w:rsidRDefault="00FF6102" w:rsidP="00903F89">
                  <w:pPr>
                    <w:pStyle w:val="ListParagraph"/>
                    <w:numPr>
                      <w:ilvl w:val="0"/>
                      <w:numId w:val="35"/>
                    </w:numPr>
                    <w:jc w:val="both"/>
                    <w:rPr>
                      <w:rFonts w:eastAsia="Arial" w:cs="Arial"/>
                      <w:sz w:val="20"/>
                      <w:szCs w:val="20"/>
                    </w:rPr>
                  </w:pPr>
                </w:p>
              </w:tc>
              <w:tc>
                <w:tcPr>
                  <w:tcW w:w="9916" w:type="dxa"/>
                  <w:shd w:val="clear" w:color="auto" w:fill="auto"/>
                  <w:noWrap/>
                  <w:vAlign w:val="bottom"/>
                  <w:hideMark/>
                </w:tcPr>
                <w:p w14:paraId="512ABD7E" w14:textId="3D9B9798" w:rsidR="00FF6102" w:rsidRPr="00903F89" w:rsidRDefault="00FF6102" w:rsidP="00903F89">
                  <w:pPr>
                    <w:tabs>
                      <w:tab w:val="left" w:pos="318"/>
                    </w:tabs>
                    <w:jc w:val="both"/>
                    <w:rPr>
                      <w:rFonts w:eastAsia="Arial" w:cs="Arial"/>
                      <w:sz w:val="20"/>
                      <w:szCs w:val="20"/>
                    </w:rPr>
                  </w:pPr>
                  <w:r w:rsidRPr="00903F89">
                    <w:rPr>
                      <w:rFonts w:cs="Arial"/>
                      <w:sz w:val="20"/>
                      <w:szCs w:val="20"/>
                    </w:rPr>
                    <w:t xml:space="preserve">Φωτοβολταϊκό Πάρκο «Απόλλων» 5ΜW </w:t>
                  </w:r>
                </w:p>
              </w:tc>
            </w:tr>
            <w:tr w:rsidR="00FF6102" w:rsidRPr="00903F89" w14:paraId="5AD8ABCF" w14:textId="77777777" w:rsidTr="00380448">
              <w:trPr>
                <w:trHeight w:val="20"/>
              </w:trPr>
              <w:tc>
                <w:tcPr>
                  <w:tcW w:w="533" w:type="dxa"/>
                  <w:shd w:val="clear" w:color="auto" w:fill="auto"/>
                  <w:noWrap/>
                  <w:vAlign w:val="bottom"/>
                  <w:hideMark/>
                </w:tcPr>
                <w:p w14:paraId="793C4D68" w14:textId="77777777" w:rsidR="00FF6102" w:rsidRPr="00903F89" w:rsidRDefault="00FF6102" w:rsidP="00903F89">
                  <w:pPr>
                    <w:pStyle w:val="ListParagraph"/>
                    <w:numPr>
                      <w:ilvl w:val="0"/>
                      <w:numId w:val="35"/>
                    </w:numPr>
                    <w:jc w:val="both"/>
                    <w:rPr>
                      <w:rFonts w:eastAsia="Arial" w:cs="Arial"/>
                      <w:sz w:val="20"/>
                      <w:szCs w:val="20"/>
                    </w:rPr>
                  </w:pPr>
                </w:p>
              </w:tc>
              <w:tc>
                <w:tcPr>
                  <w:tcW w:w="9916" w:type="dxa"/>
                  <w:shd w:val="clear" w:color="auto" w:fill="auto"/>
                  <w:noWrap/>
                  <w:vAlign w:val="bottom"/>
                  <w:hideMark/>
                </w:tcPr>
                <w:p w14:paraId="19728EB0" w14:textId="77777777" w:rsidR="00FF6102" w:rsidRPr="00903F89" w:rsidRDefault="00FF6102" w:rsidP="00903F89">
                  <w:pPr>
                    <w:tabs>
                      <w:tab w:val="left" w:pos="318"/>
                    </w:tabs>
                    <w:jc w:val="both"/>
                    <w:rPr>
                      <w:rFonts w:eastAsia="Arial" w:cs="Arial"/>
                      <w:sz w:val="20"/>
                      <w:szCs w:val="20"/>
                    </w:rPr>
                  </w:pPr>
                  <w:r w:rsidRPr="00903F89">
                    <w:rPr>
                      <w:rFonts w:cs="Arial"/>
                      <w:sz w:val="20"/>
                      <w:szCs w:val="20"/>
                    </w:rPr>
                    <w:t>Αντισεισμική Αναβάθμιση και Μεταστέγαση Αρχιτεκτονικής στα Κτήρια της Ακαδημίας</w:t>
                  </w:r>
                </w:p>
              </w:tc>
            </w:tr>
            <w:tr w:rsidR="00FF6102" w:rsidRPr="00903F89" w14:paraId="64AB6128" w14:textId="77777777" w:rsidTr="00380448">
              <w:trPr>
                <w:trHeight w:val="20"/>
              </w:trPr>
              <w:tc>
                <w:tcPr>
                  <w:tcW w:w="533" w:type="dxa"/>
                  <w:shd w:val="clear" w:color="auto" w:fill="auto"/>
                  <w:noWrap/>
                  <w:vAlign w:val="center"/>
                  <w:hideMark/>
                </w:tcPr>
                <w:p w14:paraId="4544150B" w14:textId="77777777" w:rsidR="00FF6102" w:rsidRPr="00903F89" w:rsidRDefault="00FF6102" w:rsidP="00903F89">
                  <w:pPr>
                    <w:pStyle w:val="ListParagraph"/>
                    <w:numPr>
                      <w:ilvl w:val="0"/>
                      <w:numId w:val="35"/>
                    </w:numPr>
                    <w:jc w:val="both"/>
                    <w:rPr>
                      <w:rFonts w:eastAsia="Arial" w:cs="Arial"/>
                      <w:sz w:val="20"/>
                      <w:szCs w:val="20"/>
                    </w:rPr>
                  </w:pPr>
                </w:p>
              </w:tc>
              <w:tc>
                <w:tcPr>
                  <w:tcW w:w="9916" w:type="dxa"/>
                  <w:shd w:val="clear" w:color="auto" w:fill="auto"/>
                  <w:noWrap/>
                  <w:vAlign w:val="bottom"/>
                  <w:hideMark/>
                </w:tcPr>
                <w:p w14:paraId="5FE80F9A" w14:textId="13389F2E" w:rsidR="00FF6102" w:rsidRPr="00903F89" w:rsidRDefault="00FF6102" w:rsidP="00903F89">
                  <w:pPr>
                    <w:tabs>
                      <w:tab w:val="left" w:pos="318"/>
                    </w:tabs>
                    <w:jc w:val="both"/>
                    <w:rPr>
                      <w:rFonts w:eastAsia="Arial" w:cs="Arial"/>
                      <w:sz w:val="20"/>
                      <w:szCs w:val="20"/>
                      <w:lang w:val="en-GB"/>
                    </w:rPr>
                  </w:pPr>
                  <w:r w:rsidRPr="00903F89">
                    <w:rPr>
                      <w:rFonts w:cs="Arial"/>
                      <w:sz w:val="20"/>
                      <w:szCs w:val="20"/>
                    </w:rPr>
                    <w:t>Ενεργειακό Κέντρο Β</w:t>
                  </w:r>
                  <w:r w:rsidR="0083226F" w:rsidRPr="00903F89">
                    <w:rPr>
                      <w:rFonts w:cs="Arial"/>
                      <w:sz w:val="20"/>
                      <w:szCs w:val="20"/>
                      <w:lang w:val="en-GB"/>
                    </w:rPr>
                    <w:t>’</w:t>
                  </w:r>
                </w:p>
              </w:tc>
            </w:tr>
            <w:tr w:rsidR="00FF6102" w:rsidRPr="00903F89" w14:paraId="1B078CA6" w14:textId="77777777" w:rsidTr="00380448">
              <w:trPr>
                <w:trHeight w:val="20"/>
              </w:trPr>
              <w:tc>
                <w:tcPr>
                  <w:tcW w:w="533" w:type="dxa"/>
                  <w:shd w:val="clear" w:color="auto" w:fill="auto"/>
                  <w:noWrap/>
                  <w:vAlign w:val="bottom"/>
                </w:tcPr>
                <w:p w14:paraId="3AF366A4" w14:textId="77777777" w:rsidR="00FF6102" w:rsidRPr="00903F89" w:rsidRDefault="00FF6102" w:rsidP="00903F89">
                  <w:pPr>
                    <w:pStyle w:val="ListParagraph"/>
                    <w:numPr>
                      <w:ilvl w:val="0"/>
                      <w:numId w:val="35"/>
                    </w:numPr>
                    <w:jc w:val="both"/>
                    <w:rPr>
                      <w:rFonts w:cs="Arial"/>
                      <w:sz w:val="20"/>
                      <w:szCs w:val="20"/>
                      <w:lang w:val="en-US"/>
                    </w:rPr>
                  </w:pPr>
                </w:p>
              </w:tc>
              <w:tc>
                <w:tcPr>
                  <w:tcW w:w="9916" w:type="dxa"/>
                  <w:shd w:val="clear" w:color="auto" w:fill="auto"/>
                  <w:noWrap/>
                  <w:vAlign w:val="bottom"/>
                </w:tcPr>
                <w:p w14:paraId="26B5799F" w14:textId="77777777" w:rsidR="00FF6102" w:rsidRPr="00903F89" w:rsidRDefault="00FF6102" w:rsidP="00903F89">
                  <w:pPr>
                    <w:tabs>
                      <w:tab w:val="left" w:pos="318"/>
                    </w:tabs>
                    <w:jc w:val="both"/>
                    <w:rPr>
                      <w:rFonts w:cs="Arial"/>
                      <w:sz w:val="20"/>
                      <w:szCs w:val="20"/>
                    </w:rPr>
                  </w:pPr>
                  <w:r w:rsidRPr="00903F89">
                    <w:rPr>
                      <w:rFonts w:cs="Arial"/>
                      <w:sz w:val="20"/>
                      <w:szCs w:val="20"/>
                    </w:rPr>
                    <w:t>Φοιτητικές Εστίες – Φάση Β′</w:t>
                  </w:r>
                </w:p>
              </w:tc>
            </w:tr>
            <w:tr w:rsidR="00FF6102" w:rsidRPr="00903F89" w14:paraId="15229AF9" w14:textId="77777777" w:rsidTr="00380448">
              <w:trPr>
                <w:trHeight w:val="20"/>
              </w:trPr>
              <w:tc>
                <w:tcPr>
                  <w:tcW w:w="533" w:type="dxa"/>
                  <w:shd w:val="clear" w:color="auto" w:fill="auto"/>
                  <w:noWrap/>
                  <w:vAlign w:val="bottom"/>
                </w:tcPr>
                <w:p w14:paraId="40D2A720" w14:textId="77777777" w:rsidR="00FF6102" w:rsidRPr="00903F89" w:rsidRDefault="00FF6102" w:rsidP="00903F89">
                  <w:pPr>
                    <w:pStyle w:val="ListParagraph"/>
                    <w:numPr>
                      <w:ilvl w:val="0"/>
                      <w:numId w:val="35"/>
                    </w:numPr>
                    <w:ind w:left="357" w:hanging="357"/>
                    <w:jc w:val="both"/>
                    <w:rPr>
                      <w:rFonts w:cs="Arial"/>
                      <w:sz w:val="20"/>
                      <w:szCs w:val="20"/>
                      <w:lang w:val="en-US"/>
                    </w:rPr>
                  </w:pPr>
                </w:p>
              </w:tc>
              <w:tc>
                <w:tcPr>
                  <w:tcW w:w="9916" w:type="dxa"/>
                  <w:shd w:val="clear" w:color="auto" w:fill="auto"/>
                  <w:noWrap/>
                  <w:vAlign w:val="bottom"/>
                </w:tcPr>
                <w:p w14:paraId="6C6260A5" w14:textId="24041778" w:rsidR="00FF6102" w:rsidRPr="00903F89" w:rsidRDefault="00FF6102" w:rsidP="00903F89">
                  <w:pPr>
                    <w:tabs>
                      <w:tab w:val="left" w:pos="318"/>
                    </w:tabs>
                    <w:jc w:val="both"/>
                    <w:rPr>
                      <w:rFonts w:cs="Arial"/>
                      <w:sz w:val="20"/>
                      <w:szCs w:val="20"/>
                    </w:rPr>
                  </w:pPr>
                  <w:r w:rsidRPr="00903F89">
                    <w:rPr>
                      <w:rFonts w:cs="Arial"/>
                      <w:sz w:val="20"/>
                      <w:szCs w:val="20"/>
                    </w:rPr>
                    <w:t>Έργα Υποδομής – Φάση Β’</w:t>
                  </w:r>
                </w:p>
              </w:tc>
            </w:tr>
            <w:tr w:rsidR="00FF6102" w:rsidRPr="00903F89" w14:paraId="672F1F88" w14:textId="77777777" w:rsidTr="00380448">
              <w:trPr>
                <w:trHeight w:val="20"/>
              </w:trPr>
              <w:tc>
                <w:tcPr>
                  <w:tcW w:w="533" w:type="dxa"/>
                  <w:shd w:val="clear" w:color="auto" w:fill="auto"/>
                  <w:noWrap/>
                  <w:vAlign w:val="bottom"/>
                </w:tcPr>
                <w:p w14:paraId="7075B6B5" w14:textId="77777777" w:rsidR="00FF6102" w:rsidRPr="00903F89" w:rsidRDefault="00FF6102" w:rsidP="00903F89">
                  <w:pPr>
                    <w:pStyle w:val="ListParagraph"/>
                    <w:numPr>
                      <w:ilvl w:val="0"/>
                      <w:numId w:val="35"/>
                    </w:numPr>
                    <w:jc w:val="both"/>
                    <w:rPr>
                      <w:rFonts w:cs="Arial"/>
                      <w:sz w:val="20"/>
                      <w:szCs w:val="20"/>
                      <w:lang w:val="en-US"/>
                    </w:rPr>
                  </w:pPr>
                </w:p>
              </w:tc>
              <w:tc>
                <w:tcPr>
                  <w:tcW w:w="9916" w:type="dxa"/>
                  <w:shd w:val="clear" w:color="auto" w:fill="auto"/>
                  <w:noWrap/>
                  <w:vAlign w:val="bottom"/>
                </w:tcPr>
                <w:p w14:paraId="6EEF236E" w14:textId="1D9F679F" w:rsidR="00FF6102" w:rsidRPr="00903F89" w:rsidRDefault="00FF6102" w:rsidP="00903F89">
                  <w:pPr>
                    <w:tabs>
                      <w:tab w:val="left" w:pos="318"/>
                    </w:tabs>
                    <w:jc w:val="both"/>
                    <w:rPr>
                      <w:rFonts w:cs="Arial"/>
                      <w:sz w:val="20"/>
                      <w:szCs w:val="20"/>
                    </w:rPr>
                  </w:pPr>
                  <w:r w:rsidRPr="00903F89">
                    <w:rPr>
                      <w:rFonts w:cs="Arial"/>
                      <w:sz w:val="20"/>
                      <w:szCs w:val="20"/>
                    </w:rPr>
                    <w:t>Εγκαταστάσεις Σχολών Θεωρητικών Επιστημών</w:t>
                  </w:r>
                </w:p>
              </w:tc>
            </w:tr>
            <w:tr w:rsidR="00FF6102" w:rsidRPr="00903F89" w14:paraId="08AB1805" w14:textId="77777777" w:rsidTr="00380448">
              <w:trPr>
                <w:trHeight w:val="20"/>
              </w:trPr>
              <w:tc>
                <w:tcPr>
                  <w:tcW w:w="533" w:type="dxa"/>
                  <w:shd w:val="clear" w:color="auto" w:fill="auto"/>
                  <w:noWrap/>
                  <w:vAlign w:val="bottom"/>
                </w:tcPr>
                <w:p w14:paraId="0C468E45" w14:textId="77777777" w:rsidR="00FF6102" w:rsidRPr="00903F89" w:rsidRDefault="00FF6102" w:rsidP="00903F89">
                  <w:pPr>
                    <w:pStyle w:val="ListParagraph"/>
                    <w:numPr>
                      <w:ilvl w:val="0"/>
                      <w:numId w:val="35"/>
                    </w:numPr>
                    <w:jc w:val="both"/>
                    <w:rPr>
                      <w:rFonts w:cs="Arial"/>
                      <w:sz w:val="20"/>
                      <w:szCs w:val="20"/>
                      <w:lang w:val="en-US"/>
                    </w:rPr>
                  </w:pPr>
                </w:p>
              </w:tc>
              <w:tc>
                <w:tcPr>
                  <w:tcW w:w="9916" w:type="dxa"/>
                  <w:shd w:val="clear" w:color="auto" w:fill="auto"/>
                  <w:noWrap/>
                  <w:vAlign w:val="bottom"/>
                </w:tcPr>
                <w:p w14:paraId="09CC9635" w14:textId="2AEB3D67" w:rsidR="00FF6102" w:rsidRPr="00903F89" w:rsidRDefault="00FF6102" w:rsidP="00903F89">
                  <w:pPr>
                    <w:tabs>
                      <w:tab w:val="left" w:pos="318"/>
                    </w:tabs>
                    <w:jc w:val="both"/>
                    <w:rPr>
                      <w:rFonts w:cs="Arial"/>
                      <w:sz w:val="20"/>
                      <w:szCs w:val="20"/>
                    </w:rPr>
                  </w:pPr>
                  <w:r w:rsidRPr="00903F89">
                    <w:rPr>
                      <w:rFonts w:cs="Arial"/>
                      <w:sz w:val="20"/>
                      <w:szCs w:val="20"/>
                    </w:rPr>
                    <w:t>Χώροι Διδασκαλίας 04</w:t>
                  </w:r>
                </w:p>
              </w:tc>
            </w:tr>
            <w:tr w:rsidR="00FF6102" w:rsidRPr="00903F89" w14:paraId="4AF1ED32" w14:textId="77777777" w:rsidTr="00380448">
              <w:trPr>
                <w:trHeight w:val="20"/>
              </w:trPr>
              <w:tc>
                <w:tcPr>
                  <w:tcW w:w="533" w:type="dxa"/>
                  <w:shd w:val="clear" w:color="auto" w:fill="auto"/>
                  <w:noWrap/>
                  <w:vAlign w:val="center"/>
                </w:tcPr>
                <w:p w14:paraId="0BAB8583" w14:textId="77777777" w:rsidR="00FF6102" w:rsidRPr="00903F89" w:rsidRDefault="00FF6102" w:rsidP="00903F89">
                  <w:pPr>
                    <w:jc w:val="both"/>
                    <w:rPr>
                      <w:rFonts w:cs="Arial"/>
                      <w:sz w:val="20"/>
                      <w:szCs w:val="20"/>
                      <w:u w:val="single"/>
                    </w:rPr>
                  </w:pPr>
                </w:p>
              </w:tc>
              <w:tc>
                <w:tcPr>
                  <w:tcW w:w="9916" w:type="dxa"/>
                  <w:shd w:val="clear" w:color="auto" w:fill="auto"/>
                  <w:noWrap/>
                  <w:vAlign w:val="bottom"/>
                </w:tcPr>
                <w:p w14:paraId="4E2DB7D3" w14:textId="77777777" w:rsidR="00FF6102" w:rsidRPr="00903F89" w:rsidRDefault="00FF6102" w:rsidP="00903F89">
                  <w:pPr>
                    <w:tabs>
                      <w:tab w:val="left" w:pos="318"/>
                    </w:tabs>
                    <w:jc w:val="both"/>
                    <w:rPr>
                      <w:rFonts w:cs="Arial"/>
                      <w:sz w:val="20"/>
                      <w:szCs w:val="20"/>
                      <w:u w:val="single"/>
                    </w:rPr>
                  </w:pPr>
                </w:p>
              </w:tc>
            </w:tr>
            <w:tr w:rsidR="00FF6102" w:rsidRPr="00903F89" w14:paraId="0207C721" w14:textId="77777777" w:rsidTr="00380448">
              <w:trPr>
                <w:trHeight w:val="20"/>
              </w:trPr>
              <w:tc>
                <w:tcPr>
                  <w:tcW w:w="10449" w:type="dxa"/>
                  <w:gridSpan w:val="2"/>
                  <w:shd w:val="clear" w:color="auto" w:fill="auto"/>
                  <w:noWrap/>
                  <w:vAlign w:val="center"/>
                </w:tcPr>
                <w:p w14:paraId="762EBA68" w14:textId="77777777" w:rsidR="00FF6102" w:rsidRPr="00903F89" w:rsidRDefault="00FF6102" w:rsidP="00903F89">
                  <w:pPr>
                    <w:jc w:val="both"/>
                    <w:rPr>
                      <w:rFonts w:cs="Arial"/>
                      <w:sz w:val="20"/>
                      <w:szCs w:val="20"/>
                      <w:u w:val="single"/>
                    </w:rPr>
                  </w:pPr>
                  <w:r w:rsidRPr="00903F89">
                    <w:rPr>
                      <w:rFonts w:cs="Arial"/>
                      <w:sz w:val="20"/>
                      <w:szCs w:val="20"/>
                      <w:u w:val="single"/>
                    </w:rPr>
                    <w:t>Έργα Χρηματοδοτούμενα ΕΚΤΟΣ Κυβερνητικής Χορηγίας από τα δάνεια με την Ευρωπαϊκή Τράπεζα Επενδύσεων και την Τράπεζα Αναπτύξεως του Συμβουλίου της Ευρώπης:</w:t>
                  </w:r>
                </w:p>
                <w:p w14:paraId="3FFD1F97" w14:textId="77777777" w:rsidR="00FF6102" w:rsidRPr="00903F89" w:rsidRDefault="00FF6102" w:rsidP="00903F89">
                  <w:pPr>
                    <w:tabs>
                      <w:tab w:val="left" w:pos="318"/>
                    </w:tabs>
                    <w:jc w:val="both"/>
                    <w:rPr>
                      <w:rFonts w:cs="Arial"/>
                      <w:sz w:val="20"/>
                      <w:szCs w:val="20"/>
                      <w:u w:val="single"/>
                    </w:rPr>
                  </w:pPr>
                </w:p>
                <w:p w14:paraId="70BE5162" w14:textId="77777777" w:rsidR="00FF6102" w:rsidRPr="00903F89" w:rsidRDefault="00FF6102" w:rsidP="00903F89">
                  <w:pPr>
                    <w:pStyle w:val="ListParagraph"/>
                    <w:numPr>
                      <w:ilvl w:val="0"/>
                      <w:numId w:val="38"/>
                    </w:numPr>
                    <w:jc w:val="both"/>
                    <w:rPr>
                      <w:rFonts w:cs="Arial"/>
                      <w:sz w:val="20"/>
                      <w:szCs w:val="20"/>
                    </w:rPr>
                  </w:pPr>
                  <w:r w:rsidRPr="00903F89">
                    <w:rPr>
                      <w:rFonts w:cs="Arial"/>
                      <w:sz w:val="20"/>
                      <w:szCs w:val="20"/>
                    </w:rPr>
                    <w:t>Πάρκο Πανεπιστημίου στην Πανεπιστημιούπολη *</w:t>
                  </w:r>
                </w:p>
                <w:p w14:paraId="50451AB5" w14:textId="77777777" w:rsidR="00FF6102" w:rsidRPr="00903F89" w:rsidRDefault="00FF6102" w:rsidP="00903F89">
                  <w:pPr>
                    <w:pStyle w:val="ListParagraph"/>
                    <w:numPr>
                      <w:ilvl w:val="0"/>
                      <w:numId w:val="38"/>
                    </w:numPr>
                    <w:jc w:val="both"/>
                    <w:rPr>
                      <w:rFonts w:cs="Arial"/>
                      <w:sz w:val="20"/>
                      <w:szCs w:val="20"/>
                    </w:rPr>
                  </w:pPr>
                  <w:r w:rsidRPr="00903F89">
                    <w:rPr>
                      <w:rFonts w:cs="Arial"/>
                      <w:sz w:val="20"/>
                      <w:szCs w:val="20"/>
                    </w:rPr>
                    <w:t>Σύμβουλοι για ετοιμασία Μελέτης Εκτίμησης Επιπτώσεων στο Περιβάλλον (ΜΕΕΠ)</w:t>
                  </w:r>
                </w:p>
                <w:p w14:paraId="061E6035" w14:textId="77777777" w:rsidR="00FF6102" w:rsidRPr="00903F89" w:rsidRDefault="00FF6102" w:rsidP="00903F89">
                  <w:pPr>
                    <w:pStyle w:val="ListParagraph"/>
                    <w:numPr>
                      <w:ilvl w:val="0"/>
                      <w:numId w:val="38"/>
                    </w:numPr>
                    <w:jc w:val="both"/>
                    <w:rPr>
                      <w:rFonts w:cs="Arial"/>
                      <w:sz w:val="20"/>
                      <w:szCs w:val="20"/>
                    </w:rPr>
                  </w:pPr>
                  <w:r w:rsidRPr="00903F89">
                    <w:rPr>
                      <w:rFonts w:cs="Arial"/>
                      <w:sz w:val="20"/>
                      <w:szCs w:val="20"/>
                    </w:rPr>
                    <w:t>Παροχή Υπηρεσιών Διοικητικής Υποστήριξης για Συγχρηματοδοτούμενα Έργα</w:t>
                  </w:r>
                </w:p>
                <w:p w14:paraId="5DBF5FD6" w14:textId="77777777" w:rsidR="00FF6102" w:rsidRPr="00903F89" w:rsidRDefault="00FF6102" w:rsidP="00903F89">
                  <w:pPr>
                    <w:pStyle w:val="ListParagraph"/>
                    <w:numPr>
                      <w:ilvl w:val="0"/>
                      <w:numId w:val="38"/>
                    </w:numPr>
                    <w:jc w:val="both"/>
                    <w:rPr>
                      <w:rFonts w:cs="Arial"/>
                      <w:sz w:val="20"/>
                      <w:szCs w:val="20"/>
                    </w:rPr>
                  </w:pPr>
                  <w:r w:rsidRPr="00903F89">
                    <w:rPr>
                      <w:rFonts w:cs="Arial"/>
                      <w:sz w:val="20"/>
                      <w:szCs w:val="20"/>
                    </w:rPr>
                    <w:t>Εξειδικευμένη Ενημέρωση/Εκπαίδευση Προσωπικού - Επισκέψεις Εξωτερικού</w:t>
                  </w:r>
                </w:p>
                <w:p w14:paraId="1681863E" w14:textId="3A99A2EF" w:rsidR="00FF6102" w:rsidRPr="00903F89" w:rsidRDefault="00FF6102" w:rsidP="00903F89">
                  <w:pPr>
                    <w:pStyle w:val="ListParagraph"/>
                    <w:numPr>
                      <w:ilvl w:val="0"/>
                      <w:numId w:val="40"/>
                    </w:numPr>
                    <w:jc w:val="both"/>
                    <w:rPr>
                      <w:rFonts w:cs="Arial"/>
                      <w:sz w:val="20"/>
                      <w:szCs w:val="20"/>
                      <w:u w:val="single"/>
                    </w:rPr>
                  </w:pPr>
                  <w:r w:rsidRPr="00903F89">
                    <w:rPr>
                      <w:rFonts w:cs="Arial"/>
                      <w:sz w:val="20"/>
                      <w:szCs w:val="20"/>
                    </w:rPr>
                    <w:t>Διάφορα</w:t>
                  </w:r>
                </w:p>
              </w:tc>
            </w:tr>
          </w:tbl>
          <w:p w14:paraId="399804FF" w14:textId="77777777" w:rsidR="00FF6102" w:rsidRPr="00903F89" w:rsidRDefault="00FF6102" w:rsidP="00903F89">
            <w:pPr>
              <w:jc w:val="both"/>
              <w:rPr>
                <w:rFonts w:cs="Arial"/>
                <w:sz w:val="20"/>
                <w:szCs w:val="20"/>
              </w:rPr>
            </w:pPr>
          </w:p>
        </w:tc>
      </w:tr>
      <w:tr w:rsidR="00903F89" w:rsidRPr="00903F89" w14:paraId="70E122F2" w14:textId="77777777" w:rsidTr="00B1212B">
        <w:trPr>
          <w:gridAfter w:val="1"/>
          <w:wAfter w:w="168" w:type="dxa"/>
        </w:trPr>
        <w:tc>
          <w:tcPr>
            <w:tcW w:w="10632" w:type="dxa"/>
            <w:gridSpan w:val="9"/>
            <w:shd w:val="clear" w:color="auto" w:fill="auto"/>
          </w:tcPr>
          <w:p w14:paraId="2D56AABF" w14:textId="77777777" w:rsidR="00FF6102" w:rsidRPr="00903F89" w:rsidRDefault="00FF6102" w:rsidP="00903F89">
            <w:pPr>
              <w:jc w:val="both"/>
              <w:rPr>
                <w:rFonts w:cs="Arial"/>
                <w:sz w:val="20"/>
                <w:szCs w:val="20"/>
                <w:u w:val="single"/>
              </w:rPr>
            </w:pPr>
          </w:p>
        </w:tc>
      </w:tr>
      <w:tr w:rsidR="00903F89" w:rsidRPr="00903F89" w14:paraId="73574DEA" w14:textId="77777777" w:rsidTr="00B1212B">
        <w:trPr>
          <w:gridAfter w:val="1"/>
          <w:wAfter w:w="168" w:type="dxa"/>
        </w:trPr>
        <w:tc>
          <w:tcPr>
            <w:tcW w:w="10632" w:type="dxa"/>
            <w:gridSpan w:val="9"/>
            <w:shd w:val="clear" w:color="auto" w:fill="auto"/>
          </w:tcPr>
          <w:p w14:paraId="1DBF303F" w14:textId="59268206" w:rsidR="0083226F" w:rsidRPr="00903F89" w:rsidRDefault="0083226F" w:rsidP="00903F89">
            <w:pPr>
              <w:jc w:val="both"/>
              <w:rPr>
                <w:rFonts w:cs="Arial"/>
                <w:sz w:val="20"/>
                <w:szCs w:val="20"/>
              </w:rPr>
            </w:pPr>
            <w:r w:rsidRPr="00903F89">
              <w:rPr>
                <w:rFonts w:cs="Arial"/>
                <w:sz w:val="20"/>
                <w:szCs w:val="20"/>
              </w:rPr>
              <w:t xml:space="preserve">Διευκρινίζεται ότι το έργο «Έργα Υποδομής Φάση Β’» αποτελείται από 3 υπό-έργα τα οποία θα προωθηθούν με ενιαία Σύμβαση: </w:t>
            </w:r>
          </w:p>
          <w:p w14:paraId="4C659D62" w14:textId="77777777" w:rsidR="0083226F" w:rsidRPr="00903F89" w:rsidRDefault="0083226F" w:rsidP="00903F89">
            <w:pPr>
              <w:jc w:val="both"/>
              <w:rPr>
                <w:rFonts w:cs="Arial"/>
                <w:sz w:val="20"/>
                <w:szCs w:val="20"/>
              </w:rPr>
            </w:pPr>
          </w:p>
          <w:p w14:paraId="4AAAA5BF" w14:textId="77777777" w:rsidR="0083226F" w:rsidRPr="00903F89" w:rsidRDefault="0083226F" w:rsidP="00903F89">
            <w:pPr>
              <w:jc w:val="both"/>
              <w:rPr>
                <w:rFonts w:cs="Arial"/>
                <w:sz w:val="20"/>
                <w:szCs w:val="20"/>
              </w:rPr>
            </w:pPr>
            <w:r w:rsidRPr="00903F89">
              <w:rPr>
                <w:rFonts w:cs="Arial"/>
                <w:sz w:val="20"/>
                <w:szCs w:val="20"/>
              </w:rPr>
              <w:t>–</w:t>
            </w:r>
            <w:r w:rsidRPr="00903F89">
              <w:rPr>
                <w:rFonts w:cs="Arial"/>
                <w:sz w:val="20"/>
                <w:szCs w:val="20"/>
              </w:rPr>
              <w:tab/>
              <w:t>Οδικό δίκτυο/Κεντρικά συστήματα</w:t>
            </w:r>
          </w:p>
          <w:p w14:paraId="1BD14A74" w14:textId="77777777" w:rsidR="0083226F" w:rsidRPr="00903F89" w:rsidRDefault="0083226F" w:rsidP="00903F89">
            <w:pPr>
              <w:jc w:val="both"/>
              <w:rPr>
                <w:rFonts w:cs="Arial"/>
                <w:sz w:val="20"/>
                <w:szCs w:val="20"/>
                <w:u w:val="single"/>
              </w:rPr>
            </w:pPr>
            <w:r w:rsidRPr="00903F89">
              <w:rPr>
                <w:rFonts w:cs="Arial"/>
                <w:sz w:val="20"/>
                <w:szCs w:val="20"/>
              </w:rPr>
              <w:t>–</w:t>
            </w:r>
            <w:r w:rsidRPr="00903F89">
              <w:rPr>
                <w:rFonts w:cs="Arial"/>
                <w:sz w:val="20"/>
                <w:szCs w:val="20"/>
              </w:rPr>
              <w:tab/>
              <w:t>Ενεργειακό Κέντρο Β (βλ. σημείο 6</w:t>
            </w:r>
            <w:r w:rsidRPr="00903F89">
              <w:rPr>
                <w:rFonts w:cs="Arial"/>
                <w:sz w:val="20"/>
                <w:szCs w:val="20"/>
                <w:u w:val="single"/>
              </w:rPr>
              <w:t>)</w:t>
            </w:r>
          </w:p>
          <w:p w14:paraId="73EA7432" w14:textId="355704A9" w:rsidR="0083226F" w:rsidRPr="00903F89" w:rsidRDefault="0083226F" w:rsidP="00903F89">
            <w:pPr>
              <w:pStyle w:val="ListParagraph"/>
              <w:numPr>
                <w:ilvl w:val="0"/>
                <w:numId w:val="39"/>
              </w:numPr>
              <w:jc w:val="both"/>
              <w:rPr>
                <w:rFonts w:cs="Arial"/>
                <w:sz w:val="20"/>
                <w:szCs w:val="20"/>
              </w:rPr>
            </w:pPr>
            <w:r w:rsidRPr="00903F89">
              <w:rPr>
                <w:rFonts w:cs="Arial"/>
                <w:sz w:val="20"/>
                <w:szCs w:val="20"/>
              </w:rPr>
              <w:tab/>
              <w:t>Πάρκο Πανεπιστημίου στην Πανεπιστημιούπολη (βλ. σημείο (</w:t>
            </w:r>
            <w:proofErr w:type="spellStart"/>
            <w:r w:rsidRPr="00903F89">
              <w:rPr>
                <w:rFonts w:cs="Arial"/>
                <w:sz w:val="20"/>
                <w:szCs w:val="20"/>
                <w:lang w:val="en-GB"/>
              </w:rPr>
              <w:t>i</w:t>
            </w:r>
            <w:proofErr w:type="spellEnd"/>
            <w:r w:rsidRPr="00903F89">
              <w:rPr>
                <w:rFonts w:cs="Arial"/>
                <w:sz w:val="20"/>
                <w:szCs w:val="20"/>
              </w:rPr>
              <w:t>)).</w:t>
            </w:r>
          </w:p>
          <w:p w14:paraId="52FEA8A4" w14:textId="77777777" w:rsidR="0083226F" w:rsidRPr="00903F89" w:rsidRDefault="0083226F" w:rsidP="00903F89">
            <w:pPr>
              <w:pStyle w:val="ListParagraph"/>
              <w:ind w:left="1080"/>
              <w:jc w:val="both"/>
              <w:rPr>
                <w:rFonts w:cs="Arial"/>
                <w:sz w:val="20"/>
                <w:szCs w:val="20"/>
              </w:rPr>
            </w:pPr>
          </w:p>
          <w:p w14:paraId="3BA63BF7" w14:textId="37529F95" w:rsidR="0083226F" w:rsidRPr="00903F89" w:rsidRDefault="0083226F" w:rsidP="00903F89">
            <w:pPr>
              <w:jc w:val="both"/>
              <w:rPr>
                <w:rFonts w:cs="Arial"/>
                <w:sz w:val="20"/>
                <w:szCs w:val="20"/>
              </w:rPr>
            </w:pPr>
            <w:r w:rsidRPr="00903F89">
              <w:rPr>
                <w:rFonts w:cs="Arial"/>
                <w:sz w:val="20"/>
                <w:szCs w:val="20"/>
              </w:rPr>
              <w:t xml:space="preserve">Το έργο αυτό έχεις τύχει της έγκρισης του Υπουργείου Οικονομικών και οι διαβουλεύσεις με τις δύο τράπεζες </w:t>
            </w:r>
            <w:proofErr w:type="spellStart"/>
            <w:r w:rsidRPr="00903F89">
              <w:rPr>
                <w:rFonts w:cs="Arial"/>
                <w:sz w:val="20"/>
                <w:szCs w:val="20"/>
              </w:rPr>
              <w:t>ΕΤΕπ</w:t>
            </w:r>
            <w:proofErr w:type="spellEnd"/>
            <w:r w:rsidRPr="00903F89">
              <w:rPr>
                <w:rFonts w:cs="Arial"/>
                <w:sz w:val="20"/>
                <w:szCs w:val="20"/>
              </w:rPr>
              <w:t xml:space="preserve"> και ΤΑΣΕ συνεχίζονται με πολύ θετική προοπτική και σοβαρές ενδείξεις για την ένταξη του στα δάνεια και των δύο τραπεζών.</w:t>
            </w:r>
          </w:p>
        </w:tc>
      </w:tr>
      <w:tr w:rsidR="00903F89" w:rsidRPr="00903F89" w14:paraId="12218EC6" w14:textId="77777777" w:rsidTr="00B1212B">
        <w:trPr>
          <w:gridAfter w:val="1"/>
          <w:wAfter w:w="168" w:type="dxa"/>
        </w:trPr>
        <w:tc>
          <w:tcPr>
            <w:tcW w:w="10632" w:type="dxa"/>
            <w:gridSpan w:val="9"/>
            <w:shd w:val="clear" w:color="auto" w:fill="auto"/>
          </w:tcPr>
          <w:p w14:paraId="3F67F4A7" w14:textId="77777777" w:rsidR="0083226F" w:rsidRPr="00903F89" w:rsidRDefault="0083226F" w:rsidP="00903F89">
            <w:pPr>
              <w:jc w:val="both"/>
              <w:rPr>
                <w:rFonts w:cs="Arial"/>
                <w:sz w:val="20"/>
                <w:szCs w:val="20"/>
                <w:u w:val="single"/>
              </w:rPr>
            </w:pPr>
          </w:p>
        </w:tc>
      </w:tr>
      <w:tr w:rsidR="00903F89" w:rsidRPr="00903F89" w14:paraId="34C810B5" w14:textId="77777777" w:rsidTr="00B1212B">
        <w:trPr>
          <w:gridAfter w:val="1"/>
          <w:wAfter w:w="168" w:type="dxa"/>
        </w:trPr>
        <w:tc>
          <w:tcPr>
            <w:tcW w:w="10632" w:type="dxa"/>
            <w:gridSpan w:val="9"/>
            <w:shd w:val="clear" w:color="auto" w:fill="auto"/>
          </w:tcPr>
          <w:p w14:paraId="3ADFBFA6" w14:textId="2A655D74" w:rsidR="00FF6102" w:rsidRPr="00903F89" w:rsidRDefault="00FF6102" w:rsidP="00903F89">
            <w:pPr>
              <w:jc w:val="both"/>
              <w:rPr>
                <w:rFonts w:eastAsia="Arial" w:cs="Arial"/>
                <w:b/>
                <w:bCs/>
                <w:sz w:val="20"/>
                <w:szCs w:val="20"/>
                <w:u w:val="single"/>
              </w:rPr>
            </w:pPr>
            <w:r w:rsidRPr="00903F89">
              <w:rPr>
                <w:rFonts w:cs="Arial"/>
                <w:b/>
                <w:bCs/>
                <w:sz w:val="20"/>
                <w:szCs w:val="20"/>
                <w:u w:val="single"/>
              </w:rPr>
              <w:t>Άρθρο 422 – Κατασκευαστικές και Βελτιωτικές Εργασίες – €20.318.300</w:t>
            </w:r>
          </w:p>
        </w:tc>
      </w:tr>
      <w:tr w:rsidR="00903F89" w:rsidRPr="00903F89" w14:paraId="72D1E5F3" w14:textId="77777777" w:rsidTr="00B1212B">
        <w:trPr>
          <w:gridAfter w:val="1"/>
          <w:wAfter w:w="168" w:type="dxa"/>
        </w:trPr>
        <w:tc>
          <w:tcPr>
            <w:tcW w:w="10632" w:type="dxa"/>
            <w:gridSpan w:val="9"/>
            <w:shd w:val="clear" w:color="auto" w:fill="auto"/>
          </w:tcPr>
          <w:p w14:paraId="6B248367" w14:textId="77777777" w:rsidR="00FF6102" w:rsidRPr="00903F89" w:rsidRDefault="00FF6102" w:rsidP="00903F89">
            <w:pPr>
              <w:jc w:val="both"/>
              <w:rPr>
                <w:rFonts w:cs="Arial"/>
                <w:b/>
                <w:sz w:val="20"/>
                <w:szCs w:val="20"/>
                <w:u w:val="single"/>
              </w:rPr>
            </w:pPr>
          </w:p>
        </w:tc>
      </w:tr>
      <w:tr w:rsidR="00903F89" w:rsidRPr="00903F89" w14:paraId="5485A6A8" w14:textId="77777777" w:rsidTr="00B1212B">
        <w:trPr>
          <w:gridAfter w:val="1"/>
          <w:wAfter w:w="168" w:type="dxa"/>
        </w:trPr>
        <w:tc>
          <w:tcPr>
            <w:tcW w:w="10632" w:type="dxa"/>
            <w:gridSpan w:val="9"/>
            <w:shd w:val="clear" w:color="auto" w:fill="auto"/>
          </w:tcPr>
          <w:p w14:paraId="4F06D77D" w14:textId="640DBE40" w:rsidR="00FF6102" w:rsidRPr="00903F89" w:rsidRDefault="00FF6102" w:rsidP="00903F89">
            <w:pPr>
              <w:jc w:val="both"/>
              <w:rPr>
                <w:rFonts w:eastAsia="Arial" w:cs="Arial"/>
                <w:b/>
                <w:bCs/>
                <w:sz w:val="20"/>
                <w:szCs w:val="20"/>
                <w:u w:val="single"/>
              </w:rPr>
            </w:pPr>
            <w:r w:rsidRPr="00903F89">
              <w:rPr>
                <w:rFonts w:cs="Arial"/>
                <w:sz w:val="20"/>
                <w:szCs w:val="20"/>
              </w:rPr>
              <w:t xml:space="preserve">Η πρόνοια αυτή προορίζεται να καλύψει όλες τις πληρωμές που αφορούν στα οικοδομικά και τεχνικά συμβόλαια και τις κατασκευαστικές εργασίες που προκύπτουν από την ανέγερση νέων κτηριακών εγκαταστάσεων, καθώς και στις τροποποιήσεις, βελτιώσεις ή προσθήκες σε υφιστάμενες κτηριακές εγκαταστάσεις για ικανοποίηση προγραμματιζόμενων ή νέων λειτουργικών αναγκών ή και την καλύτερη αξιοποίηση υφιστάμενων εγκαταστάσεων.  </w:t>
            </w:r>
          </w:p>
        </w:tc>
      </w:tr>
      <w:tr w:rsidR="00903F89" w:rsidRPr="00903F89" w14:paraId="2ABDE60D" w14:textId="77777777" w:rsidTr="00B1212B">
        <w:trPr>
          <w:gridAfter w:val="1"/>
          <w:wAfter w:w="168" w:type="dxa"/>
        </w:trPr>
        <w:tc>
          <w:tcPr>
            <w:tcW w:w="10632" w:type="dxa"/>
            <w:gridSpan w:val="9"/>
          </w:tcPr>
          <w:p w14:paraId="77B9B767" w14:textId="77777777" w:rsidR="00FF6102" w:rsidRPr="00903F89" w:rsidRDefault="00FF6102" w:rsidP="00903F89">
            <w:pPr>
              <w:jc w:val="both"/>
              <w:rPr>
                <w:rFonts w:cs="Arial"/>
                <w:sz w:val="20"/>
                <w:szCs w:val="20"/>
              </w:rPr>
            </w:pPr>
          </w:p>
        </w:tc>
      </w:tr>
      <w:tr w:rsidR="00903F89" w:rsidRPr="00903F89" w14:paraId="45A22A37" w14:textId="77777777" w:rsidTr="00B1212B">
        <w:trPr>
          <w:gridAfter w:val="1"/>
          <w:wAfter w:w="168" w:type="dxa"/>
        </w:trPr>
        <w:tc>
          <w:tcPr>
            <w:tcW w:w="10632" w:type="dxa"/>
            <w:gridSpan w:val="9"/>
            <w:shd w:val="clear" w:color="auto" w:fill="auto"/>
          </w:tcPr>
          <w:p w14:paraId="1A36DBFD" w14:textId="38BB2B9F" w:rsidR="00FF6102" w:rsidRPr="00903F89" w:rsidRDefault="00FF6102" w:rsidP="00903F89">
            <w:pPr>
              <w:jc w:val="both"/>
              <w:rPr>
                <w:rFonts w:eastAsia="Arial" w:cs="Arial"/>
                <w:sz w:val="20"/>
                <w:szCs w:val="20"/>
              </w:rPr>
            </w:pPr>
            <w:r w:rsidRPr="00903F89">
              <w:rPr>
                <w:rFonts w:cs="Arial"/>
                <w:sz w:val="20"/>
                <w:szCs w:val="20"/>
              </w:rPr>
              <w:t>Η πρόνοια προορίζεται να καλύψει δαπάνες που αφορούν κυρίως έργα τα οποία θα χρηματοδοτηθούν από πρόσθετη Κυβερνητική Χορηγία από τα δάνεια με την Ευρωπαϊκή Τράπεζα Επενδύσεων και την Τράπεζα Αναπτύξεως του Συμβουλίου της Ευρώπης, καθώς και δαπάνες για άλλα έργα που θα καλυφθούν από άλλα έσοδα εκτός κρατικής χορηγίας του Πανεπιστημίου Κύπρου.</w:t>
            </w:r>
            <w:r w:rsidRPr="00903F89">
              <w:rPr>
                <w:rFonts w:eastAsia="Arial" w:cs="Arial"/>
                <w:sz w:val="20"/>
                <w:szCs w:val="20"/>
              </w:rPr>
              <w:t xml:space="preserve">  </w:t>
            </w:r>
            <w:r w:rsidRPr="00903F89">
              <w:rPr>
                <w:rFonts w:cs="Arial"/>
                <w:sz w:val="20"/>
                <w:szCs w:val="20"/>
              </w:rPr>
              <w:t>Ενδεικτικά καταγράφονται τα κυριότερα έργα των οποίων σχετικές δαπάνες αναμένεται να καλυφθούν το 2022</w:t>
            </w:r>
            <w:r w:rsidRPr="00903F89">
              <w:rPr>
                <w:rFonts w:eastAsia="Arial" w:cs="Arial"/>
                <w:sz w:val="20"/>
                <w:szCs w:val="20"/>
              </w:rPr>
              <w:t xml:space="preserve">: </w:t>
            </w:r>
          </w:p>
        </w:tc>
      </w:tr>
      <w:tr w:rsidR="00903F89" w:rsidRPr="00903F89" w14:paraId="6D2CC0A9" w14:textId="77777777" w:rsidTr="00B1212B">
        <w:trPr>
          <w:gridAfter w:val="1"/>
          <w:wAfter w:w="168" w:type="dxa"/>
        </w:trPr>
        <w:tc>
          <w:tcPr>
            <w:tcW w:w="10632" w:type="dxa"/>
            <w:gridSpan w:val="9"/>
            <w:shd w:val="clear" w:color="auto" w:fill="auto"/>
          </w:tcPr>
          <w:p w14:paraId="22352DDA" w14:textId="68E803A3" w:rsidR="00FF6102" w:rsidRPr="00903F89" w:rsidRDefault="00FF6102" w:rsidP="00903F89">
            <w:pPr>
              <w:jc w:val="both"/>
              <w:rPr>
                <w:rFonts w:cs="Arial"/>
                <w:sz w:val="20"/>
                <w:szCs w:val="20"/>
              </w:rPr>
            </w:pPr>
          </w:p>
        </w:tc>
      </w:tr>
      <w:tr w:rsidR="00903F89" w:rsidRPr="00903F89" w14:paraId="69F11675" w14:textId="77777777" w:rsidTr="00B1212B">
        <w:trPr>
          <w:gridAfter w:val="1"/>
          <w:wAfter w:w="168" w:type="dxa"/>
        </w:trPr>
        <w:tc>
          <w:tcPr>
            <w:tcW w:w="10632" w:type="dxa"/>
            <w:gridSpan w:val="9"/>
            <w:shd w:val="clear" w:color="auto" w:fill="auto"/>
          </w:tcPr>
          <w:p w14:paraId="57FEEDAE" w14:textId="63CE5B08" w:rsidR="00FF6102" w:rsidRPr="00903F89" w:rsidRDefault="00FF6102" w:rsidP="00903F89">
            <w:pPr>
              <w:jc w:val="both"/>
              <w:rPr>
                <w:rFonts w:eastAsia="Arial" w:cs="Arial"/>
                <w:sz w:val="20"/>
                <w:szCs w:val="20"/>
              </w:rPr>
            </w:pPr>
            <w:r w:rsidRPr="00903F89">
              <w:rPr>
                <w:rFonts w:cs="Arial"/>
                <w:sz w:val="20"/>
                <w:szCs w:val="20"/>
                <w:u w:val="single"/>
              </w:rPr>
              <w:t>Έργα Χρηματοδοτούμενα από Κυβερνητική Χορηγία από τα δάνεια με την Ευρωπαϊκή Τράπεζα Επενδύσεων και την Τράπεζα Αναπτύξεως του Συμβουλίου της Ευρώπης:</w:t>
            </w:r>
          </w:p>
        </w:tc>
      </w:tr>
      <w:tr w:rsidR="00903F89" w:rsidRPr="00903F89" w14:paraId="2D3D7250" w14:textId="77777777" w:rsidTr="00B1212B">
        <w:trPr>
          <w:gridAfter w:val="1"/>
          <w:wAfter w:w="168" w:type="dxa"/>
        </w:trPr>
        <w:tc>
          <w:tcPr>
            <w:tcW w:w="10632" w:type="dxa"/>
            <w:gridSpan w:val="9"/>
            <w:shd w:val="clear" w:color="auto" w:fill="auto"/>
          </w:tcPr>
          <w:p w14:paraId="3E005158" w14:textId="77777777" w:rsidR="00FF6102" w:rsidRPr="00903F89" w:rsidRDefault="00FF6102" w:rsidP="00903F89">
            <w:pPr>
              <w:jc w:val="both"/>
              <w:rPr>
                <w:rFonts w:cs="Arial"/>
                <w:sz w:val="20"/>
                <w:szCs w:val="20"/>
                <w:u w:val="single"/>
              </w:rPr>
            </w:pPr>
          </w:p>
        </w:tc>
      </w:tr>
      <w:tr w:rsidR="00903F89" w:rsidRPr="00903F89" w14:paraId="5CFE803C" w14:textId="77777777" w:rsidTr="00B1212B">
        <w:trPr>
          <w:gridAfter w:val="1"/>
          <w:wAfter w:w="168" w:type="dxa"/>
        </w:trPr>
        <w:tc>
          <w:tcPr>
            <w:tcW w:w="10632" w:type="dxa"/>
            <w:gridSpan w:val="9"/>
            <w:shd w:val="clear" w:color="auto" w:fill="auto"/>
          </w:tcPr>
          <w:tbl>
            <w:tblPr>
              <w:tblW w:w="10629" w:type="dxa"/>
              <w:tblLayout w:type="fixed"/>
              <w:tblLook w:val="04A0" w:firstRow="1" w:lastRow="0" w:firstColumn="1" w:lastColumn="0" w:noHBand="0" w:noVBand="1"/>
            </w:tblPr>
            <w:tblGrid>
              <w:gridCol w:w="565"/>
              <w:gridCol w:w="9828"/>
              <w:gridCol w:w="236"/>
            </w:tblGrid>
            <w:tr w:rsidR="00903F89" w:rsidRPr="00903F89" w14:paraId="56CE1E97" w14:textId="5C3DFF92" w:rsidTr="000C78A6">
              <w:trPr>
                <w:trHeight w:val="227"/>
              </w:trPr>
              <w:tc>
                <w:tcPr>
                  <w:tcW w:w="565" w:type="dxa"/>
                  <w:shd w:val="clear" w:color="auto" w:fill="auto"/>
                  <w:noWrap/>
                  <w:vAlign w:val="center"/>
                  <w:hideMark/>
                </w:tcPr>
                <w:p w14:paraId="0C45516F" w14:textId="660B8B25" w:rsidR="00FF6102" w:rsidRPr="00903F89" w:rsidRDefault="00FF6102" w:rsidP="000C78A6">
                  <w:pPr>
                    <w:pStyle w:val="ListParagraph"/>
                    <w:framePr w:hSpace="180" w:wrap="around" w:vAnchor="text" w:hAnchor="text" w:y="1"/>
                    <w:numPr>
                      <w:ilvl w:val="0"/>
                      <w:numId w:val="36"/>
                    </w:numPr>
                    <w:tabs>
                      <w:tab w:val="left" w:pos="92"/>
                    </w:tabs>
                    <w:ind w:right="13" w:hanging="644"/>
                    <w:suppressOverlap/>
                    <w:rPr>
                      <w:rFonts w:eastAsia="Arial" w:cs="Arial"/>
                      <w:sz w:val="20"/>
                      <w:szCs w:val="20"/>
                      <w:lang w:eastAsia="el-GR"/>
                    </w:rPr>
                  </w:pPr>
                </w:p>
              </w:tc>
              <w:tc>
                <w:tcPr>
                  <w:tcW w:w="9828" w:type="dxa"/>
                  <w:shd w:val="clear" w:color="auto" w:fill="auto"/>
                  <w:noWrap/>
                  <w:vAlign w:val="bottom"/>
                  <w:hideMark/>
                </w:tcPr>
                <w:p w14:paraId="5A51D4C8" w14:textId="20AEFE84" w:rsidR="00FF6102" w:rsidRPr="00903F89" w:rsidRDefault="00FF6102" w:rsidP="00903F89">
                  <w:pPr>
                    <w:framePr w:hSpace="180" w:wrap="around" w:vAnchor="text" w:hAnchor="text" w:y="1"/>
                    <w:suppressOverlap/>
                    <w:jc w:val="both"/>
                    <w:rPr>
                      <w:rFonts w:eastAsia="Arial" w:cs="Arial"/>
                      <w:sz w:val="20"/>
                      <w:szCs w:val="20"/>
                      <w:lang w:val="en-GB" w:eastAsia="el-GR"/>
                    </w:rPr>
                  </w:pPr>
                  <w:r w:rsidRPr="00903F89">
                    <w:rPr>
                      <w:rFonts w:cs="Arial"/>
                      <w:sz w:val="20"/>
                      <w:szCs w:val="20"/>
                    </w:rPr>
                    <w:t xml:space="preserve">Πολυτεχνική Σχολή </w:t>
                  </w:r>
                </w:p>
              </w:tc>
              <w:tc>
                <w:tcPr>
                  <w:tcW w:w="236" w:type="dxa"/>
                </w:tcPr>
                <w:p w14:paraId="5182612D" w14:textId="77777777" w:rsidR="00FF6102" w:rsidRPr="00903F89" w:rsidRDefault="00FF6102" w:rsidP="00903F89">
                  <w:pPr>
                    <w:framePr w:hSpace="180" w:wrap="around" w:vAnchor="text" w:hAnchor="text" w:y="1"/>
                    <w:suppressOverlap/>
                    <w:jc w:val="both"/>
                    <w:rPr>
                      <w:rFonts w:cs="Arial"/>
                      <w:sz w:val="20"/>
                      <w:szCs w:val="20"/>
                    </w:rPr>
                  </w:pPr>
                </w:p>
              </w:tc>
            </w:tr>
            <w:tr w:rsidR="00903F89" w:rsidRPr="00903F89" w14:paraId="0631E822" w14:textId="11D6CCB9" w:rsidTr="000C78A6">
              <w:trPr>
                <w:trHeight w:val="227"/>
              </w:trPr>
              <w:tc>
                <w:tcPr>
                  <w:tcW w:w="565" w:type="dxa"/>
                  <w:shd w:val="clear" w:color="auto" w:fill="auto"/>
                  <w:noWrap/>
                  <w:vAlign w:val="center"/>
                  <w:hideMark/>
                </w:tcPr>
                <w:p w14:paraId="17FA4883" w14:textId="62B8C2CA" w:rsidR="00FF6102" w:rsidRPr="00903F89" w:rsidRDefault="00FF6102" w:rsidP="00903F89">
                  <w:pPr>
                    <w:pStyle w:val="ListParagraph"/>
                    <w:framePr w:hSpace="180" w:wrap="around" w:vAnchor="text" w:hAnchor="text" w:y="1"/>
                    <w:numPr>
                      <w:ilvl w:val="0"/>
                      <w:numId w:val="36"/>
                    </w:numPr>
                    <w:ind w:right="13" w:hanging="644"/>
                    <w:suppressOverlap/>
                    <w:jc w:val="both"/>
                    <w:rPr>
                      <w:rFonts w:eastAsia="Arial" w:cs="Arial"/>
                      <w:sz w:val="20"/>
                      <w:szCs w:val="20"/>
                      <w:lang w:eastAsia="el-GR"/>
                    </w:rPr>
                  </w:pPr>
                </w:p>
              </w:tc>
              <w:tc>
                <w:tcPr>
                  <w:tcW w:w="9828" w:type="dxa"/>
                  <w:shd w:val="clear" w:color="auto" w:fill="auto"/>
                  <w:noWrap/>
                  <w:vAlign w:val="bottom"/>
                </w:tcPr>
                <w:p w14:paraId="77BC829B" w14:textId="7466D788" w:rsidR="00FF6102" w:rsidRPr="00903F89" w:rsidRDefault="00FF6102" w:rsidP="00903F89">
                  <w:pPr>
                    <w:framePr w:hSpace="180" w:wrap="around" w:vAnchor="text" w:hAnchor="text" w:y="1"/>
                    <w:suppressOverlap/>
                    <w:jc w:val="both"/>
                    <w:rPr>
                      <w:rFonts w:eastAsia="Arial" w:cs="Arial"/>
                      <w:sz w:val="20"/>
                      <w:szCs w:val="20"/>
                      <w:lang w:eastAsia="el-GR"/>
                    </w:rPr>
                  </w:pPr>
                  <w:r w:rsidRPr="00903F89">
                    <w:rPr>
                      <w:rFonts w:cs="Arial"/>
                      <w:sz w:val="20"/>
                      <w:szCs w:val="20"/>
                    </w:rPr>
                    <w:t xml:space="preserve">Ιατρική Σχολή στην Πανεπιστημιούπολη </w:t>
                  </w:r>
                </w:p>
              </w:tc>
              <w:tc>
                <w:tcPr>
                  <w:tcW w:w="236" w:type="dxa"/>
                </w:tcPr>
                <w:p w14:paraId="787892B8" w14:textId="77777777" w:rsidR="00FF6102" w:rsidRPr="00903F89" w:rsidRDefault="00FF6102" w:rsidP="00903F89">
                  <w:pPr>
                    <w:framePr w:hSpace="180" w:wrap="around" w:vAnchor="text" w:hAnchor="text" w:y="1"/>
                    <w:suppressOverlap/>
                    <w:jc w:val="both"/>
                    <w:rPr>
                      <w:rFonts w:cs="Arial"/>
                      <w:sz w:val="20"/>
                      <w:szCs w:val="20"/>
                    </w:rPr>
                  </w:pPr>
                </w:p>
              </w:tc>
            </w:tr>
            <w:tr w:rsidR="00903F89" w:rsidRPr="00903F89" w14:paraId="21997444" w14:textId="44A1A1EB" w:rsidTr="000C78A6">
              <w:trPr>
                <w:trHeight w:val="227"/>
              </w:trPr>
              <w:tc>
                <w:tcPr>
                  <w:tcW w:w="565" w:type="dxa"/>
                  <w:shd w:val="clear" w:color="auto" w:fill="auto"/>
                  <w:noWrap/>
                  <w:vAlign w:val="center"/>
                  <w:hideMark/>
                </w:tcPr>
                <w:p w14:paraId="4B06AB1C" w14:textId="651597B9" w:rsidR="00FF6102" w:rsidRPr="00903F89" w:rsidRDefault="00FF6102" w:rsidP="00903F89">
                  <w:pPr>
                    <w:pStyle w:val="ListParagraph"/>
                    <w:framePr w:hSpace="180" w:wrap="around" w:vAnchor="text" w:hAnchor="text" w:y="1"/>
                    <w:numPr>
                      <w:ilvl w:val="0"/>
                      <w:numId w:val="36"/>
                    </w:numPr>
                    <w:ind w:right="13" w:hanging="644"/>
                    <w:suppressOverlap/>
                    <w:jc w:val="both"/>
                    <w:rPr>
                      <w:rFonts w:eastAsia="Arial" w:cs="Arial"/>
                      <w:sz w:val="20"/>
                      <w:szCs w:val="20"/>
                      <w:lang w:eastAsia="el-GR"/>
                    </w:rPr>
                  </w:pPr>
                </w:p>
              </w:tc>
              <w:tc>
                <w:tcPr>
                  <w:tcW w:w="9828" w:type="dxa"/>
                  <w:shd w:val="clear" w:color="auto" w:fill="auto"/>
                  <w:noWrap/>
                  <w:vAlign w:val="bottom"/>
                </w:tcPr>
                <w:p w14:paraId="59DF3127" w14:textId="2867647C" w:rsidR="00FF6102" w:rsidRPr="00903F89" w:rsidRDefault="00FF6102" w:rsidP="00903F89">
                  <w:pPr>
                    <w:framePr w:hSpace="180" w:wrap="around" w:vAnchor="text" w:hAnchor="text" w:y="1"/>
                    <w:suppressOverlap/>
                    <w:jc w:val="both"/>
                    <w:rPr>
                      <w:rFonts w:eastAsia="Arial" w:cs="Arial"/>
                      <w:sz w:val="20"/>
                      <w:szCs w:val="20"/>
                      <w:lang w:eastAsia="el-GR"/>
                    </w:rPr>
                  </w:pPr>
                  <w:r w:rsidRPr="00903F89">
                    <w:rPr>
                      <w:rFonts w:cs="Arial"/>
                      <w:sz w:val="20"/>
                      <w:szCs w:val="20"/>
                    </w:rPr>
                    <w:t xml:space="preserve">Τμήμα Βιολογικών Επιστημών &amp; Χώροι Διδασκαλίας ΙΙΙ </w:t>
                  </w:r>
                </w:p>
              </w:tc>
              <w:tc>
                <w:tcPr>
                  <w:tcW w:w="236" w:type="dxa"/>
                </w:tcPr>
                <w:p w14:paraId="07CD7EA1" w14:textId="77777777" w:rsidR="00FF6102" w:rsidRPr="00903F89" w:rsidRDefault="00FF6102" w:rsidP="00903F89">
                  <w:pPr>
                    <w:framePr w:hSpace="180" w:wrap="around" w:vAnchor="text" w:hAnchor="text" w:y="1"/>
                    <w:suppressOverlap/>
                    <w:jc w:val="both"/>
                    <w:rPr>
                      <w:rFonts w:cs="Arial"/>
                      <w:sz w:val="20"/>
                      <w:szCs w:val="20"/>
                    </w:rPr>
                  </w:pPr>
                </w:p>
              </w:tc>
            </w:tr>
            <w:tr w:rsidR="00903F89" w:rsidRPr="00903F89" w14:paraId="28C71E5B" w14:textId="717F9A30" w:rsidTr="000C78A6">
              <w:trPr>
                <w:trHeight w:val="227"/>
              </w:trPr>
              <w:tc>
                <w:tcPr>
                  <w:tcW w:w="565" w:type="dxa"/>
                  <w:shd w:val="clear" w:color="auto" w:fill="auto"/>
                  <w:noWrap/>
                  <w:vAlign w:val="center"/>
                  <w:hideMark/>
                </w:tcPr>
                <w:p w14:paraId="1F0A0559" w14:textId="086A73F8" w:rsidR="00FF6102" w:rsidRPr="00903F89" w:rsidRDefault="00FF6102" w:rsidP="00903F89">
                  <w:pPr>
                    <w:pStyle w:val="ListParagraph"/>
                    <w:framePr w:hSpace="180" w:wrap="around" w:vAnchor="text" w:hAnchor="text" w:y="1"/>
                    <w:numPr>
                      <w:ilvl w:val="0"/>
                      <w:numId w:val="36"/>
                    </w:numPr>
                    <w:ind w:right="13" w:hanging="644"/>
                    <w:suppressOverlap/>
                    <w:jc w:val="both"/>
                    <w:rPr>
                      <w:rFonts w:eastAsia="Arial" w:cs="Arial"/>
                      <w:sz w:val="20"/>
                      <w:szCs w:val="20"/>
                      <w:lang w:eastAsia="el-GR"/>
                    </w:rPr>
                  </w:pPr>
                </w:p>
              </w:tc>
              <w:tc>
                <w:tcPr>
                  <w:tcW w:w="9828" w:type="dxa"/>
                  <w:shd w:val="clear" w:color="auto" w:fill="auto"/>
                  <w:noWrap/>
                  <w:vAlign w:val="bottom"/>
                </w:tcPr>
                <w:p w14:paraId="5E7BF4E2" w14:textId="2186A810" w:rsidR="00FF6102" w:rsidRPr="00903F89" w:rsidRDefault="00FF6102" w:rsidP="00903F89">
                  <w:pPr>
                    <w:framePr w:hSpace="180" w:wrap="around" w:vAnchor="text" w:hAnchor="text" w:y="1"/>
                    <w:suppressOverlap/>
                    <w:jc w:val="both"/>
                    <w:rPr>
                      <w:rFonts w:eastAsia="Arial" w:cs="Arial"/>
                      <w:sz w:val="20"/>
                      <w:szCs w:val="20"/>
                      <w:lang w:eastAsia="el-GR"/>
                    </w:rPr>
                  </w:pPr>
                  <w:r w:rsidRPr="00903F89">
                    <w:rPr>
                      <w:rFonts w:cs="Arial"/>
                      <w:sz w:val="20"/>
                      <w:szCs w:val="20"/>
                    </w:rPr>
                    <w:t xml:space="preserve">Φωτοβολταϊκό Πάρκο 5ΜW  </w:t>
                  </w:r>
                </w:p>
              </w:tc>
              <w:tc>
                <w:tcPr>
                  <w:tcW w:w="236" w:type="dxa"/>
                </w:tcPr>
                <w:p w14:paraId="474B0A04" w14:textId="77777777" w:rsidR="00FF6102" w:rsidRPr="00903F89" w:rsidRDefault="00FF6102" w:rsidP="00903F89">
                  <w:pPr>
                    <w:framePr w:hSpace="180" w:wrap="around" w:vAnchor="text" w:hAnchor="text" w:y="1"/>
                    <w:suppressOverlap/>
                    <w:jc w:val="both"/>
                    <w:rPr>
                      <w:rFonts w:cs="Arial"/>
                      <w:sz w:val="20"/>
                      <w:szCs w:val="20"/>
                    </w:rPr>
                  </w:pPr>
                </w:p>
              </w:tc>
            </w:tr>
            <w:tr w:rsidR="00903F89" w:rsidRPr="00903F89" w14:paraId="191CD215" w14:textId="24CC088E" w:rsidTr="000C78A6">
              <w:trPr>
                <w:trHeight w:val="227"/>
              </w:trPr>
              <w:tc>
                <w:tcPr>
                  <w:tcW w:w="565" w:type="dxa"/>
                  <w:shd w:val="clear" w:color="auto" w:fill="auto"/>
                  <w:noWrap/>
                  <w:vAlign w:val="center"/>
                  <w:hideMark/>
                </w:tcPr>
                <w:p w14:paraId="58B47CAA" w14:textId="76EFA9D0" w:rsidR="00FF6102" w:rsidRPr="00903F89" w:rsidRDefault="00FF6102" w:rsidP="00903F89">
                  <w:pPr>
                    <w:pStyle w:val="ListParagraph"/>
                    <w:framePr w:hSpace="180" w:wrap="around" w:vAnchor="text" w:hAnchor="text" w:y="1"/>
                    <w:numPr>
                      <w:ilvl w:val="0"/>
                      <w:numId w:val="36"/>
                    </w:numPr>
                    <w:ind w:right="13" w:hanging="644"/>
                    <w:suppressOverlap/>
                    <w:jc w:val="both"/>
                    <w:rPr>
                      <w:rFonts w:eastAsia="Arial" w:cs="Arial"/>
                      <w:sz w:val="20"/>
                      <w:szCs w:val="20"/>
                      <w:lang w:eastAsia="el-GR"/>
                    </w:rPr>
                  </w:pPr>
                </w:p>
              </w:tc>
              <w:tc>
                <w:tcPr>
                  <w:tcW w:w="9828" w:type="dxa"/>
                  <w:shd w:val="clear" w:color="auto" w:fill="auto"/>
                  <w:noWrap/>
                  <w:vAlign w:val="bottom"/>
                </w:tcPr>
                <w:p w14:paraId="1F1F7A46" w14:textId="5AEB36A8" w:rsidR="00FF6102" w:rsidRPr="00903F89" w:rsidRDefault="00FF6102" w:rsidP="00903F89">
                  <w:pPr>
                    <w:framePr w:hSpace="180" w:wrap="around" w:vAnchor="text" w:hAnchor="text" w:y="1"/>
                    <w:suppressOverlap/>
                    <w:jc w:val="both"/>
                    <w:rPr>
                      <w:rFonts w:eastAsia="Arial" w:cs="Arial"/>
                      <w:sz w:val="20"/>
                      <w:szCs w:val="20"/>
                      <w:lang w:eastAsia="el-GR"/>
                    </w:rPr>
                  </w:pPr>
                  <w:r w:rsidRPr="00903F89">
                    <w:rPr>
                      <w:rFonts w:cs="Arial"/>
                      <w:sz w:val="20"/>
                      <w:szCs w:val="20"/>
                    </w:rPr>
                    <w:t>Αντισεισμική Αναβάθμιση και Μεταστέγαση Αρχιτεκτονικής στα Κτήρια της Ακαδημίας</w:t>
                  </w:r>
                </w:p>
              </w:tc>
              <w:tc>
                <w:tcPr>
                  <w:tcW w:w="236" w:type="dxa"/>
                </w:tcPr>
                <w:p w14:paraId="427105E7" w14:textId="77777777" w:rsidR="00FF6102" w:rsidRPr="00903F89" w:rsidRDefault="00FF6102" w:rsidP="00903F89">
                  <w:pPr>
                    <w:framePr w:hSpace="180" w:wrap="around" w:vAnchor="text" w:hAnchor="text" w:y="1"/>
                    <w:suppressOverlap/>
                    <w:jc w:val="both"/>
                    <w:rPr>
                      <w:rFonts w:cs="Arial"/>
                      <w:sz w:val="20"/>
                      <w:szCs w:val="20"/>
                    </w:rPr>
                  </w:pPr>
                </w:p>
              </w:tc>
            </w:tr>
            <w:tr w:rsidR="00903F89" w:rsidRPr="00903F89" w14:paraId="388584BA" w14:textId="04FC525A" w:rsidTr="000C78A6">
              <w:trPr>
                <w:trHeight w:val="227"/>
              </w:trPr>
              <w:tc>
                <w:tcPr>
                  <w:tcW w:w="565" w:type="dxa"/>
                  <w:shd w:val="clear" w:color="auto" w:fill="auto"/>
                  <w:noWrap/>
                  <w:vAlign w:val="center"/>
                </w:tcPr>
                <w:p w14:paraId="6E713971" w14:textId="2F4A935D" w:rsidR="00FF6102" w:rsidRPr="00903F89" w:rsidRDefault="00FF6102" w:rsidP="00903F89">
                  <w:pPr>
                    <w:pStyle w:val="ListParagraph"/>
                    <w:framePr w:hSpace="180" w:wrap="around" w:vAnchor="text" w:hAnchor="text" w:y="1"/>
                    <w:numPr>
                      <w:ilvl w:val="0"/>
                      <w:numId w:val="36"/>
                    </w:numPr>
                    <w:ind w:right="13" w:hanging="644"/>
                    <w:suppressOverlap/>
                    <w:jc w:val="both"/>
                    <w:rPr>
                      <w:rFonts w:cs="Arial"/>
                      <w:sz w:val="20"/>
                      <w:szCs w:val="20"/>
                      <w:lang w:eastAsia="el-GR"/>
                    </w:rPr>
                  </w:pPr>
                </w:p>
              </w:tc>
              <w:tc>
                <w:tcPr>
                  <w:tcW w:w="9828" w:type="dxa"/>
                  <w:shd w:val="clear" w:color="auto" w:fill="auto"/>
                  <w:noWrap/>
                  <w:vAlign w:val="bottom"/>
                </w:tcPr>
                <w:p w14:paraId="08B590ED" w14:textId="3A7DFDC7" w:rsidR="00FF6102" w:rsidRPr="00903F89" w:rsidRDefault="00FF6102" w:rsidP="00903F89">
                  <w:pPr>
                    <w:framePr w:hSpace="180" w:wrap="around" w:vAnchor="text" w:hAnchor="text" w:y="1"/>
                    <w:suppressOverlap/>
                    <w:jc w:val="both"/>
                    <w:rPr>
                      <w:rFonts w:cs="Arial"/>
                      <w:sz w:val="20"/>
                      <w:szCs w:val="20"/>
                      <w:lang w:val="en-GB"/>
                    </w:rPr>
                  </w:pPr>
                  <w:r w:rsidRPr="00903F89">
                    <w:rPr>
                      <w:rFonts w:cs="Arial"/>
                      <w:sz w:val="20"/>
                      <w:szCs w:val="20"/>
                    </w:rPr>
                    <w:t>Ενεργειακό Κέντρο Β</w:t>
                  </w:r>
                  <w:r w:rsidR="0083226F" w:rsidRPr="00903F89">
                    <w:rPr>
                      <w:rFonts w:cs="Arial"/>
                      <w:sz w:val="20"/>
                      <w:szCs w:val="20"/>
                      <w:lang w:val="en-GB"/>
                    </w:rPr>
                    <w:t>’</w:t>
                  </w:r>
                </w:p>
              </w:tc>
              <w:tc>
                <w:tcPr>
                  <w:tcW w:w="236" w:type="dxa"/>
                </w:tcPr>
                <w:p w14:paraId="5EEFFB98" w14:textId="77777777" w:rsidR="00FF6102" w:rsidRPr="00903F89" w:rsidRDefault="00FF6102" w:rsidP="00903F89">
                  <w:pPr>
                    <w:framePr w:hSpace="180" w:wrap="around" w:vAnchor="text" w:hAnchor="text" w:y="1"/>
                    <w:suppressOverlap/>
                    <w:jc w:val="both"/>
                    <w:rPr>
                      <w:rFonts w:cs="Arial"/>
                      <w:sz w:val="20"/>
                      <w:szCs w:val="20"/>
                    </w:rPr>
                  </w:pPr>
                </w:p>
              </w:tc>
            </w:tr>
          </w:tbl>
          <w:p w14:paraId="56C4F52C" w14:textId="77777777" w:rsidR="00FF6102" w:rsidRPr="00903F89" w:rsidRDefault="00FF6102" w:rsidP="00903F89">
            <w:pPr>
              <w:jc w:val="both"/>
              <w:rPr>
                <w:rFonts w:cs="Arial"/>
                <w:sz w:val="20"/>
                <w:szCs w:val="20"/>
              </w:rPr>
            </w:pPr>
          </w:p>
        </w:tc>
      </w:tr>
      <w:tr w:rsidR="00903F89" w:rsidRPr="00903F89" w14:paraId="6C2E4352" w14:textId="77777777" w:rsidTr="00B1212B">
        <w:trPr>
          <w:gridAfter w:val="1"/>
          <w:wAfter w:w="168" w:type="dxa"/>
        </w:trPr>
        <w:tc>
          <w:tcPr>
            <w:tcW w:w="10632" w:type="dxa"/>
            <w:gridSpan w:val="9"/>
            <w:shd w:val="clear" w:color="auto" w:fill="auto"/>
          </w:tcPr>
          <w:p w14:paraId="7ABAD299" w14:textId="77777777" w:rsidR="00FF6102" w:rsidRPr="00903F89" w:rsidRDefault="00FF6102" w:rsidP="00903F89">
            <w:pPr>
              <w:jc w:val="both"/>
              <w:rPr>
                <w:rFonts w:cs="Arial"/>
                <w:sz w:val="20"/>
                <w:szCs w:val="20"/>
              </w:rPr>
            </w:pPr>
          </w:p>
        </w:tc>
      </w:tr>
      <w:tr w:rsidR="00903F89" w:rsidRPr="00903F89" w14:paraId="320217CC" w14:textId="77777777" w:rsidTr="00B1212B">
        <w:trPr>
          <w:gridAfter w:val="1"/>
          <w:wAfter w:w="168" w:type="dxa"/>
          <w:trHeight w:val="4386"/>
        </w:trPr>
        <w:tc>
          <w:tcPr>
            <w:tcW w:w="10632" w:type="dxa"/>
            <w:gridSpan w:val="9"/>
            <w:shd w:val="clear" w:color="auto" w:fill="auto"/>
          </w:tcPr>
          <w:p w14:paraId="069D3C6C" w14:textId="17EC797B" w:rsidR="00FF6102" w:rsidRPr="00903F89" w:rsidRDefault="00FF6102" w:rsidP="00903F89">
            <w:pPr>
              <w:jc w:val="both"/>
              <w:rPr>
                <w:rFonts w:cs="Arial"/>
                <w:sz w:val="20"/>
                <w:szCs w:val="20"/>
                <w:u w:val="single"/>
              </w:rPr>
            </w:pPr>
            <w:r w:rsidRPr="00903F89">
              <w:rPr>
                <w:rFonts w:cs="Arial"/>
                <w:sz w:val="20"/>
                <w:szCs w:val="20"/>
                <w:u w:val="single"/>
              </w:rPr>
              <w:t>Έργα Χρηματοδοτούμενα ΕΚΤΟΣ Κυβερνητικής Χορηγίας από τα δάνεια με την Ευρωπαϊκή Τράπεζα Επενδύσεων και την Τράπεζα Αναπτύξεως του Συμβουλίου της Ευρώπης:</w:t>
            </w:r>
          </w:p>
          <w:p w14:paraId="65FD1C8D" w14:textId="77777777" w:rsidR="00FF6102" w:rsidRPr="00903F89" w:rsidRDefault="00FF6102" w:rsidP="00903F89">
            <w:pPr>
              <w:jc w:val="both"/>
              <w:rPr>
                <w:rFonts w:cs="Arial"/>
                <w:sz w:val="20"/>
                <w:szCs w:val="20"/>
                <w:u w:val="single"/>
              </w:rPr>
            </w:pPr>
          </w:p>
          <w:p w14:paraId="23E91C67" w14:textId="2CEE3E42"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 xml:space="preserve">Αναβάθμιση Ενεργειακού Κέντρου </w:t>
            </w:r>
          </w:p>
          <w:p w14:paraId="40F351D1"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Διαφοροποιήσεις/ επεκτάσεις σε κτηριακές εγκαταστάσεις (συμπεριλαμβανομένου του 3</w:t>
            </w:r>
            <w:r w:rsidRPr="00903F89">
              <w:rPr>
                <w:rFonts w:cs="Arial"/>
                <w:sz w:val="20"/>
                <w:szCs w:val="20"/>
                <w:vertAlign w:val="superscript"/>
              </w:rPr>
              <w:t>ου</w:t>
            </w:r>
            <w:r w:rsidRPr="00903F89">
              <w:rPr>
                <w:rFonts w:cs="Arial"/>
                <w:sz w:val="20"/>
                <w:szCs w:val="20"/>
              </w:rPr>
              <w:t xml:space="preserve"> ορόφου του Κτηρίου Συμβουλίου-Συγκλήτου «Α.Γ. Λεβέντης»)</w:t>
            </w:r>
          </w:p>
          <w:p w14:paraId="519693D2"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 xml:space="preserve">Αναβάθμιση </w:t>
            </w:r>
            <w:proofErr w:type="spellStart"/>
            <w:r w:rsidRPr="00903F89">
              <w:rPr>
                <w:rFonts w:cs="Arial"/>
                <w:sz w:val="20"/>
                <w:szCs w:val="20"/>
              </w:rPr>
              <w:t>Αγρέπαυλης</w:t>
            </w:r>
            <w:proofErr w:type="spellEnd"/>
            <w:r w:rsidRPr="00903F89">
              <w:rPr>
                <w:rFonts w:cs="Arial"/>
                <w:sz w:val="20"/>
                <w:szCs w:val="20"/>
              </w:rPr>
              <w:t xml:space="preserve"> </w:t>
            </w:r>
            <w:proofErr w:type="spellStart"/>
            <w:r w:rsidRPr="00903F89">
              <w:rPr>
                <w:rFonts w:cs="Arial"/>
                <w:sz w:val="20"/>
                <w:szCs w:val="20"/>
              </w:rPr>
              <w:t>Ποταμία</w:t>
            </w:r>
            <w:proofErr w:type="spellEnd"/>
          </w:p>
          <w:p w14:paraId="39D827EE" w14:textId="77777777" w:rsidR="007304E1"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Αναβάθμιση Συστημάτων Θέρμανσης, Οπτικοακουστικού Εξοπλισμού, Αδιάλειπτης Παροχής Ρεύματος</w:t>
            </w:r>
          </w:p>
          <w:p w14:paraId="49317E8B" w14:textId="50C9736E" w:rsidR="007304E1" w:rsidRPr="00903F89" w:rsidRDefault="007304E1" w:rsidP="000C78A6">
            <w:pPr>
              <w:pStyle w:val="ListParagraph"/>
              <w:numPr>
                <w:ilvl w:val="0"/>
                <w:numId w:val="41"/>
              </w:numPr>
              <w:ind w:left="605" w:hanging="605"/>
              <w:jc w:val="both"/>
              <w:rPr>
                <w:rFonts w:cs="Arial"/>
                <w:sz w:val="20"/>
                <w:szCs w:val="20"/>
              </w:rPr>
            </w:pPr>
            <w:r w:rsidRPr="00903F89">
              <w:rPr>
                <w:rFonts w:cs="Arial"/>
                <w:sz w:val="20"/>
                <w:szCs w:val="20"/>
              </w:rPr>
              <w:t xml:space="preserve">Αναβάθμιση Φωτισμού, έξυπνος ηλεκτροφωτισμός </w:t>
            </w:r>
          </w:p>
          <w:p w14:paraId="73EFE5FA"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Έργο/α Τέχνης Κτηρίου Κέντρου Πληροφόρησης - Βιβλιοθήκη</w:t>
            </w:r>
          </w:p>
          <w:p w14:paraId="5556AA0B"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Κατασκευή Πρόσθετων Στεγάστρων σε Χώρους Στάθμευσης</w:t>
            </w:r>
          </w:p>
          <w:p w14:paraId="78C65C82"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Διαχείριση Υδάτινων Πόρων</w:t>
            </w:r>
          </w:p>
          <w:p w14:paraId="6CD7D25F"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Κατασκευή Πρόσθετης Δεξαμενής Νερού Πυρόσβεσης</w:t>
            </w:r>
          </w:p>
          <w:p w14:paraId="2EAE7D20"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Έργα που αφορούν υποδομές για ΑΜΕΑ</w:t>
            </w:r>
          </w:p>
          <w:p w14:paraId="7702FCC7"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Περίφραξη Πανεπιστημιούπολης</w:t>
            </w:r>
          </w:p>
          <w:p w14:paraId="48A85B6C"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Εξωτερική Σήμανση Ακαδημίας</w:t>
            </w:r>
          </w:p>
          <w:p w14:paraId="7DC82542"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 xml:space="preserve">Εφαρμογή Συστήματος Ανακύκλωσης </w:t>
            </w:r>
          </w:p>
          <w:p w14:paraId="024A4BD1" w14:textId="77777777" w:rsidR="00FF6102" w:rsidRPr="00903F89" w:rsidRDefault="00FF6102" w:rsidP="000C78A6">
            <w:pPr>
              <w:pStyle w:val="ListParagraph"/>
              <w:numPr>
                <w:ilvl w:val="0"/>
                <w:numId w:val="41"/>
              </w:numPr>
              <w:ind w:left="605" w:hanging="605"/>
              <w:jc w:val="both"/>
              <w:rPr>
                <w:rFonts w:cs="Arial"/>
                <w:sz w:val="20"/>
                <w:szCs w:val="20"/>
              </w:rPr>
            </w:pPr>
            <w:r w:rsidRPr="00903F89">
              <w:rPr>
                <w:rFonts w:cs="Arial"/>
                <w:sz w:val="20"/>
                <w:szCs w:val="20"/>
              </w:rPr>
              <w:t>Κατασκευές για ενίσχυση θεμάτων Ασφάλειας</w:t>
            </w:r>
          </w:p>
          <w:p w14:paraId="43CC1434" w14:textId="77777777" w:rsidR="00FF6102" w:rsidRPr="00903F89" w:rsidRDefault="00FF6102" w:rsidP="000C78A6">
            <w:pPr>
              <w:pStyle w:val="ListParagraph"/>
              <w:numPr>
                <w:ilvl w:val="0"/>
                <w:numId w:val="41"/>
              </w:numPr>
              <w:ind w:left="605" w:hanging="605"/>
              <w:jc w:val="both"/>
              <w:rPr>
                <w:rFonts w:cs="Arial"/>
                <w:sz w:val="20"/>
                <w:szCs w:val="20"/>
                <w:lang w:eastAsia="en-US"/>
              </w:rPr>
            </w:pPr>
            <w:r w:rsidRPr="00903F89">
              <w:rPr>
                <w:rFonts w:cs="Arial"/>
                <w:sz w:val="20"/>
                <w:szCs w:val="20"/>
              </w:rPr>
              <w:t>Κάλυψη ανοικτών δεξαμενών Βιολογικού Σταθμού</w:t>
            </w:r>
          </w:p>
          <w:p w14:paraId="6E2F9207" w14:textId="7283725B" w:rsidR="00FF6102" w:rsidRPr="00903F89" w:rsidRDefault="00FF6102" w:rsidP="000C78A6">
            <w:pPr>
              <w:pStyle w:val="ListParagraph"/>
              <w:numPr>
                <w:ilvl w:val="0"/>
                <w:numId w:val="41"/>
              </w:numPr>
              <w:ind w:left="605" w:hanging="605"/>
              <w:jc w:val="both"/>
              <w:rPr>
                <w:rFonts w:cs="Arial"/>
                <w:sz w:val="20"/>
                <w:szCs w:val="20"/>
                <w:lang w:eastAsia="en-US"/>
              </w:rPr>
            </w:pPr>
            <w:r w:rsidRPr="00903F89">
              <w:rPr>
                <w:rFonts w:cs="Arial"/>
                <w:sz w:val="20"/>
                <w:szCs w:val="20"/>
              </w:rPr>
              <w:t>Διάφορα</w:t>
            </w:r>
          </w:p>
        </w:tc>
      </w:tr>
      <w:tr w:rsidR="00903F89" w:rsidRPr="00903F89" w14:paraId="51D0ECDD" w14:textId="77777777" w:rsidTr="00B1212B">
        <w:trPr>
          <w:gridAfter w:val="1"/>
          <w:wAfter w:w="168" w:type="dxa"/>
          <w:trHeight w:val="80"/>
        </w:trPr>
        <w:tc>
          <w:tcPr>
            <w:tcW w:w="10632" w:type="dxa"/>
            <w:gridSpan w:val="9"/>
            <w:shd w:val="clear" w:color="auto" w:fill="auto"/>
          </w:tcPr>
          <w:p w14:paraId="4BC7FA0F" w14:textId="77777777" w:rsidR="0083226F" w:rsidRPr="00903F89" w:rsidRDefault="0083226F" w:rsidP="00903F89">
            <w:pPr>
              <w:jc w:val="both"/>
              <w:rPr>
                <w:rFonts w:cs="Arial"/>
                <w:sz w:val="20"/>
                <w:szCs w:val="20"/>
                <w:u w:val="single"/>
              </w:rPr>
            </w:pPr>
          </w:p>
        </w:tc>
      </w:tr>
      <w:tr w:rsidR="00903F89" w:rsidRPr="00903F89" w14:paraId="61EC0AB4" w14:textId="77777777" w:rsidTr="00B1212B">
        <w:trPr>
          <w:gridAfter w:val="1"/>
          <w:wAfter w:w="168" w:type="dxa"/>
          <w:trHeight w:val="1005"/>
        </w:trPr>
        <w:tc>
          <w:tcPr>
            <w:tcW w:w="10632" w:type="dxa"/>
            <w:gridSpan w:val="9"/>
            <w:shd w:val="clear" w:color="auto" w:fill="auto"/>
          </w:tcPr>
          <w:p w14:paraId="32A7C2E7" w14:textId="69BBDCDB" w:rsidR="0083226F" w:rsidRPr="00903F89" w:rsidRDefault="0083226F" w:rsidP="00903F89">
            <w:pPr>
              <w:jc w:val="both"/>
              <w:rPr>
                <w:rFonts w:cs="Arial"/>
                <w:sz w:val="20"/>
                <w:szCs w:val="20"/>
              </w:rPr>
            </w:pPr>
            <w:r w:rsidRPr="00903F89">
              <w:rPr>
                <w:rFonts w:cs="Arial"/>
                <w:sz w:val="20"/>
                <w:szCs w:val="20"/>
              </w:rPr>
              <w:t>Διευκρινίζεται ότι</w:t>
            </w:r>
            <w:r w:rsidR="00CE3BDC" w:rsidRPr="00903F89">
              <w:rPr>
                <w:rFonts w:cs="Arial"/>
                <w:sz w:val="20"/>
                <w:szCs w:val="20"/>
              </w:rPr>
              <w:t>:</w:t>
            </w:r>
          </w:p>
          <w:p w14:paraId="722E3701" w14:textId="0E5BA6BE" w:rsidR="0083226F" w:rsidRPr="00903F89" w:rsidRDefault="0083226F" w:rsidP="00903F89">
            <w:pPr>
              <w:jc w:val="both"/>
              <w:rPr>
                <w:rFonts w:cs="Arial"/>
                <w:sz w:val="20"/>
                <w:szCs w:val="20"/>
              </w:rPr>
            </w:pPr>
            <w:r w:rsidRPr="00903F89">
              <w:rPr>
                <w:rFonts w:cs="Arial"/>
                <w:sz w:val="20"/>
                <w:szCs w:val="20"/>
              </w:rPr>
              <w:t>(α)</w:t>
            </w:r>
            <w:r w:rsidR="00CE3BDC" w:rsidRPr="00903F89">
              <w:rPr>
                <w:rFonts w:cs="Arial"/>
                <w:sz w:val="20"/>
                <w:szCs w:val="20"/>
              </w:rPr>
              <w:tab/>
            </w:r>
            <w:r w:rsidRPr="00903F89">
              <w:rPr>
                <w:rFonts w:cs="Arial"/>
                <w:sz w:val="20"/>
                <w:szCs w:val="20"/>
              </w:rPr>
              <w:t>το έργο «Έργα Υποδομής Φάση Β’» αποτελείται από 3 υπό-έργα τα οποία θα προωθηθούν με ενιαία</w:t>
            </w:r>
            <w:r w:rsidR="00CE3BDC" w:rsidRPr="00903F89">
              <w:rPr>
                <w:rFonts w:cs="Arial"/>
                <w:sz w:val="20"/>
                <w:szCs w:val="20"/>
              </w:rPr>
              <w:t xml:space="preserve"> </w:t>
            </w:r>
            <w:r w:rsidR="00CE3BDC" w:rsidRPr="00903F89">
              <w:rPr>
                <w:rFonts w:cs="Arial"/>
                <w:sz w:val="20"/>
                <w:szCs w:val="20"/>
              </w:rPr>
              <w:tab/>
            </w:r>
            <w:r w:rsidRPr="00903F89">
              <w:rPr>
                <w:rFonts w:cs="Arial"/>
                <w:sz w:val="20"/>
                <w:szCs w:val="20"/>
              </w:rPr>
              <w:t xml:space="preserve">Σύμβαση: </w:t>
            </w:r>
          </w:p>
          <w:p w14:paraId="2EC25CD3" w14:textId="6668A283" w:rsidR="0083226F" w:rsidRPr="00903F89" w:rsidRDefault="0083226F" w:rsidP="00903F89">
            <w:pPr>
              <w:ind w:left="720"/>
              <w:jc w:val="both"/>
              <w:rPr>
                <w:rFonts w:cs="Arial"/>
                <w:sz w:val="20"/>
                <w:szCs w:val="20"/>
              </w:rPr>
            </w:pPr>
            <w:r w:rsidRPr="00903F89">
              <w:rPr>
                <w:rFonts w:cs="Arial"/>
                <w:sz w:val="20"/>
                <w:szCs w:val="20"/>
              </w:rPr>
              <w:t>–</w:t>
            </w:r>
            <w:r w:rsidRPr="00903F89">
              <w:rPr>
                <w:rFonts w:cs="Arial"/>
                <w:sz w:val="20"/>
                <w:szCs w:val="20"/>
              </w:rPr>
              <w:tab/>
              <w:t>Οδικό δίκτυο/ Κεντρικά συστήματα</w:t>
            </w:r>
          </w:p>
          <w:p w14:paraId="716FC911" w14:textId="77777777" w:rsidR="0083226F" w:rsidRPr="00903F89" w:rsidRDefault="0083226F" w:rsidP="00903F89">
            <w:pPr>
              <w:ind w:left="720"/>
              <w:jc w:val="both"/>
              <w:rPr>
                <w:rFonts w:cs="Arial"/>
                <w:sz w:val="20"/>
                <w:szCs w:val="20"/>
                <w:u w:val="single"/>
              </w:rPr>
            </w:pPr>
            <w:r w:rsidRPr="00903F89">
              <w:rPr>
                <w:rFonts w:cs="Arial"/>
                <w:sz w:val="20"/>
                <w:szCs w:val="20"/>
              </w:rPr>
              <w:t>–</w:t>
            </w:r>
            <w:r w:rsidRPr="00903F89">
              <w:rPr>
                <w:rFonts w:cs="Arial"/>
                <w:sz w:val="20"/>
                <w:szCs w:val="20"/>
              </w:rPr>
              <w:tab/>
              <w:t>Ενεργειακό Κέντρο Β (βλ. σημείο 6</w:t>
            </w:r>
            <w:r w:rsidRPr="00903F89">
              <w:rPr>
                <w:rFonts w:cs="Arial"/>
                <w:sz w:val="20"/>
                <w:szCs w:val="20"/>
                <w:u w:val="single"/>
              </w:rPr>
              <w:t>)</w:t>
            </w:r>
          </w:p>
          <w:p w14:paraId="688176C7" w14:textId="14F31BEE" w:rsidR="0083226F" w:rsidRPr="00903F89" w:rsidRDefault="0083226F" w:rsidP="00903F89">
            <w:pPr>
              <w:pStyle w:val="ListParagraph"/>
              <w:numPr>
                <w:ilvl w:val="0"/>
                <w:numId w:val="39"/>
              </w:numPr>
              <w:ind w:left="1080"/>
              <w:jc w:val="both"/>
              <w:rPr>
                <w:rFonts w:cs="Arial"/>
                <w:sz w:val="20"/>
                <w:szCs w:val="20"/>
              </w:rPr>
            </w:pPr>
            <w:r w:rsidRPr="00903F89">
              <w:rPr>
                <w:rFonts w:cs="Arial"/>
                <w:sz w:val="20"/>
                <w:szCs w:val="20"/>
              </w:rPr>
              <w:tab/>
              <w:t>Πάρκο Πανεπιστημίου στην Πανεπιστημιούπολη</w:t>
            </w:r>
            <w:r w:rsidRPr="00903F89">
              <w:rPr>
                <w:rFonts w:cs="Arial"/>
                <w:sz w:val="20"/>
                <w:szCs w:val="20"/>
                <w:lang w:val="en-GB"/>
              </w:rPr>
              <w:t>.</w:t>
            </w:r>
          </w:p>
          <w:p w14:paraId="52D205DF" w14:textId="01AF31F0" w:rsidR="0083226F" w:rsidRPr="00903F89" w:rsidRDefault="0083226F" w:rsidP="00903F89">
            <w:pPr>
              <w:ind w:left="720"/>
              <w:jc w:val="both"/>
              <w:rPr>
                <w:rFonts w:cs="Arial"/>
                <w:sz w:val="20"/>
                <w:szCs w:val="20"/>
              </w:rPr>
            </w:pPr>
            <w:r w:rsidRPr="00903F89">
              <w:rPr>
                <w:rFonts w:cs="Arial"/>
                <w:sz w:val="20"/>
                <w:szCs w:val="20"/>
              </w:rPr>
              <w:t xml:space="preserve">Το έργο αυτό </w:t>
            </w:r>
            <w:r w:rsidR="0080248F">
              <w:rPr>
                <w:rFonts w:cs="Arial"/>
                <w:sz w:val="20"/>
                <w:szCs w:val="20"/>
              </w:rPr>
              <w:t>έχει τ</w:t>
            </w:r>
            <w:r w:rsidRPr="00903F89">
              <w:rPr>
                <w:rFonts w:cs="Arial"/>
                <w:sz w:val="20"/>
                <w:szCs w:val="20"/>
              </w:rPr>
              <w:t xml:space="preserve">ύχει </w:t>
            </w:r>
            <w:r w:rsidR="0080248F">
              <w:rPr>
                <w:rFonts w:cs="Arial"/>
                <w:sz w:val="20"/>
                <w:szCs w:val="20"/>
              </w:rPr>
              <w:t>της</w:t>
            </w:r>
            <w:r w:rsidRPr="00903F89">
              <w:rPr>
                <w:rFonts w:cs="Arial"/>
                <w:sz w:val="20"/>
                <w:szCs w:val="20"/>
              </w:rPr>
              <w:t xml:space="preserve"> έγκρισης του Υπουργείου Οικονομικών και οι διαβουλεύσεις με </w:t>
            </w:r>
            <w:r w:rsidR="00CE3BDC" w:rsidRPr="00903F89">
              <w:rPr>
                <w:rFonts w:cs="Arial"/>
                <w:sz w:val="20"/>
                <w:szCs w:val="20"/>
              </w:rPr>
              <w:t>τις</w:t>
            </w:r>
            <w:r w:rsidRPr="00903F89">
              <w:rPr>
                <w:rFonts w:cs="Arial"/>
                <w:sz w:val="20"/>
                <w:szCs w:val="20"/>
              </w:rPr>
              <w:t xml:space="preserve"> δύο τράπεζες </w:t>
            </w:r>
            <w:proofErr w:type="spellStart"/>
            <w:r w:rsidRPr="00903F89">
              <w:rPr>
                <w:rFonts w:cs="Arial"/>
                <w:sz w:val="20"/>
                <w:szCs w:val="20"/>
              </w:rPr>
              <w:t>ΕΤΕπ</w:t>
            </w:r>
            <w:proofErr w:type="spellEnd"/>
            <w:r w:rsidRPr="00903F89">
              <w:rPr>
                <w:rFonts w:cs="Arial"/>
                <w:sz w:val="20"/>
                <w:szCs w:val="20"/>
              </w:rPr>
              <w:t xml:space="preserve"> και ΤΑΣΕ συνεχίζονται με πολύ θετική προοπτική και σοβαρές ενδείξεις για την ένταξη του στα δάνεια και των δύο τραπεζών</w:t>
            </w:r>
            <w:r w:rsidR="00CE3BDC" w:rsidRPr="00903F89">
              <w:rPr>
                <w:rFonts w:cs="Arial"/>
                <w:sz w:val="20"/>
                <w:szCs w:val="20"/>
              </w:rPr>
              <w:t>.</w:t>
            </w:r>
          </w:p>
          <w:p w14:paraId="6CA3C5E6" w14:textId="70234B66" w:rsidR="00CE3BDC" w:rsidRPr="00903F89" w:rsidRDefault="00CE3BDC" w:rsidP="00903F89">
            <w:pPr>
              <w:pStyle w:val="ListParagraph"/>
              <w:ind w:left="746" w:hanging="746"/>
              <w:jc w:val="both"/>
              <w:rPr>
                <w:rFonts w:cs="Arial"/>
                <w:sz w:val="20"/>
                <w:szCs w:val="20"/>
              </w:rPr>
            </w:pPr>
            <w:r w:rsidRPr="00903F89">
              <w:rPr>
                <w:rFonts w:cs="Arial"/>
                <w:sz w:val="20"/>
                <w:szCs w:val="20"/>
              </w:rPr>
              <w:t xml:space="preserve">(β) </w:t>
            </w:r>
            <w:r w:rsidRPr="00903F89">
              <w:rPr>
                <w:rFonts w:cs="Arial"/>
                <w:sz w:val="20"/>
                <w:szCs w:val="20"/>
              </w:rPr>
              <w:tab/>
              <w:t>το έργο Διαφοροποιήσεις/ επεκτάσεις στον 3</w:t>
            </w:r>
            <w:r w:rsidRPr="0080248F">
              <w:rPr>
                <w:rFonts w:cs="Arial"/>
                <w:sz w:val="20"/>
                <w:szCs w:val="20"/>
                <w:vertAlign w:val="superscript"/>
              </w:rPr>
              <w:t>ο</w:t>
            </w:r>
            <w:r w:rsidR="0080248F">
              <w:rPr>
                <w:rFonts w:cs="Arial"/>
                <w:sz w:val="20"/>
                <w:szCs w:val="20"/>
              </w:rPr>
              <w:t xml:space="preserve"> </w:t>
            </w:r>
            <w:r w:rsidRPr="00903F89">
              <w:rPr>
                <w:rFonts w:cs="Arial"/>
                <w:sz w:val="20"/>
                <w:szCs w:val="20"/>
              </w:rPr>
              <w:t>όροφο του Κτηρίου Συμβουλίου-Συγκλήτου «Α.Γ. Λεβέντης» (βλ. σημείο (</w:t>
            </w:r>
            <w:proofErr w:type="spellStart"/>
            <w:r w:rsidRPr="00903F89">
              <w:rPr>
                <w:rFonts w:cs="Arial"/>
                <w:sz w:val="20"/>
                <w:szCs w:val="20"/>
              </w:rPr>
              <w:t>ii</w:t>
            </w:r>
            <w:proofErr w:type="spellEnd"/>
            <w:r w:rsidRPr="00903F89">
              <w:rPr>
                <w:rFonts w:cs="Arial"/>
                <w:sz w:val="20"/>
                <w:szCs w:val="20"/>
              </w:rPr>
              <w:t xml:space="preserve">)), περιλαμβάνεται στη πρόταση για επέκταση Δανείου </w:t>
            </w:r>
            <w:proofErr w:type="spellStart"/>
            <w:r w:rsidRPr="00903F89">
              <w:rPr>
                <w:rFonts w:cs="Arial"/>
                <w:sz w:val="20"/>
                <w:szCs w:val="20"/>
              </w:rPr>
              <w:t>ΕΤΕπ</w:t>
            </w:r>
            <w:proofErr w:type="spellEnd"/>
            <w:r w:rsidRPr="00903F89">
              <w:rPr>
                <w:rFonts w:cs="Arial"/>
                <w:sz w:val="20"/>
                <w:szCs w:val="20"/>
              </w:rPr>
              <w:t xml:space="preserve"> με πολύ θετικές ενδείξεις για την ένταξη του στο Δάνειο </w:t>
            </w:r>
            <w:proofErr w:type="spellStart"/>
            <w:r w:rsidRPr="00903F89">
              <w:rPr>
                <w:rFonts w:cs="Arial"/>
                <w:sz w:val="20"/>
                <w:szCs w:val="20"/>
              </w:rPr>
              <w:t>ΕΤΕπ</w:t>
            </w:r>
            <w:proofErr w:type="spellEnd"/>
            <w:r w:rsidRPr="00903F89">
              <w:rPr>
                <w:rFonts w:cs="Arial"/>
                <w:sz w:val="20"/>
                <w:szCs w:val="20"/>
              </w:rPr>
              <w:t xml:space="preserve">. </w:t>
            </w:r>
          </w:p>
        </w:tc>
      </w:tr>
      <w:tr w:rsidR="00380448" w:rsidRPr="00903F89" w14:paraId="1C6BE97F" w14:textId="77777777" w:rsidTr="00B1212B">
        <w:trPr>
          <w:gridAfter w:val="1"/>
          <w:wAfter w:w="168" w:type="dxa"/>
          <w:trHeight w:val="66"/>
        </w:trPr>
        <w:tc>
          <w:tcPr>
            <w:tcW w:w="10632" w:type="dxa"/>
            <w:gridSpan w:val="9"/>
            <w:shd w:val="clear" w:color="auto" w:fill="auto"/>
          </w:tcPr>
          <w:p w14:paraId="52798EE6" w14:textId="77777777" w:rsidR="00380448" w:rsidRPr="00903F89" w:rsidRDefault="00380448" w:rsidP="00903F89">
            <w:pPr>
              <w:jc w:val="both"/>
              <w:rPr>
                <w:rFonts w:cs="Arial"/>
                <w:sz w:val="20"/>
                <w:szCs w:val="20"/>
              </w:rPr>
            </w:pPr>
          </w:p>
        </w:tc>
      </w:tr>
      <w:tr w:rsidR="00903F89" w:rsidRPr="00903F89" w14:paraId="13CAF577" w14:textId="77777777" w:rsidTr="00B1212B">
        <w:trPr>
          <w:gridAfter w:val="1"/>
          <w:wAfter w:w="168" w:type="dxa"/>
        </w:trPr>
        <w:tc>
          <w:tcPr>
            <w:tcW w:w="10632" w:type="dxa"/>
            <w:gridSpan w:val="9"/>
          </w:tcPr>
          <w:p w14:paraId="0D8A7584" w14:textId="2D22A1AA" w:rsidR="006F4AF5" w:rsidRPr="00903F89" w:rsidRDefault="00D054C1" w:rsidP="00903F89">
            <w:pPr>
              <w:jc w:val="both"/>
              <w:rPr>
                <w:rFonts w:eastAsia="Arial" w:cs="Arial"/>
                <w:b/>
                <w:bCs/>
                <w:sz w:val="20"/>
                <w:szCs w:val="20"/>
                <w:u w:val="double"/>
              </w:rPr>
            </w:pPr>
            <w:r w:rsidRPr="00903F89">
              <w:rPr>
                <w:rFonts w:cs="Arial"/>
                <w:b/>
                <w:bCs/>
                <w:sz w:val="20"/>
                <w:szCs w:val="20"/>
                <w:u w:val="double"/>
              </w:rPr>
              <w:t>ΟΜΑΔΑ</w:t>
            </w:r>
            <w:r w:rsidR="045AFEAA" w:rsidRPr="00903F89">
              <w:rPr>
                <w:rFonts w:cs="Arial"/>
                <w:b/>
                <w:bCs/>
                <w:sz w:val="20"/>
                <w:szCs w:val="20"/>
                <w:u w:val="double"/>
              </w:rPr>
              <w:t xml:space="preserve"> 500 – </w:t>
            </w:r>
            <w:r w:rsidR="000C78A6" w:rsidRPr="000C78A6">
              <w:rPr>
                <w:rFonts w:cs="Arial"/>
                <w:b/>
                <w:bCs/>
                <w:sz w:val="20"/>
                <w:szCs w:val="20"/>
                <w:u w:val="double"/>
              </w:rPr>
              <w:t>ΕΞΩΤΕΡΙΚΑ ΕΡΕΥΝΗΤΙΚΑ ΠΡΟΓΡΑΜΜΑΤΑ</w:t>
            </w:r>
          </w:p>
        </w:tc>
      </w:tr>
      <w:tr w:rsidR="00903F89" w:rsidRPr="00903F89" w14:paraId="20EE6930" w14:textId="77777777" w:rsidTr="00B1212B">
        <w:trPr>
          <w:gridAfter w:val="1"/>
          <w:wAfter w:w="168" w:type="dxa"/>
        </w:trPr>
        <w:tc>
          <w:tcPr>
            <w:tcW w:w="810" w:type="dxa"/>
          </w:tcPr>
          <w:p w14:paraId="6C3785A8" w14:textId="77777777" w:rsidR="00D04115" w:rsidRPr="00903F89" w:rsidRDefault="00D04115" w:rsidP="00903F89">
            <w:pPr>
              <w:jc w:val="both"/>
              <w:rPr>
                <w:rFonts w:cs="Arial"/>
                <w:b/>
                <w:bCs/>
                <w:sz w:val="20"/>
                <w:szCs w:val="20"/>
                <w:u w:val="single"/>
              </w:rPr>
            </w:pPr>
          </w:p>
        </w:tc>
        <w:tc>
          <w:tcPr>
            <w:tcW w:w="8910" w:type="dxa"/>
            <w:gridSpan w:val="7"/>
          </w:tcPr>
          <w:p w14:paraId="290F7D69" w14:textId="77777777" w:rsidR="00D04115" w:rsidRPr="00903F89" w:rsidRDefault="00D04115" w:rsidP="00903F89">
            <w:pPr>
              <w:jc w:val="both"/>
              <w:rPr>
                <w:rFonts w:cs="Arial"/>
                <w:b/>
                <w:bCs/>
                <w:sz w:val="20"/>
                <w:szCs w:val="20"/>
                <w:u w:val="single"/>
              </w:rPr>
            </w:pPr>
          </w:p>
        </w:tc>
        <w:tc>
          <w:tcPr>
            <w:tcW w:w="912" w:type="dxa"/>
          </w:tcPr>
          <w:p w14:paraId="524AF6E4" w14:textId="77777777" w:rsidR="00D04115" w:rsidRPr="00903F89" w:rsidRDefault="00D04115" w:rsidP="00903F89">
            <w:pPr>
              <w:jc w:val="both"/>
              <w:rPr>
                <w:rFonts w:cs="Arial"/>
                <w:b/>
                <w:bCs/>
                <w:sz w:val="20"/>
                <w:szCs w:val="20"/>
                <w:u w:val="single"/>
              </w:rPr>
            </w:pPr>
          </w:p>
        </w:tc>
      </w:tr>
      <w:tr w:rsidR="00903F89" w:rsidRPr="00903F89" w14:paraId="602EDA67" w14:textId="77777777" w:rsidTr="00B1212B">
        <w:trPr>
          <w:gridAfter w:val="1"/>
          <w:wAfter w:w="168" w:type="dxa"/>
        </w:trPr>
        <w:tc>
          <w:tcPr>
            <w:tcW w:w="10632" w:type="dxa"/>
            <w:gridSpan w:val="9"/>
            <w:shd w:val="clear" w:color="auto" w:fill="auto"/>
          </w:tcPr>
          <w:p w14:paraId="2DCB0295" w14:textId="03719271" w:rsidR="006F4AF5" w:rsidRPr="00903F89" w:rsidRDefault="000C78A6" w:rsidP="00903F89">
            <w:pPr>
              <w:jc w:val="both"/>
              <w:rPr>
                <w:rFonts w:eastAsia="Arial" w:cs="Arial"/>
                <w:b/>
                <w:bCs/>
                <w:sz w:val="20"/>
                <w:szCs w:val="20"/>
                <w:u w:val="single"/>
              </w:rPr>
            </w:pPr>
            <w:r>
              <w:rPr>
                <w:rFonts w:cs="Arial"/>
                <w:b/>
                <w:bCs/>
                <w:sz w:val="20"/>
                <w:szCs w:val="20"/>
                <w:u w:val="single"/>
              </w:rPr>
              <w:t>Υποομάδα</w:t>
            </w:r>
            <w:r w:rsidR="045AFEAA" w:rsidRPr="00903F89">
              <w:rPr>
                <w:rFonts w:cs="Arial"/>
                <w:b/>
                <w:bCs/>
                <w:sz w:val="20"/>
                <w:szCs w:val="20"/>
                <w:u w:val="single"/>
              </w:rPr>
              <w:t xml:space="preserve"> 501 – </w:t>
            </w:r>
            <w:r w:rsidRPr="000C78A6">
              <w:rPr>
                <w:rFonts w:cs="Arial"/>
                <w:b/>
                <w:bCs/>
                <w:sz w:val="20"/>
                <w:szCs w:val="20"/>
                <w:u w:val="single"/>
              </w:rPr>
              <w:t>Δαπάνες Χρηματοδοτούμενες από Εξωτερικές Πηγές/ Οργανισμούς</w:t>
            </w:r>
          </w:p>
        </w:tc>
      </w:tr>
      <w:tr w:rsidR="00903F89" w:rsidRPr="00903F89" w14:paraId="7E66952E" w14:textId="77777777" w:rsidTr="00B1212B">
        <w:trPr>
          <w:gridAfter w:val="1"/>
          <w:wAfter w:w="168" w:type="dxa"/>
        </w:trPr>
        <w:tc>
          <w:tcPr>
            <w:tcW w:w="10632" w:type="dxa"/>
            <w:gridSpan w:val="9"/>
            <w:shd w:val="clear" w:color="auto" w:fill="auto"/>
          </w:tcPr>
          <w:p w14:paraId="2AC5B968" w14:textId="77777777" w:rsidR="00DA1CC1" w:rsidRPr="00903F89" w:rsidRDefault="00DA1CC1" w:rsidP="00903F89">
            <w:pPr>
              <w:jc w:val="both"/>
              <w:rPr>
                <w:rFonts w:cs="Arial"/>
                <w:b/>
                <w:bCs/>
                <w:sz w:val="20"/>
                <w:szCs w:val="20"/>
                <w:u w:val="single"/>
              </w:rPr>
            </w:pPr>
          </w:p>
        </w:tc>
      </w:tr>
      <w:tr w:rsidR="000C78A6" w:rsidRPr="00903F89" w14:paraId="498AD861" w14:textId="77777777" w:rsidTr="00B1212B">
        <w:trPr>
          <w:gridAfter w:val="1"/>
          <w:wAfter w:w="168" w:type="dxa"/>
        </w:trPr>
        <w:tc>
          <w:tcPr>
            <w:tcW w:w="10632" w:type="dxa"/>
            <w:gridSpan w:val="9"/>
            <w:shd w:val="clear" w:color="auto" w:fill="auto"/>
          </w:tcPr>
          <w:p w14:paraId="1AAF1379" w14:textId="39BFEDEF" w:rsidR="000C78A6" w:rsidRPr="00086ADB" w:rsidRDefault="000C78A6" w:rsidP="00903F89">
            <w:pPr>
              <w:jc w:val="both"/>
              <w:rPr>
                <w:rFonts w:cs="Arial"/>
                <w:b/>
                <w:bCs/>
                <w:sz w:val="20"/>
                <w:szCs w:val="20"/>
                <w:u w:val="single"/>
              </w:rPr>
            </w:pPr>
            <w:r w:rsidRPr="00086ADB">
              <w:rPr>
                <w:rFonts w:cs="Arial"/>
                <w:b/>
                <w:bCs/>
                <w:sz w:val="20"/>
                <w:szCs w:val="20"/>
                <w:u w:val="single"/>
              </w:rPr>
              <w:t xml:space="preserve">Άρθρο 503 – </w:t>
            </w:r>
            <w:bookmarkStart w:id="59" w:name="_Hlk87608081"/>
            <w:r w:rsidRPr="00086ADB">
              <w:rPr>
                <w:rFonts w:cs="Arial"/>
                <w:b/>
                <w:bCs/>
                <w:sz w:val="20"/>
                <w:szCs w:val="20"/>
                <w:u w:val="single"/>
              </w:rPr>
              <w:t>Δαπάνες από Χρηματοδοτήσεις για Εξωτερικά Ερευνητικά Προγράμματα</w:t>
            </w:r>
            <w:r w:rsidR="00E407D3">
              <w:rPr>
                <w:rFonts w:cs="Arial"/>
                <w:b/>
                <w:bCs/>
                <w:sz w:val="20"/>
                <w:szCs w:val="20"/>
                <w:u w:val="single"/>
              </w:rPr>
              <w:t xml:space="preserve"> </w:t>
            </w:r>
            <w:r w:rsidRPr="00086ADB">
              <w:rPr>
                <w:rFonts w:cs="Arial"/>
                <w:b/>
                <w:bCs/>
                <w:sz w:val="20"/>
                <w:szCs w:val="20"/>
                <w:u w:val="single"/>
              </w:rPr>
              <w:t>– €28.000.000</w:t>
            </w:r>
            <w:bookmarkEnd w:id="59"/>
          </w:p>
        </w:tc>
      </w:tr>
      <w:tr w:rsidR="00086ADB" w:rsidRPr="00903F89" w14:paraId="11B5A4DA" w14:textId="77777777" w:rsidTr="00B1212B">
        <w:trPr>
          <w:gridAfter w:val="1"/>
          <w:wAfter w:w="168" w:type="dxa"/>
        </w:trPr>
        <w:tc>
          <w:tcPr>
            <w:tcW w:w="10632" w:type="dxa"/>
            <w:gridSpan w:val="9"/>
            <w:shd w:val="clear" w:color="auto" w:fill="auto"/>
          </w:tcPr>
          <w:p w14:paraId="5BFCF0FB" w14:textId="77777777" w:rsidR="00086ADB" w:rsidRPr="00086ADB" w:rsidRDefault="00086ADB" w:rsidP="00903F89">
            <w:pPr>
              <w:jc w:val="both"/>
              <w:rPr>
                <w:rFonts w:cs="Arial"/>
                <w:b/>
                <w:bCs/>
                <w:sz w:val="20"/>
                <w:szCs w:val="20"/>
                <w:u w:val="single"/>
              </w:rPr>
            </w:pPr>
          </w:p>
        </w:tc>
      </w:tr>
      <w:tr w:rsidR="00086ADB" w:rsidRPr="00903F89" w14:paraId="4DA96B31" w14:textId="77777777" w:rsidTr="00B1212B">
        <w:trPr>
          <w:gridAfter w:val="1"/>
          <w:wAfter w:w="168" w:type="dxa"/>
        </w:trPr>
        <w:tc>
          <w:tcPr>
            <w:tcW w:w="10632" w:type="dxa"/>
            <w:gridSpan w:val="9"/>
            <w:shd w:val="clear" w:color="auto" w:fill="auto"/>
          </w:tcPr>
          <w:p w14:paraId="6AF17F31" w14:textId="0B1DD51C" w:rsidR="00086ADB" w:rsidRDefault="00086ADB" w:rsidP="00086ADB">
            <w:pPr>
              <w:jc w:val="both"/>
              <w:rPr>
                <w:rFonts w:cs="Arial"/>
                <w:b/>
                <w:bCs/>
                <w:sz w:val="20"/>
                <w:szCs w:val="20"/>
                <w:u w:val="single"/>
              </w:rPr>
            </w:pPr>
            <w:bookmarkStart w:id="60" w:name="_Hlk87607410"/>
            <w:r w:rsidRPr="00903F89">
              <w:rPr>
                <w:rFonts w:cs="Arial"/>
                <w:sz w:val="20"/>
                <w:szCs w:val="20"/>
              </w:rPr>
              <w:t xml:space="preserve">Η πρόνοια προορίζεται να καλύψει δαπάνες που διενεργούνται από χρηματοδοτήσεις για εξωτερικά ερευνητικά προγράμματα.  Οι δαπάνες αυτές απορρέουν από ερευνητικά προγράμματα για τα οποία το Πανεπιστήμιο Κύπρου έχει συμβατικές υποχρεώσεις με τους χρηματοδότες (π.χ. Ευρωπαϊκή Επιτροπή, Ίδρυμα Έρευνας και Καινοτομίας Κύπρου, κ.λπ.).  </w:t>
            </w:r>
            <w:bookmarkEnd w:id="60"/>
          </w:p>
        </w:tc>
      </w:tr>
      <w:tr w:rsidR="00086ADB" w:rsidRPr="00903F89" w14:paraId="2E9F2EE5" w14:textId="77777777" w:rsidTr="00B1212B">
        <w:trPr>
          <w:gridAfter w:val="1"/>
          <w:wAfter w:w="168" w:type="dxa"/>
        </w:trPr>
        <w:tc>
          <w:tcPr>
            <w:tcW w:w="10632" w:type="dxa"/>
            <w:gridSpan w:val="9"/>
            <w:shd w:val="clear" w:color="auto" w:fill="auto"/>
          </w:tcPr>
          <w:p w14:paraId="5E1D8C60" w14:textId="77777777" w:rsidR="00086ADB" w:rsidRDefault="00086ADB" w:rsidP="00086ADB">
            <w:pPr>
              <w:jc w:val="both"/>
              <w:rPr>
                <w:rFonts w:cs="Arial"/>
                <w:b/>
                <w:bCs/>
                <w:sz w:val="20"/>
                <w:szCs w:val="20"/>
                <w:u w:val="single"/>
              </w:rPr>
            </w:pPr>
          </w:p>
        </w:tc>
      </w:tr>
      <w:tr w:rsidR="00086ADB" w:rsidRPr="00903F89" w14:paraId="10171B31" w14:textId="77777777" w:rsidTr="00B1212B">
        <w:trPr>
          <w:gridAfter w:val="1"/>
          <w:wAfter w:w="168" w:type="dxa"/>
        </w:trPr>
        <w:tc>
          <w:tcPr>
            <w:tcW w:w="10632" w:type="dxa"/>
            <w:gridSpan w:val="9"/>
            <w:shd w:val="clear" w:color="auto" w:fill="auto"/>
          </w:tcPr>
          <w:p w14:paraId="3D98202C" w14:textId="12808E68" w:rsidR="00086ADB" w:rsidRDefault="00086ADB" w:rsidP="00086ADB">
            <w:pPr>
              <w:jc w:val="both"/>
              <w:rPr>
                <w:rFonts w:cs="Arial"/>
                <w:b/>
                <w:bCs/>
                <w:sz w:val="20"/>
                <w:szCs w:val="20"/>
                <w:u w:val="single"/>
              </w:rPr>
            </w:pPr>
            <w:r w:rsidRPr="00903F89">
              <w:rPr>
                <w:rFonts w:cs="Arial"/>
                <w:sz w:val="20"/>
                <w:szCs w:val="20"/>
              </w:rPr>
              <w:t>Στην παρ</w:t>
            </w:r>
            <w:r>
              <w:rPr>
                <w:rFonts w:cs="Arial"/>
                <w:sz w:val="20"/>
                <w:szCs w:val="20"/>
              </w:rPr>
              <w:t xml:space="preserve">όν άρθρο </w:t>
            </w:r>
            <w:r w:rsidRPr="00903F89">
              <w:rPr>
                <w:rFonts w:cs="Arial"/>
                <w:sz w:val="20"/>
                <w:szCs w:val="20"/>
              </w:rPr>
              <w:t xml:space="preserve">περιλαμβάνεται πρόνοια για κάλυψη δαπανών από τρέχοντα και νέα ερευνητικά προγράμματα τα οποία πιθανόν να προκύψουν εντός του οικονομικού έτους του 2022.  </w:t>
            </w:r>
          </w:p>
        </w:tc>
      </w:tr>
      <w:tr w:rsidR="00086ADB" w:rsidRPr="00903F89" w14:paraId="0DD5683F" w14:textId="77777777" w:rsidTr="00B1212B">
        <w:trPr>
          <w:gridAfter w:val="1"/>
          <w:wAfter w:w="168" w:type="dxa"/>
        </w:trPr>
        <w:tc>
          <w:tcPr>
            <w:tcW w:w="10632" w:type="dxa"/>
            <w:gridSpan w:val="9"/>
            <w:shd w:val="clear" w:color="auto" w:fill="auto"/>
          </w:tcPr>
          <w:p w14:paraId="20D105BA" w14:textId="77777777" w:rsidR="00086ADB" w:rsidRDefault="00086ADB" w:rsidP="00086ADB">
            <w:pPr>
              <w:jc w:val="both"/>
              <w:rPr>
                <w:rFonts w:cs="Arial"/>
                <w:b/>
                <w:bCs/>
                <w:sz w:val="20"/>
                <w:szCs w:val="20"/>
                <w:u w:val="single"/>
              </w:rPr>
            </w:pPr>
          </w:p>
        </w:tc>
      </w:tr>
      <w:tr w:rsidR="00086ADB" w:rsidRPr="00903F89" w14:paraId="3FD4C305" w14:textId="77777777" w:rsidTr="00B1212B">
        <w:trPr>
          <w:gridAfter w:val="1"/>
          <w:wAfter w:w="168" w:type="dxa"/>
        </w:trPr>
        <w:tc>
          <w:tcPr>
            <w:tcW w:w="10632" w:type="dxa"/>
            <w:gridSpan w:val="9"/>
            <w:shd w:val="clear" w:color="auto" w:fill="auto"/>
          </w:tcPr>
          <w:p w14:paraId="28BEEE9D" w14:textId="2A854719" w:rsidR="00086ADB" w:rsidRDefault="00086ADB" w:rsidP="00086ADB">
            <w:pPr>
              <w:jc w:val="both"/>
              <w:rPr>
                <w:rFonts w:cs="Arial"/>
                <w:b/>
                <w:bCs/>
                <w:sz w:val="20"/>
                <w:szCs w:val="20"/>
                <w:u w:val="single"/>
              </w:rPr>
            </w:pPr>
            <w:r w:rsidRPr="00903F89">
              <w:rPr>
                <w:rFonts w:cs="Arial"/>
                <w:sz w:val="20"/>
                <w:szCs w:val="20"/>
              </w:rPr>
              <w:t xml:space="preserve">Έναντι της πρόνοιας </w:t>
            </w:r>
            <w:r>
              <w:rPr>
                <w:rFonts w:cs="Arial"/>
                <w:sz w:val="20"/>
                <w:szCs w:val="20"/>
              </w:rPr>
              <w:t xml:space="preserve">του άρθρου </w:t>
            </w:r>
            <w:r w:rsidRPr="00903F89">
              <w:rPr>
                <w:rFonts w:cs="Arial"/>
                <w:sz w:val="20"/>
                <w:szCs w:val="20"/>
              </w:rPr>
              <w:t>διενεργούνται και δαπάνες που αφορούν στην καταβολή ωφελημάτων σε μέλη του Ακαδημαϊκού Προσωπικού του Πανεπιστημίου Κύπρου πέραν του μισθού τους (σύμφωνα με τη δυνατότητα που παρέχεται από το άρθρο 7(1) των Περί Ακαδημαϊκού Προσωπικού Κανονισμών του 1990 και 1999, ΚΠΔ 153/90 και ΚΠΔ325/99) οι οποίες απορρέουν από εξωτερικά ερευνητικά προγράμματα, λαμβάνοντας υπόψη τις συμβατικές υποχρεώσεις του Πανεπιστημίου Κύπρου έναντι των χρηματοδοτών του.</w:t>
            </w:r>
          </w:p>
        </w:tc>
      </w:tr>
      <w:tr w:rsidR="00086ADB" w:rsidRPr="00903F89" w14:paraId="204DA587" w14:textId="77777777" w:rsidTr="00B1212B">
        <w:trPr>
          <w:gridAfter w:val="1"/>
          <w:wAfter w:w="168" w:type="dxa"/>
        </w:trPr>
        <w:tc>
          <w:tcPr>
            <w:tcW w:w="10632" w:type="dxa"/>
            <w:gridSpan w:val="9"/>
            <w:shd w:val="clear" w:color="auto" w:fill="auto"/>
          </w:tcPr>
          <w:p w14:paraId="52DDC14E" w14:textId="77777777" w:rsidR="00086ADB" w:rsidRDefault="00086ADB" w:rsidP="00086ADB">
            <w:pPr>
              <w:jc w:val="both"/>
              <w:rPr>
                <w:rFonts w:cs="Arial"/>
                <w:b/>
                <w:bCs/>
                <w:sz w:val="20"/>
                <w:szCs w:val="20"/>
                <w:u w:val="single"/>
              </w:rPr>
            </w:pPr>
          </w:p>
        </w:tc>
      </w:tr>
      <w:tr w:rsidR="00086ADB" w:rsidRPr="00903F89" w14:paraId="6B11F8FF" w14:textId="77777777" w:rsidTr="00B1212B">
        <w:trPr>
          <w:gridAfter w:val="1"/>
          <w:wAfter w:w="168" w:type="dxa"/>
        </w:trPr>
        <w:tc>
          <w:tcPr>
            <w:tcW w:w="10632" w:type="dxa"/>
            <w:gridSpan w:val="9"/>
            <w:shd w:val="clear" w:color="auto" w:fill="auto"/>
          </w:tcPr>
          <w:p w14:paraId="6002EB83" w14:textId="13C6DA85" w:rsidR="00086ADB" w:rsidRDefault="00086ADB" w:rsidP="00086ADB">
            <w:pPr>
              <w:jc w:val="both"/>
              <w:rPr>
                <w:rFonts w:cs="Arial"/>
                <w:b/>
                <w:bCs/>
                <w:sz w:val="20"/>
                <w:szCs w:val="20"/>
                <w:u w:val="single"/>
              </w:rPr>
            </w:pPr>
            <w:bookmarkStart w:id="61" w:name="_Hlk87606362"/>
            <w:r w:rsidRPr="00903F89">
              <w:rPr>
                <w:rFonts w:cs="Arial"/>
                <w:sz w:val="20"/>
                <w:szCs w:val="20"/>
              </w:rPr>
              <w:t xml:space="preserve">Δαπάνες που θα πραγματοποιηθούν στο πλαίσιο του H2020-WIDESPREAD-2016-2017: Teaming </w:t>
            </w:r>
            <w:proofErr w:type="spellStart"/>
            <w:r w:rsidRPr="00903F89">
              <w:rPr>
                <w:rFonts w:cs="Arial"/>
                <w:sz w:val="20"/>
                <w:szCs w:val="20"/>
              </w:rPr>
              <w:t>Phase</w:t>
            </w:r>
            <w:proofErr w:type="spellEnd"/>
            <w:r w:rsidRPr="00903F89">
              <w:rPr>
                <w:rFonts w:cs="Arial"/>
                <w:sz w:val="20"/>
                <w:szCs w:val="20"/>
              </w:rPr>
              <w:t xml:space="preserve"> 2 και του H2020-WIDESPREAD-2018-2019: Teaming </w:t>
            </w:r>
            <w:proofErr w:type="spellStart"/>
            <w:r w:rsidRPr="00903F89">
              <w:rPr>
                <w:rFonts w:cs="Arial"/>
                <w:sz w:val="20"/>
                <w:szCs w:val="20"/>
              </w:rPr>
              <w:t>Phase</w:t>
            </w:r>
            <w:proofErr w:type="spellEnd"/>
            <w:r w:rsidRPr="00903F89">
              <w:rPr>
                <w:rFonts w:cs="Arial"/>
                <w:sz w:val="20"/>
                <w:szCs w:val="20"/>
              </w:rPr>
              <w:t xml:space="preserve"> 1, </w:t>
            </w:r>
            <w:bookmarkEnd w:id="61"/>
            <w:r w:rsidRPr="00903F89">
              <w:rPr>
                <w:rFonts w:cs="Arial"/>
                <w:sz w:val="20"/>
                <w:szCs w:val="20"/>
              </w:rPr>
              <w:t>καλύπτονται έναντι της πρόνοιας του παρόντος άρθρου.</w:t>
            </w:r>
          </w:p>
        </w:tc>
      </w:tr>
      <w:tr w:rsidR="00086ADB" w:rsidRPr="00903F89" w14:paraId="527C0238" w14:textId="77777777" w:rsidTr="00B1212B">
        <w:trPr>
          <w:gridAfter w:val="1"/>
          <w:wAfter w:w="168" w:type="dxa"/>
        </w:trPr>
        <w:tc>
          <w:tcPr>
            <w:tcW w:w="10632" w:type="dxa"/>
            <w:gridSpan w:val="9"/>
            <w:shd w:val="clear" w:color="auto" w:fill="auto"/>
          </w:tcPr>
          <w:p w14:paraId="736706C7" w14:textId="77777777" w:rsidR="00086ADB" w:rsidRDefault="00086ADB" w:rsidP="00086ADB">
            <w:pPr>
              <w:jc w:val="both"/>
              <w:rPr>
                <w:rFonts w:cs="Arial"/>
                <w:b/>
                <w:bCs/>
                <w:sz w:val="20"/>
                <w:szCs w:val="20"/>
                <w:u w:val="single"/>
              </w:rPr>
            </w:pPr>
          </w:p>
        </w:tc>
      </w:tr>
      <w:tr w:rsidR="00086ADB" w:rsidRPr="00903F89" w14:paraId="1693AE6C" w14:textId="77777777" w:rsidTr="00B1212B">
        <w:trPr>
          <w:gridAfter w:val="1"/>
          <w:wAfter w:w="168" w:type="dxa"/>
        </w:trPr>
        <w:tc>
          <w:tcPr>
            <w:tcW w:w="10632" w:type="dxa"/>
            <w:gridSpan w:val="9"/>
            <w:shd w:val="clear" w:color="auto" w:fill="auto"/>
          </w:tcPr>
          <w:p w14:paraId="4AD633F2" w14:textId="1A755B5D" w:rsidR="00086ADB" w:rsidRDefault="00086ADB" w:rsidP="00086ADB">
            <w:pPr>
              <w:jc w:val="both"/>
              <w:rPr>
                <w:rFonts w:cs="Arial"/>
                <w:b/>
                <w:bCs/>
                <w:sz w:val="20"/>
                <w:szCs w:val="20"/>
                <w:u w:val="single"/>
              </w:rPr>
            </w:pPr>
            <w:r w:rsidRPr="00903F89">
              <w:rPr>
                <w:rFonts w:cs="Arial"/>
                <w:sz w:val="20"/>
                <w:szCs w:val="20"/>
              </w:rPr>
              <w:t>Στ</w:t>
            </w:r>
            <w:r>
              <w:rPr>
                <w:rFonts w:cs="Arial"/>
                <w:sz w:val="20"/>
                <w:szCs w:val="20"/>
              </w:rPr>
              <w:t xml:space="preserve">ο παρόν άρθρο </w:t>
            </w:r>
            <w:r w:rsidRPr="00903F89">
              <w:rPr>
                <w:rFonts w:cs="Arial"/>
                <w:sz w:val="20"/>
                <w:szCs w:val="20"/>
              </w:rPr>
              <w:t>περιλαμβάνεται πρόνοια για κάλυψη δαπανών που αφορούν σε προγράμματα ERASMUS.</w:t>
            </w:r>
          </w:p>
        </w:tc>
      </w:tr>
      <w:tr w:rsidR="00903F89" w:rsidRPr="00903F89" w14:paraId="2947E609" w14:textId="77777777" w:rsidTr="00B1212B">
        <w:trPr>
          <w:gridAfter w:val="1"/>
          <w:wAfter w:w="168" w:type="dxa"/>
        </w:trPr>
        <w:tc>
          <w:tcPr>
            <w:tcW w:w="10632" w:type="dxa"/>
            <w:gridSpan w:val="9"/>
          </w:tcPr>
          <w:p w14:paraId="46B5032E" w14:textId="3150D116" w:rsidR="006F4AF5" w:rsidRPr="00086ADB" w:rsidRDefault="00086ADB" w:rsidP="00903F89">
            <w:pPr>
              <w:jc w:val="both"/>
              <w:rPr>
                <w:rFonts w:eastAsia="Arial" w:cs="Arial"/>
                <w:b/>
                <w:bCs/>
                <w:sz w:val="20"/>
                <w:szCs w:val="20"/>
                <w:u w:val="single"/>
              </w:rPr>
            </w:pPr>
            <w:bookmarkStart w:id="62" w:name="_Hlk77933178"/>
            <w:r w:rsidRPr="00086ADB">
              <w:rPr>
                <w:rFonts w:cs="Arial"/>
                <w:b/>
                <w:bCs/>
                <w:sz w:val="20"/>
                <w:szCs w:val="20"/>
                <w:u w:val="single"/>
              </w:rPr>
              <w:t xml:space="preserve">Άρθρο </w:t>
            </w:r>
            <w:r w:rsidR="00FF2718" w:rsidRPr="00086ADB">
              <w:rPr>
                <w:rFonts w:cs="Arial"/>
                <w:b/>
                <w:bCs/>
                <w:sz w:val="20"/>
                <w:szCs w:val="20"/>
                <w:u w:val="single"/>
              </w:rPr>
              <w:t xml:space="preserve">505– </w:t>
            </w:r>
            <w:r w:rsidRPr="00086ADB">
              <w:rPr>
                <w:rFonts w:cs="Arial"/>
                <w:b/>
                <w:bCs/>
                <w:sz w:val="20"/>
                <w:szCs w:val="20"/>
                <w:u w:val="single"/>
              </w:rPr>
              <w:t>Μεταφορά σε Ειδικό Αποθεματικό για χρήση σε επόμενα έτη</w:t>
            </w:r>
            <w:r w:rsidR="00FF2718" w:rsidRPr="00086ADB">
              <w:rPr>
                <w:rFonts w:eastAsia="Arial" w:cs="Arial"/>
                <w:b/>
                <w:bCs/>
                <w:sz w:val="20"/>
                <w:szCs w:val="20"/>
                <w:u w:val="single"/>
              </w:rPr>
              <w:t>–</w:t>
            </w:r>
            <w:r w:rsidR="00FF2718" w:rsidRPr="00086ADB">
              <w:rPr>
                <w:rFonts w:cs="Arial"/>
                <w:b/>
                <w:bCs/>
                <w:sz w:val="20"/>
                <w:szCs w:val="20"/>
                <w:u w:val="single"/>
              </w:rPr>
              <w:t xml:space="preserve"> €3.000.000</w:t>
            </w:r>
          </w:p>
        </w:tc>
      </w:tr>
      <w:tr w:rsidR="00903F89" w:rsidRPr="00903F89" w14:paraId="44B3D00E" w14:textId="77777777" w:rsidTr="00B1212B">
        <w:trPr>
          <w:gridAfter w:val="1"/>
          <w:wAfter w:w="168" w:type="dxa"/>
        </w:trPr>
        <w:tc>
          <w:tcPr>
            <w:tcW w:w="810" w:type="dxa"/>
          </w:tcPr>
          <w:p w14:paraId="1D3E76FE" w14:textId="77777777" w:rsidR="00D04115" w:rsidRPr="00903F89" w:rsidRDefault="00D04115" w:rsidP="00903F89">
            <w:pPr>
              <w:jc w:val="both"/>
              <w:rPr>
                <w:rFonts w:cs="Arial"/>
                <w:b/>
                <w:bCs/>
                <w:sz w:val="20"/>
                <w:szCs w:val="20"/>
                <w:u w:val="single"/>
              </w:rPr>
            </w:pPr>
          </w:p>
        </w:tc>
        <w:tc>
          <w:tcPr>
            <w:tcW w:w="8910" w:type="dxa"/>
            <w:gridSpan w:val="7"/>
          </w:tcPr>
          <w:p w14:paraId="0067B3F6" w14:textId="77777777" w:rsidR="00D04115" w:rsidRPr="00903F89" w:rsidRDefault="00D04115" w:rsidP="00903F89">
            <w:pPr>
              <w:jc w:val="both"/>
              <w:rPr>
                <w:rFonts w:cs="Arial"/>
                <w:b/>
                <w:bCs/>
                <w:sz w:val="20"/>
                <w:szCs w:val="20"/>
                <w:u w:val="single"/>
              </w:rPr>
            </w:pPr>
          </w:p>
        </w:tc>
        <w:tc>
          <w:tcPr>
            <w:tcW w:w="912" w:type="dxa"/>
          </w:tcPr>
          <w:p w14:paraId="256F94FF" w14:textId="77777777" w:rsidR="00D04115" w:rsidRPr="00903F89" w:rsidRDefault="00D04115" w:rsidP="00903F89">
            <w:pPr>
              <w:jc w:val="both"/>
              <w:rPr>
                <w:rFonts w:cs="Arial"/>
                <w:b/>
                <w:bCs/>
                <w:sz w:val="20"/>
                <w:szCs w:val="20"/>
                <w:u w:val="single"/>
              </w:rPr>
            </w:pPr>
          </w:p>
        </w:tc>
      </w:tr>
      <w:tr w:rsidR="00903F89" w:rsidRPr="00903F89" w14:paraId="4535849B" w14:textId="77777777" w:rsidTr="00B1212B">
        <w:trPr>
          <w:gridAfter w:val="1"/>
          <w:wAfter w:w="168" w:type="dxa"/>
        </w:trPr>
        <w:tc>
          <w:tcPr>
            <w:tcW w:w="10632" w:type="dxa"/>
            <w:gridSpan w:val="9"/>
          </w:tcPr>
          <w:p w14:paraId="52778472" w14:textId="54C39B7B" w:rsidR="004C44E1" w:rsidRPr="00903F89" w:rsidRDefault="004C44E1" w:rsidP="00903F89">
            <w:pPr>
              <w:jc w:val="both"/>
              <w:rPr>
                <w:rFonts w:cs="Arial"/>
                <w:sz w:val="20"/>
                <w:szCs w:val="20"/>
              </w:rPr>
            </w:pPr>
            <w:r w:rsidRPr="00903F89">
              <w:rPr>
                <w:rFonts w:cs="Arial"/>
                <w:sz w:val="20"/>
                <w:szCs w:val="20"/>
              </w:rPr>
              <w:t xml:space="preserve">Η πρόνοια </w:t>
            </w:r>
            <w:r w:rsidR="00086ADB">
              <w:rPr>
                <w:rFonts w:cs="Arial"/>
                <w:sz w:val="20"/>
                <w:szCs w:val="20"/>
              </w:rPr>
              <w:t>του Άρθρου</w:t>
            </w:r>
            <w:r w:rsidRPr="00903F89">
              <w:rPr>
                <w:rFonts w:cs="Arial"/>
                <w:sz w:val="20"/>
                <w:szCs w:val="20"/>
              </w:rPr>
              <w:t xml:space="preserve"> προορίζεται να καλύψει τη μεταφορά σε Ειδικό Αποθεματικό για χρήση σε επόμενα έτη όπως αυτό απορρέει από Δωρεές ή συμφωνίες χρηματοδότησης εξωτερικώς χρηματοδοτούμενων ερευνητικών προγραμμάτων, οι οποίες προορίζονται για συγκεκριμένο σκοπό. Συγκεκριμένα, η πρόνοια </w:t>
            </w:r>
            <w:r w:rsidR="00662012" w:rsidRPr="00903F89">
              <w:rPr>
                <w:rFonts w:cs="Arial"/>
                <w:sz w:val="20"/>
                <w:szCs w:val="20"/>
              </w:rPr>
              <w:t>τ</w:t>
            </w:r>
            <w:r w:rsidR="00086ADB">
              <w:rPr>
                <w:rFonts w:cs="Arial"/>
                <w:sz w:val="20"/>
                <w:szCs w:val="20"/>
              </w:rPr>
              <w:t xml:space="preserve">ου </w:t>
            </w:r>
            <w:r w:rsidR="00614B7B">
              <w:rPr>
                <w:rFonts w:cs="Arial"/>
                <w:sz w:val="20"/>
                <w:szCs w:val="20"/>
              </w:rPr>
              <w:t>ά</w:t>
            </w:r>
            <w:r w:rsidR="00086ADB">
              <w:rPr>
                <w:rFonts w:cs="Arial"/>
                <w:sz w:val="20"/>
                <w:szCs w:val="20"/>
              </w:rPr>
              <w:t>ρθρου</w:t>
            </w:r>
            <w:r w:rsidR="00662012" w:rsidRPr="00903F89">
              <w:rPr>
                <w:rFonts w:cs="Arial"/>
                <w:sz w:val="20"/>
                <w:szCs w:val="20"/>
              </w:rPr>
              <w:t xml:space="preserve"> </w:t>
            </w:r>
            <w:r w:rsidRPr="00903F89">
              <w:rPr>
                <w:rFonts w:cs="Arial"/>
                <w:sz w:val="20"/>
                <w:szCs w:val="20"/>
              </w:rPr>
              <w:t>καθορίστηκε για το 2022 λαμβάνοντας υπόψη ότι:</w:t>
            </w:r>
          </w:p>
          <w:p w14:paraId="4E20E7AC" w14:textId="77777777" w:rsidR="004C44E1" w:rsidRPr="00903F89" w:rsidRDefault="004C44E1" w:rsidP="00903F89">
            <w:pPr>
              <w:jc w:val="both"/>
              <w:rPr>
                <w:rFonts w:cs="Arial"/>
                <w:sz w:val="20"/>
                <w:szCs w:val="20"/>
              </w:rPr>
            </w:pPr>
          </w:p>
          <w:p w14:paraId="7CD4F0CB" w14:textId="370D9B43" w:rsidR="004C44E1" w:rsidRPr="00903F89" w:rsidRDefault="004C44E1" w:rsidP="00903F89">
            <w:pPr>
              <w:ind w:left="604" w:hanging="567"/>
              <w:jc w:val="both"/>
              <w:rPr>
                <w:rFonts w:cs="Arial"/>
                <w:sz w:val="20"/>
                <w:szCs w:val="20"/>
              </w:rPr>
            </w:pPr>
            <w:r w:rsidRPr="00903F89">
              <w:rPr>
                <w:rFonts w:cs="Arial"/>
                <w:sz w:val="20"/>
                <w:szCs w:val="20"/>
              </w:rPr>
              <w:t>(α)</w:t>
            </w:r>
            <w:r w:rsidR="00086ADB">
              <w:rPr>
                <w:rFonts w:cs="Arial"/>
                <w:sz w:val="20"/>
                <w:szCs w:val="20"/>
              </w:rPr>
              <w:tab/>
            </w:r>
            <w:r w:rsidRPr="00903F89">
              <w:rPr>
                <w:rFonts w:cs="Arial"/>
                <w:sz w:val="20"/>
                <w:szCs w:val="20"/>
              </w:rPr>
              <w:t xml:space="preserve">Οι εισπράξεις από εξωτερικά χρηματοδοτούμενα ερευνητικά προγράμματα  στον Προϋπολογισμό Εσόδων προϋπολογίζονται σύμφωνα με τις δόσεις που αναμένεται να εισπραχθούν από τους χρηματοδότες με βάση προκαθορισμένα ποσοστά. </w:t>
            </w:r>
          </w:p>
          <w:p w14:paraId="57DABABA" w14:textId="77777777" w:rsidR="004C44E1" w:rsidRPr="00903F89" w:rsidRDefault="004C44E1" w:rsidP="00903F89">
            <w:pPr>
              <w:ind w:left="604" w:hanging="567"/>
              <w:jc w:val="both"/>
              <w:rPr>
                <w:rFonts w:cs="Arial"/>
                <w:sz w:val="20"/>
                <w:szCs w:val="20"/>
              </w:rPr>
            </w:pPr>
          </w:p>
          <w:p w14:paraId="2B85EFD6" w14:textId="36F258B0" w:rsidR="004C44E1" w:rsidRPr="00903F89" w:rsidRDefault="004C44E1" w:rsidP="00903F89">
            <w:pPr>
              <w:ind w:left="604" w:hanging="567"/>
              <w:jc w:val="both"/>
              <w:rPr>
                <w:rFonts w:cs="Arial"/>
                <w:sz w:val="20"/>
                <w:szCs w:val="20"/>
              </w:rPr>
            </w:pPr>
            <w:r w:rsidRPr="00903F89">
              <w:rPr>
                <w:rFonts w:cs="Arial"/>
                <w:sz w:val="20"/>
                <w:szCs w:val="20"/>
              </w:rPr>
              <w:t>(β)</w:t>
            </w:r>
            <w:r w:rsidRPr="00903F89">
              <w:rPr>
                <w:rFonts w:cs="Arial"/>
                <w:sz w:val="20"/>
                <w:szCs w:val="20"/>
              </w:rPr>
              <w:tab/>
              <w:t xml:space="preserve">Οι δαπάνες από εξωτερικώς χρηματοδοτούμενα ερευνητικά προγράμματα, οι οποίες παρουσιάζονται </w:t>
            </w:r>
            <w:r w:rsidR="00086ADB">
              <w:rPr>
                <w:rFonts w:cs="Arial"/>
                <w:sz w:val="20"/>
                <w:szCs w:val="20"/>
              </w:rPr>
              <w:t xml:space="preserve">στο </w:t>
            </w:r>
            <w:r w:rsidR="00614B7B">
              <w:rPr>
                <w:rFonts w:cs="Arial"/>
                <w:sz w:val="20"/>
                <w:szCs w:val="20"/>
              </w:rPr>
              <w:t>ά</w:t>
            </w:r>
            <w:r w:rsidR="00086ADB">
              <w:rPr>
                <w:rFonts w:cs="Arial"/>
                <w:sz w:val="20"/>
                <w:szCs w:val="20"/>
              </w:rPr>
              <w:t xml:space="preserve">ρθρο </w:t>
            </w:r>
            <w:r w:rsidRPr="00903F89">
              <w:rPr>
                <w:rFonts w:cs="Arial"/>
                <w:sz w:val="20"/>
                <w:szCs w:val="20"/>
              </w:rPr>
              <w:t xml:space="preserve">503, προϋπολογίζονται με βάση τα προγράμματα που αναμένεται να τρέχουν κατά το υπό αναφορά έτος. </w:t>
            </w:r>
          </w:p>
          <w:p w14:paraId="4C4EA089" w14:textId="77777777" w:rsidR="004C44E1" w:rsidRPr="00903F89" w:rsidRDefault="004C44E1" w:rsidP="00903F89">
            <w:pPr>
              <w:jc w:val="both"/>
              <w:rPr>
                <w:rFonts w:cs="Arial"/>
                <w:sz w:val="20"/>
                <w:szCs w:val="20"/>
              </w:rPr>
            </w:pPr>
          </w:p>
          <w:p w14:paraId="0851CD16" w14:textId="002B2697" w:rsidR="006F4AF5" w:rsidRPr="00903F89" w:rsidRDefault="004C44E1" w:rsidP="00903F89">
            <w:pPr>
              <w:jc w:val="both"/>
              <w:rPr>
                <w:rFonts w:eastAsia="Arial" w:cs="Arial"/>
                <w:b/>
                <w:bCs/>
                <w:sz w:val="20"/>
                <w:szCs w:val="20"/>
                <w:u w:val="single"/>
              </w:rPr>
            </w:pPr>
            <w:r w:rsidRPr="00903F89">
              <w:rPr>
                <w:rFonts w:cs="Arial"/>
                <w:sz w:val="20"/>
                <w:szCs w:val="20"/>
              </w:rPr>
              <w:t>Η διαφορά των (α) και (β), δηλαδή των διαθέσιμων εσόδων και των δαπανών που θα διενεργηθούν, περιλαμβάνεται στ</w:t>
            </w:r>
            <w:r w:rsidR="00086ADB">
              <w:rPr>
                <w:rFonts w:cs="Arial"/>
                <w:sz w:val="20"/>
                <w:szCs w:val="20"/>
              </w:rPr>
              <w:t>ο παρόν άρθρο</w:t>
            </w:r>
            <w:r w:rsidR="00662012" w:rsidRPr="00903F89">
              <w:rPr>
                <w:rFonts w:cs="Arial"/>
                <w:sz w:val="20"/>
                <w:szCs w:val="20"/>
              </w:rPr>
              <w:t xml:space="preserve"> </w:t>
            </w:r>
            <w:r w:rsidRPr="00903F89">
              <w:rPr>
                <w:rFonts w:cs="Arial"/>
                <w:sz w:val="20"/>
                <w:szCs w:val="20"/>
              </w:rPr>
              <w:t>ώστε να μπορούν να μεταφερθούν σε ειδικό αποθεματικό για χρήση σε επόμενα έτη από το Πανεπιστήμιο.</w:t>
            </w:r>
          </w:p>
        </w:tc>
      </w:tr>
      <w:tr w:rsidR="00086ADB" w:rsidRPr="00903F89" w14:paraId="5FC52F80" w14:textId="77777777" w:rsidTr="00B1212B">
        <w:trPr>
          <w:gridAfter w:val="1"/>
          <w:wAfter w:w="168" w:type="dxa"/>
        </w:trPr>
        <w:tc>
          <w:tcPr>
            <w:tcW w:w="10632" w:type="dxa"/>
            <w:gridSpan w:val="9"/>
          </w:tcPr>
          <w:p w14:paraId="1DC9BF86" w14:textId="77777777" w:rsidR="00086ADB" w:rsidRPr="00903F89" w:rsidRDefault="00086ADB" w:rsidP="00903F89">
            <w:pPr>
              <w:jc w:val="both"/>
              <w:rPr>
                <w:rFonts w:cs="Arial"/>
                <w:sz w:val="20"/>
                <w:szCs w:val="20"/>
              </w:rPr>
            </w:pPr>
          </w:p>
        </w:tc>
      </w:tr>
      <w:bookmarkEnd w:id="62"/>
      <w:tr w:rsidR="00086ADB" w:rsidRPr="00903F89" w14:paraId="746AA328" w14:textId="77777777" w:rsidTr="00B1212B">
        <w:trPr>
          <w:gridAfter w:val="1"/>
          <w:wAfter w:w="168" w:type="dxa"/>
        </w:trPr>
        <w:tc>
          <w:tcPr>
            <w:tcW w:w="10632" w:type="dxa"/>
            <w:gridSpan w:val="9"/>
          </w:tcPr>
          <w:p w14:paraId="11473937" w14:textId="7A200877" w:rsidR="00086ADB" w:rsidRPr="00903F89" w:rsidRDefault="00086ADB" w:rsidP="00086ADB">
            <w:pPr>
              <w:jc w:val="both"/>
              <w:rPr>
                <w:rFonts w:cs="Arial"/>
                <w:sz w:val="20"/>
                <w:szCs w:val="20"/>
              </w:rPr>
            </w:pPr>
            <w:r w:rsidRPr="00903F89">
              <w:rPr>
                <w:rFonts w:cs="Arial"/>
                <w:b/>
                <w:bCs/>
                <w:sz w:val="20"/>
                <w:szCs w:val="20"/>
                <w:u w:val="double"/>
              </w:rPr>
              <w:t xml:space="preserve">ΟΜΑΔΑ </w:t>
            </w:r>
            <w:r>
              <w:rPr>
                <w:rFonts w:cs="Arial"/>
                <w:b/>
                <w:bCs/>
                <w:sz w:val="20"/>
                <w:szCs w:val="20"/>
                <w:u w:val="double"/>
              </w:rPr>
              <w:t>6</w:t>
            </w:r>
            <w:r w:rsidRPr="00903F89">
              <w:rPr>
                <w:rFonts w:cs="Arial"/>
                <w:b/>
                <w:bCs/>
                <w:sz w:val="20"/>
                <w:szCs w:val="20"/>
                <w:u w:val="double"/>
              </w:rPr>
              <w:t xml:space="preserve">00 – </w:t>
            </w:r>
            <w:r w:rsidRPr="00086ADB">
              <w:rPr>
                <w:rFonts w:cs="Arial"/>
                <w:b/>
                <w:bCs/>
                <w:sz w:val="20"/>
                <w:szCs w:val="20"/>
                <w:u w:val="double"/>
              </w:rPr>
              <w:t>ΣΥΓΧΡΗΜΑΤΟΔΟΤΟΥΜΕΝΑ ΕΡΓΑ ΚΑΙ ΣΧΕΔΙΑ</w:t>
            </w:r>
          </w:p>
        </w:tc>
      </w:tr>
      <w:tr w:rsidR="00086ADB" w:rsidRPr="00903F89" w14:paraId="7257E367" w14:textId="77777777" w:rsidTr="00B1212B">
        <w:trPr>
          <w:gridAfter w:val="1"/>
          <w:wAfter w:w="168" w:type="dxa"/>
        </w:trPr>
        <w:tc>
          <w:tcPr>
            <w:tcW w:w="10632" w:type="dxa"/>
            <w:gridSpan w:val="9"/>
          </w:tcPr>
          <w:p w14:paraId="6EB0090B" w14:textId="77777777" w:rsidR="00086ADB" w:rsidRPr="00903F89" w:rsidRDefault="00086ADB" w:rsidP="00086ADB">
            <w:pPr>
              <w:jc w:val="both"/>
              <w:rPr>
                <w:rFonts w:cs="Arial"/>
                <w:sz w:val="20"/>
                <w:szCs w:val="20"/>
              </w:rPr>
            </w:pPr>
          </w:p>
        </w:tc>
      </w:tr>
      <w:tr w:rsidR="00086ADB" w:rsidRPr="00903F89" w14:paraId="0320CA90" w14:textId="77777777" w:rsidTr="00B1212B">
        <w:trPr>
          <w:gridAfter w:val="1"/>
          <w:wAfter w:w="168" w:type="dxa"/>
        </w:trPr>
        <w:tc>
          <w:tcPr>
            <w:tcW w:w="10632" w:type="dxa"/>
            <w:gridSpan w:val="9"/>
            <w:shd w:val="clear" w:color="auto" w:fill="auto"/>
          </w:tcPr>
          <w:p w14:paraId="358D2713" w14:textId="48A1ABC8" w:rsidR="00086ADB" w:rsidRPr="00903F89" w:rsidRDefault="00086ADB" w:rsidP="00086ADB">
            <w:pPr>
              <w:jc w:val="both"/>
              <w:rPr>
                <w:rFonts w:cs="Arial"/>
                <w:sz w:val="20"/>
                <w:szCs w:val="20"/>
              </w:rPr>
            </w:pPr>
            <w:r>
              <w:rPr>
                <w:rFonts w:cs="Arial"/>
                <w:b/>
                <w:bCs/>
                <w:sz w:val="20"/>
                <w:szCs w:val="20"/>
                <w:u w:val="single"/>
              </w:rPr>
              <w:t>Υποομάδα</w:t>
            </w:r>
            <w:r w:rsidRPr="00903F89">
              <w:rPr>
                <w:rFonts w:cs="Arial"/>
                <w:b/>
                <w:bCs/>
                <w:sz w:val="20"/>
                <w:szCs w:val="20"/>
                <w:u w:val="single"/>
              </w:rPr>
              <w:t xml:space="preserve"> </w:t>
            </w:r>
            <w:r>
              <w:rPr>
                <w:rFonts w:cs="Arial"/>
                <w:b/>
                <w:bCs/>
                <w:sz w:val="20"/>
                <w:szCs w:val="20"/>
                <w:u w:val="single"/>
              </w:rPr>
              <w:t>6</w:t>
            </w:r>
            <w:r w:rsidRPr="00903F89">
              <w:rPr>
                <w:rFonts w:cs="Arial"/>
                <w:b/>
                <w:bCs/>
                <w:sz w:val="20"/>
                <w:szCs w:val="20"/>
                <w:u w:val="single"/>
              </w:rPr>
              <w:t xml:space="preserve">01 – </w:t>
            </w:r>
            <w:r w:rsidRPr="00086ADB">
              <w:rPr>
                <w:rFonts w:cs="Arial"/>
                <w:b/>
                <w:bCs/>
                <w:sz w:val="20"/>
                <w:szCs w:val="20"/>
                <w:u w:val="single"/>
              </w:rPr>
              <w:t>Δαπάνες Συγχρηματοδοτούμενες από Κοινοτικούς Πόρους</w:t>
            </w:r>
          </w:p>
        </w:tc>
      </w:tr>
      <w:tr w:rsidR="00086ADB" w:rsidRPr="00903F89" w14:paraId="1B4F1676" w14:textId="77777777" w:rsidTr="00B1212B">
        <w:trPr>
          <w:gridAfter w:val="1"/>
          <w:wAfter w:w="168" w:type="dxa"/>
        </w:trPr>
        <w:tc>
          <w:tcPr>
            <w:tcW w:w="10632" w:type="dxa"/>
            <w:gridSpan w:val="9"/>
            <w:shd w:val="clear" w:color="auto" w:fill="auto"/>
          </w:tcPr>
          <w:p w14:paraId="229077C2" w14:textId="77777777" w:rsidR="00086ADB" w:rsidRPr="00903F89" w:rsidRDefault="00086ADB" w:rsidP="00086ADB">
            <w:pPr>
              <w:jc w:val="both"/>
              <w:rPr>
                <w:rFonts w:cs="Arial"/>
                <w:sz w:val="20"/>
                <w:szCs w:val="20"/>
              </w:rPr>
            </w:pPr>
          </w:p>
        </w:tc>
      </w:tr>
      <w:tr w:rsidR="00086ADB" w:rsidRPr="00903F89" w14:paraId="5F15AE7D" w14:textId="77777777" w:rsidTr="00B1212B">
        <w:trPr>
          <w:gridAfter w:val="1"/>
          <w:wAfter w:w="168" w:type="dxa"/>
        </w:trPr>
        <w:tc>
          <w:tcPr>
            <w:tcW w:w="10632" w:type="dxa"/>
            <w:gridSpan w:val="9"/>
            <w:shd w:val="clear" w:color="auto" w:fill="auto"/>
          </w:tcPr>
          <w:p w14:paraId="18430B50" w14:textId="749DF475" w:rsidR="00086ADB" w:rsidRPr="00903F89" w:rsidRDefault="00086ADB" w:rsidP="00086ADB">
            <w:pPr>
              <w:jc w:val="both"/>
              <w:rPr>
                <w:rFonts w:cs="Arial"/>
                <w:sz w:val="20"/>
                <w:szCs w:val="20"/>
              </w:rPr>
            </w:pPr>
            <w:r w:rsidRPr="00086ADB">
              <w:rPr>
                <w:rFonts w:cs="Arial"/>
                <w:b/>
                <w:bCs/>
                <w:sz w:val="20"/>
                <w:szCs w:val="20"/>
                <w:u w:val="single"/>
              </w:rPr>
              <w:t xml:space="preserve">Άρθρο </w:t>
            </w:r>
            <w:r>
              <w:rPr>
                <w:rFonts w:cs="Arial"/>
                <w:b/>
                <w:bCs/>
                <w:sz w:val="20"/>
                <w:szCs w:val="20"/>
                <w:u w:val="single"/>
              </w:rPr>
              <w:t>602</w:t>
            </w:r>
            <w:r w:rsidRPr="00086ADB">
              <w:rPr>
                <w:rFonts w:cs="Arial"/>
                <w:b/>
                <w:bCs/>
                <w:sz w:val="20"/>
                <w:szCs w:val="20"/>
                <w:u w:val="single"/>
              </w:rPr>
              <w:t xml:space="preserve"> – Διαρθρωτικά Προγράμματα και Σχέδια</w:t>
            </w:r>
            <w:r>
              <w:rPr>
                <w:rFonts w:cs="Arial"/>
                <w:b/>
                <w:bCs/>
                <w:sz w:val="20"/>
                <w:szCs w:val="20"/>
                <w:u w:val="single"/>
              </w:rPr>
              <w:t xml:space="preserve"> </w:t>
            </w:r>
            <w:r w:rsidRPr="00086ADB">
              <w:rPr>
                <w:rFonts w:cs="Arial"/>
                <w:b/>
                <w:bCs/>
                <w:sz w:val="20"/>
                <w:szCs w:val="20"/>
                <w:u w:val="single"/>
              </w:rPr>
              <w:t>– €1.103.947</w:t>
            </w:r>
          </w:p>
        </w:tc>
      </w:tr>
      <w:tr w:rsidR="00086ADB" w:rsidRPr="00903F89" w14:paraId="6A3C0501" w14:textId="77777777" w:rsidTr="00B1212B">
        <w:trPr>
          <w:gridAfter w:val="1"/>
          <w:wAfter w:w="168" w:type="dxa"/>
        </w:trPr>
        <w:tc>
          <w:tcPr>
            <w:tcW w:w="10632" w:type="dxa"/>
            <w:gridSpan w:val="9"/>
            <w:shd w:val="clear" w:color="auto" w:fill="auto"/>
          </w:tcPr>
          <w:p w14:paraId="3402CB3F" w14:textId="77777777" w:rsidR="00086ADB" w:rsidRPr="00086ADB" w:rsidRDefault="00086ADB" w:rsidP="00086ADB">
            <w:pPr>
              <w:jc w:val="both"/>
              <w:rPr>
                <w:rFonts w:cs="Arial"/>
                <w:b/>
                <w:bCs/>
                <w:sz w:val="20"/>
                <w:szCs w:val="20"/>
                <w:u w:val="single"/>
              </w:rPr>
            </w:pPr>
          </w:p>
        </w:tc>
      </w:tr>
      <w:tr w:rsidR="00086ADB" w:rsidRPr="00903F89" w14:paraId="11353B65" w14:textId="77777777" w:rsidTr="00B1212B">
        <w:trPr>
          <w:gridAfter w:val="1"/>
          <w:wAfter w:w="168" w:type="dxa"/>
        </w:trPr>
        <w:tc>
          <w:tcPr>
            <w:tcW w:w="10632" w:type="dxa"/>
            <w:gridSpan w:val="9"/>
            <w:shd w:val="clear" w:color="auto" w:fill="auto"/>
          </w:tcPr>
          <w:p w14:paraId="57C3E501" w14:textId="5BA0DD3E" w:rsidR="00086ADB" w:rsidRPr="00086ADB" w:rsidRDefault="00086ADB" w:rsidP="00086ADB">
            <w:pPr>
              <w:jc w:val="both"/>
              <w:rPr>
                <w:rFonts w:cs="Arial"/>
                <w:bCs/>
                <w:sz w:val="20"/>
                <w:szCs w:val="20"/>
              </w:rPr>
            </w:pPr>
            <w:r w:rsidRPr="00086ADB">
              <w:rPr>
                <w:rFonts w:cs="Arial"/>
                <w:bCs/>
                <w:sz w:val="20"/>
                <w:szCs w:val="20"/>
              </w:rPr>
              <w:t>Το παρόν άρθρο (βλ. 504 «Δαπάνες από Χρηματοδοτήσεις Διαρθρωτικών Προγραμμάτων και Σχεδίων» σε Προϋπολογισμούς προηγούμενων ετών), μετονομάζεται  σε «Διαρθρωτικά Προγράμματα και Σχέδια», αριθμείται ως 602 και παρουσιάζεται στην Υποομάδα 601 «Δαπάνες Συγχρηματοδοτούμενες από Κοινοτικούς Πόρους».</w:t>
            </w:r>
          </w:p>
        </w:tc>
      </w:tr>
      <w:tr w:rsidR="00086ADB" w:rsidRPr="00903F89" w14:paraId="62E2E0FF" w14:textId="77777777" w:rsidTr="00B1212B">
        <w:trPr>
          <w:gridAfter w:val="1"/>
          <w:wAfter w:w="168" w:type="dxa"/>
        </w:trPr>
        <w:tc>
          <w:tcPr>
            <w:tcW w:w="10632" w:type="dxa"/>
            <w:gridSpan w:val="9"/>
            <w:shd w:val="clear" w:color="auto" w:fill="auto"/>
          </w:tcPr>
          <w:p w14:paraId="07E12205" w14:textId="77777777" w:rsidR="00086ADB" w:rsidRPr="00086ADB" w:rsidRDefault="00086ADB" w:rsidP="00086ADB">
            <w:pPr>
              <w:jc w:val="both"/>
              <w:rPr>
                <w:rFonts w:cs="Arial"/>
                <w:b/>
                <w:bCs/>
                <w:sz w:val="20"/>
                <w:szCs w:val="20"/>
                <w:u w:val="single"/>
              </w:rPr>
            </w:pPr>
          </w:p>
        </w:tc>
      </w:tr>
      <w:tr w:rsidR="00086ADB" w:rsidRPr="00903F89" w14:paraId="6F50C734" w14:textId="77777777" w:rsidTr="00B1212B">
        <w:trPr>
          <w:gridAfter w:val="1"/>
          <w:wAfter w:w="168" w:type="dxa"/>
        </w:trPr>
        <w:tc>
          <w:tcPr>
            <w:tcW w:w="10632" w:type="dxa"/>
            <w:gridSpan w:val="9"/>
            <w:shd w:val="clear" w:color="auto" w:fill="auto"/>
          </w:tcPr>
          <w:p w14:paraId="4C1F7ED0" w14:textId="36D2D62A" w:rsidR="00086ADB" w:rsidRPr="00086ADB" w:rsidRDefault="00086ADB" w:rsidP="00086ADB">
            <w:pPr>
              <w:jc w:val="both"/>
              <w:rPr>
                <w:rFonts w:cs="Arial"/>
                <w:b/>
                <w:bCs/>
                <w:sz w:val="20"/>
                <w:szCs w:val="20"/>
                <w:u w:val="single"/>
              </w:rPr>
            </w:pPr>
            <w:r w:rsidRPr="00903F89">
              <w:rPr>
                <w:rFonts w:cs="Arial"/>
                <w:sz w:val="20"/>
                <w:szCs w:val="20"/>
              </w:rPr>
              <w:t xml:space="preserve">Η πρόνοια </w:t>
            </w:r>
            <w:r>
              <w:rPr>
                <w:rFonts w:cs="Arial"/>
                <w:sz w:val="20"/>
                <w:szCs w:val="20"/>
              </w:rPr>
              <w:t xml:space="preserve">του άρθρου </w:t>
            </w:r>
            <w:r w:rsidRPr="00903F89">
              <w:rPr>
                <w:rFonts w:cs="Arial"/>
                <w:sz w:val="20"/>
                <w:szCs w:val="20"/>
              </w:rPr>
              <w:t>προορίζεται να καλύψει δαπάνες που προκύπτουν στο πλαίσιο της υλοποίησης των προβλεπόμενων δράσεων (Νομικών Δεσμεύσεων) των έργων:</w:t>
            </w:r>
          </w:p>
        </w:tc>
      </w:tr>
      <w:tr w:rsidR="00086ADB" w:rsidRPr="00903F89" w14:paraId="78F1C1B2" w14:textId="77777777" w:rsidTr="00B1212B">
        <w:trPr>
          <w:gridAfter w:val="1"/>
          <w:wAfter w:w="168" w:type="dxa"/>
        </w:trPr>
        <w:tc>
          <w:tcPr>
            <w:tcW w:w="10632" w:type="dxa"/>
            <w:gridSpan w:val="9"/>
            <w:shd w:val="clear" w:color="auto" w:fill="auto"/>
          </w:tcPr>
          <w:p w14:paraId="5805FE18" w14:textId="44981052" w:rsidR="00086ADB" w:rsidRPr="00086ADB" w:rsidRDefault="00086ADB" w:rsidP="00086ADB">
            <w:pPr>
              <w:jc w:val="both"/>
              <w:rPr>
                <w:rFonts w:cs="Arial"/>
                <w:b/>
                <w:bCs/>
                <w:sz w:val="20"/>
                <w:szCs w:val="20"/>
                <w:u w:val="single"/>
              </w:rPr>
            </w:pPr>
          </w:p>
        </w:tc>
      </w:tr>
      <w:tr w:rsidR="00086ADB" w:rsidRPr="00903F89" w14:paraId="09263468" w14:textId="77777777" w:rsidTr="00B1212B">
        <w:trPr>
          <w:gridAfter w:val="1"/>
          <w:wAfter w:w="168" w:type="dxa"/>
        </w:trPr>
        <w:tc>
          <w:tcPr>
            <w:tcW w:w="10632" w:type="dxa"/>
            <w:gridSpan w:val="9"/>
            <w:tcBorders>
              <w:top w:val="nil"/>
              <w:left w:val="nil"/>
              <w:bottom w:val="nil"/>
              <w:right w:val="nil"/>
            </w:tcBorders>
            <w:shd w:val="clear" w:color="auto" w:fill="auto"/>
          </w:tcPr>
          <w:p w14:paraId="74AC181E" w14:textId="77D65363" w:rsidR="00086ADB" w:rsidRPr="00086ADB" w:rsidRDefault="00086ADB" w:rsidP="00086ADB">
            <w:pPr>
              <w:jc w:val="both"/>
              <w:rPr>
                <w:rFonts w:cs="Arial"/>
                <w:b/>
                <w:bCs/>
                <w:sz w:val="20"/>
                <w:szCs w:val="20"/>
                <w:u w:val="single"/>
              </w:rPr>
            </w:pPr>
            <w:r w:rsidRPr="00903F89">
              <w:rPr>
                <w:rFonts w:cs="Arial"/>
                <w:sz w:val="20"/>
                <w:szCs w:val="20"/>
                <w:shd w:val="clear" w:color="auto" w:fill="FFFFFF"/>
                <w:lang w:eastAsia="en-US"/>
              </w:rPr>
              <w:t>(α) «Γραφεία Διασύνδεσης Πανεπιστημίων με την αγορά εργασίας» ως συνέχεια του Έργου «Ανάπτυξη και Λειτουργία Γραφείων Διασύνδεσης με τον Επιχειρηματικό Κόσμο στα Πανεπιστήμια που Λειτουργούν στην Κυπριακή Δημοκρατία» (το οποίο συγχρηματοδοτείται από το Ευρωπαϊκό Κοινωνικό Ταμείο), του οποίου οι δαπάνες θα χρηματοδοτηθούν κατά το 15% ως η συγχρηματοδότηση του Πανεπιστημίου Κύπρου, ενώ το υπόλοιπο 85% θα χρηματοδοτηθεί από την Κυπριακή Δημοκρατία ως άλλες εισπράξεις εκτός της κρατικής χορηγίας σύμφωνα με οδηγίες της Διαχειριστικής Αρχής</w:t>
            </w:r>
            <w:r w:rsidRPr="00903F89">
              <w:rPr>
                <w:rFonts w:cs="Arial"/>
                <w:sz w:val="20"/>
                <w:szCs w:val="20"/>
                <w:lang w:eastAsia="en-US"/>
              </w:rPr>
              <w:t xml:space="preserve"> (</w:t>
            </w:r>
            <w:r w:rsidRPr="00903F89">
              <w:rPr>
                <w:rFonts w:cs="Arial"/>
                <w:iCs/>
                <w:sz w:val="20"/>
                <w:szCs w:val="20"/>
                <w:lang w:eastAsia="en-US"/>
              </w:rPr>
              <w:t>Γενική Διεύθυνση Ευρωπαϊκών Προγραμμάτων, Συντονισμού και Ανάπτυξης</w:t>
            </w:r>
            <w:r w:rsidRPr="00903F89">
              <w:rPr>
                <w:rFonts w:cs="Arial"/>
                <w:sz w:val="20"/>
                <w:szCs w:val="20"/>
                <w:lang w:eastAsia="en-US"/>
              </w:rPr>
              <w:t>)</w:t>
            </w:r>
            <w:r w:rsidRPr="00903F89">
              <w:rPr>
                <w:rFonts w:cs="Arial"/>
                <w:sz w:val="20"/>
                <w:szCs w:val="20"/>
              </w:rPr>
              <w:t>, και</w:t>
            </w:r>
          </w:p>
        </w:tc>
      </w:tr>
      <w:tr w:rsidR="00086ADB" w:rsidRPr="00903F89" w14:paraId="4D809F34" w14:textId="77777777" w:rsidTr="00B1212B">
        <w:trPr>
          <w:gridAfter w:val="1"/>
          <w:wAfter w:w="168" w:type="dxa"/>
        </w:trPr>
        <w:tc>
          <w:tcPr>
            <w:tcW w:w="10632" w:type="dxa"/>
            <w:gridSpan w:val="9"/>
            <w:tcBorders>
              <w:top w:val="nil"/>
              <w:left w:val="nil"/>
              <w:bottom w:val="nil"/>
              <w:right w:val="nil"/>
            </w:tcBorders>
            <w:shd w:val="clear" w:color="auto" w:fill="auto"/>
          </w:tcPr>
          <w:p w14:paraId="1312A640" w14:textId="77777777" w:rsidR="00086ADB" w:rsidRPr="00086ADB" w:rsidRDefault="00086ADB" w:rsidP="00086ADB">
            <w:pPr>
              <w:jc w:val="both"/>
              <w:rPr>
                <w:rFonts w:cs="Arial"/>
                <w:b/>
                <w:bCs/>
                <w:sz w:val="20"/>
                <w:szCs w:val="20"/>
                <w:u w:val="single"/>
              </w:rPr>
            </w:pPr>
          </w:p>
        </w:tc>
      </w:tr>
      <w:tr w:rsidR="00086ADB" w:rsidRPr="00903F89" w14:paraId="4F1DD1AE" w14:textId="77777777" w:rsidTr="00B1212B">
        <w:trPr>
          <w:gridAfter w:val="1"/>
          <w:wAfter w:w="168" w:type="dxa"/>
        </w:trPr>
        <w:tc>
          <w:tcPr>
            <w:tcW w:w="10632" w:type="dxa"/>
            <w:gridSpan w:val="9"/>
            <w:tcBorders>
              <w:top w:val="nil"/>
              <w:left w:val="nil"/>
              <w:bottom w:val="nil"/>
              <w:right w:val="nil"/>
            </w:tcBorders>
            <w:shd w:val="clear" w:color="auto" w:fill="auto"/>
          </w:tcPr>
          <w:p w14:paraId="53571718" w14:textId="7449E9FC" w:rsidR="00086ADB" w:rsidRPr="00086ADB" w:rsidRDefault="00086ADB" w:rsidP="00086ADB">
            <w:pPr>
              <w:jc w:val="both"/>
              <w:rPr>
                <w:rFonts w:cs="Arial"/>
                <w:b/>
                <w:bCs/>
                <w:sz w:val="20"/>
                <w:szCs w:val="20"/>
                <w:u w:val="single"/>
              </w:rPr>
            </w:pPr>
            <w:r w:rsidRPr="00903F89">
              <w:rPr>
                <w:rFonts w:cs="Arial"/>
                <w:sz w:val="20"/>
                <w:szCs w:val="20"/>
              </w:rPr>
              <w:t>(β) «Δημιουργία και Λειτουργία δικτύου μεταξύ επιστημόνων και αλιέων» του Επιχειρησιακού Προγράμματος «Θάλασσα» (το οποίο συγχρηματοδοτείται από το Ευρωπαϊκό Ταμείο Θάλασσας και Αλιείας) του οποίου οι δαπάνες θα χρηματοδοτηθούν κατά το 25% ως η συγχρηματοδότηση του Πανεπιστημίου Κύπρου, ενώ το υπόλοιπο 75% θα χρηματοδοτηθεί από την Κυπριακή Δημοκρατία ως άλλες εισπράξεις εκτός της κρατικής χορηγίας σύμφωνα με οδηγίες της Διαχειριστικής Αρχής (Τμήμα Αλιείας και Θαλάσσιων Ερευνών).</w:t>
            </w:r>
          </w:p>
        </w:tc>
      </w:tr>
      <w:tr w:rsidR="00086ADB" w:rsidRPr="00903F89" w14:paraId="009C328D" w14:textId="77777777" w:rsidTr="00B1212B">
        <w:trPr>
          <w:gridAfter w:val="1"/>
          <w:wAfter w:w="168" w:type="dxa"/>
        </w:trPr>
        <w:tc>
          <w:tcPr>
            <w:tcW w:w="10632" w:type="dxa"/>
            <w:gridSpan w:val="9"/>
            <w:shd w:val="clear" w:color="auto" w:fill="auto"/>
          </w:tcPr>
          <w:p w14:paraId="4ECF4523" w14:textId="77777777" w:rsidR="00086ADB" w:rsidRPr="00086ADB" w:rsidRDefault="00086ADB" w:rsidP="00086ADB">
            <w:pPr>
              <w:jc w:val="both"/>
              <w:rPr>
                <w:rFonts w:cs="Arial"/>
                <w:b/>
                <w:bCs/>
                <w:sz w:val="20"/>
                <w:szCs w:val="20"/>
                <w:u w:val="single"/>
              </w:rPr>
            </w:pPr>
          </w:p>
        </w:tc>
      </w:tr>
      <w:tr w:rsidR="00903F89" w:rsidRPr="00903F89" w14:paraId="48DC9677" w14:textId="77777777" w:rsidTr="00B1212B">
        <w:trPr>
          <w:gridAfter w:val="1"/>
          <w:wAfter w:w="168" w:type="dxa"/>
        </w:trPr>
        <w:tc>
          <w:tcPr>
            <w:tcW w:w="10632" w:type="dxa"/>
            <w:gridSpan w:val="9"/>
            <w:shd w:val="clear" w:color="auto" w:fill="auto"/>
          </w:tcPr>
          <w:p w14:paraId="768AE0BC" w14:textId="399ACF88" w:rsidR="00E14446" w:rsidRPr="00F24983" w:rsidRDefault="00F24983" w:rsidP="00903F89">
            <w:pPr>
              <w:jc w:val="both"/>
              <w:rPr>
                <w:rFonts w:eastAsia="Arial" w:cs="Arial"/>
                <w:sz w:val="20"/>
                <w:szCs w:val="20"/>
                <w:u w:val="single"/>
              </w:rPr>
            </w:pPr>
            <w:r w:rsidRPr="00086ADB">
              <w:rPr>
                <w:rFonts w:cs="Arial"/>
                <w:b/>
                <w:bCs/>
                <w:sz w:val="20"/>
                <w:szCs w:val="20"/>
                <w:u w:val="single"/>
              </w:rPr>
              <w:t>Άρθρο</w:t>
            </w:r>
            <w:r w:rsidRPr="00F24983">
              <w:rPr>
                <w:rFonts w:cs="Arial"/>
                <w:b/>
                <w:bCs/>
                <w:sz w:val="20"/>
                <w:szCs w:val="20"/>
                <w:u w:val="single"/>
              </w:rPr>
              <w:t xml:space="preserve"> 603 </w:t>
            </w:r>
            <w:r w:rsidR="00662012" w:rsidRPr="00F24983">
              <w:rPr>
                <w:rFonts w:eastAsia="Arial" w:cs="Arial"/>
                <w:b/>
                <w:bCs/>
                <w:sz w:val="20"/>
                <w:szCs w:val="20"/>
                <w:u w:val="single"/>
              </w:rPr>
              <w:t xml:space="preserve">– </w:t>
            </w:r>
            <w:r w:rsidRPr="00F24983">
              <w:rPr>
                <w:rFonts w:eastAsia="Arial" w:cs="Arial"/>
                <w:b/>
                <w:bCs/>
                <w:sz w:val="20"/>
                <w:szCs w:val="20"/>
                <w:u w:val="single"/>
              </w:rPr>
              <w:t xml:space="preserve">Έργα και Σχέδια Συγχρηματοδοτούμενα από Κοινοτικούς Πόρους (Θεσμική Χρηματοδότηση για την Αναβάθμιση του ΚΟΙΟΣ) </w:t>
            </w:r>
            <w:r w:rsidR="00662012" w:rsidRPr="00F24983">
              <w:rPr>
                <w:rFonts w:cs="Arial"/>
                <w:b/>
                <w:bCs/>
                <w:sz w:val="20"/>
                <w:szCs w:val="20"/>
                <w:u w:val="single"/>
              </w:rPr>
              <w:t>– €1.830.000</w:t>
            </w:r>
          </w:p>
        </w:tc>
      </w:tr>
      <w:tr w:rsidR="00903F89" w:rsidRPr="00903F89" w14:paraId="5A12FF2E" w14:textId="77777777" w:rsidTr="00B1212B">
        <w:trPr>
          <w:gridAfter w:val="1"/>
          <w:wAfter w:w="168" w:type="dxa"/>
        </w:trPr>
        <w:tc>
          <w:tcPr>
            <w:tcW w:w="10632" w:type="dxa"/>
            <w:gridSpan w:val="9"/>
            <w:shd w:val="clear" w:color="auto" w:fill="auto"/>
          </w:tcPr>
          <w:p w14:paraId="64DBA9EE" w14:textId="77777777" w:rsidR="00E14446" w:rsidRPr="00903F89" w:rsidRDefault="00E14446" w:rsidP="00903F89">
            <w:pPr>
              <w:jc w:val="both"/>
              <w:rPr>
                <w:rFonts w:cs="Arial"/>
                <w:sz w:val="20"/>
                <w:szCs w:val="20"/>
              </w:rPr>
            </w:pPr>
          </w:p>
        </w:tc>
      </w:tr>
      <w:tr w:rsidR="00F24983" w:rsidRPr="00903F89" w14:paraId="51D98149" w14:textId="77777777" w:rsidTr="00B1212B">
        <w:trPr>
          <w:gridAfter w:val="1"/>
          <w:wAfter w:w="168" w:type="dxa"/>
        </w:trPr>
        <w:tc>
          <w:tcPr>
            <w:tcW w:w="10632" w:type="dxa"/>
            <w:gridSpan w:val="9"/>
            <w:shd w:val="clear" w:color="auto" w:fill="auto"/>
          </w:tcPr>
          <w:p w14:paraId="49014C50" w14:textId="61179522" w:rsidR="00F24983" w:rsidRPr="00903F89" w:rsidRDefault="00F24983" w:rsidP="00903F89">
            <w:pPr>
              <w:jc w:val="both"/>
              <w:rPr>
                <w:rFonts w:cs="Arial"/>
                <w:sz w:val="20"/>
                <w:szCs w:val="20"/>
              </w:rPr>
            </w:pPr>
            <w:r w:rsidRPr="00F24983">
              <w:rPr>
                <w:rFonts w:cs="Arial"/>
                <w:sz w:val="20"/>
                <w:szCs w:val="20"/>
              </w:rPr>
              <w:t>Το παρόν άρθρο (βλ. 506 «Δαπάνες από Έσοδα για Έργα και Σχέδια Συγχρηματοδοτούμενα από Κοινοτικούς Πόρους (Θεσμική Χρηματοδότηση για την αναβάθμιση του ΚΟΙΟΣ» σε Προϋπολογισμούς προηγούμενων ετών), μετονομάζεται  σε «Έργα και Σχέδια Συγχρηματοδοτούμενα από Κοινοτικούς Πόρους (Θεσμική Χρηματοδότηση για την Αναβάθμιση του ΚΟΙΟΣ)», αριθμείται ως 603 και παρουσιάζεται στην Υποομάδα 601 «Δαπάνες Συγχρηματοδοτούμενες από Κοινοτικούς Πόρους».</w:t>
            </w:r>
          </w:p>
        </w:tc>
      </w:tr>
      <w:tr w:rsidR="00903F89" w:rsidRPr="00903F89" w14:paraId="00446BCD" w14:textId="77777777" w:rsidTr="00B1212B">
        <w:trPr>
          <w:gridAfter w:val="1"/>
          <w:wAfter w:w="168" w:type="dxa"/>
        </w:trPr>
        <w:tc>
          <w:tcPr>
            <w:tcW w:w="10632" w:type="dxa"/>
            <w:gridSpan w:val="9"/>
            <w:shd w:val="clear" w:color="auto" w:fill="auto"/>
          </w:tcPr>
          <w:p w14:paraId="144D9B1D" w14:textId="686F4809" w:rsidR="00E14446" w:rsidRPr="00903F89" w:rsidRDefault="00E14446" w:rsidP="00903F89">
            <w:pPr>
              <w:jc w:val="both"/>
              <w:rPr>
                <w:rFonts w:eastAsia="Arial" w:cs="Arial"/>
                <w:sz w:val="20"/>
                <w:szCs w:val="20"/>
              </w:rPr>
            </w:pPr>
          </w:p>
        </w:tc>
      </w:tr>
      <w:tr w:rsidR="00F24983" w:rsidRPr="00903F89" w14:paraId="56FA6A88" w14:textId="77777777" w:rsidTr="00B1212B">
        <w:trPr>
          <w:gridAfter w:val="1"/>
          <w:wAfter w:w="168" w:type="dxa"/>
        </w:trPr>
        <w:tc>
          <w:tcPr>
            <w:tcW w:w="10632" w:type="dxa"/>
            <w:gridSpan w:val="9"/>
            <w:shd w:val="clear" w:color="auto" w:fill="auto"/>
          </w:tcPr>
          <w:p w14:paraId="4781BB47" w14:textId="68E2B0EF" w:rsidR="00F24983" w:rsidRPr="00903F89" w:rsidRDefault="00F24983" w:rsidP="00903F89">
            <w:pPr>
              <w:jc w:val="both"/>
              <w:rPr>
                <w:rFonts w:cs="Arial"/>
                <w:sz w:val="20"/>
                <w:szCs w:val="20"/>
              </w:rPr>
            </w:pPr>
            <w:r w:rsidRPr="00903F89">
              <w:rPr>
                <w:rFonts w:cs="Arial"/>
                <w:sz w:val="20"/>
                <w:szCs w:val="20"/>
              </w:rPr>
              <w:t xml:space="preserve">Η πρόνοια </w:t>
            </w:r>
            <w:r>
              <w:rPr>
                <w:rFonts w:cs="Arial"/>
                <w:sz w:val="20"/>
                <w:szCs w:val="20"/>
              </w:rPr>
              <w:t>του άρθρου</w:t>
            </w:r>
            <w:r w:rsidRPr="00903F89">
              <w:rPr>
                <w:rFonts w:cs="Arial"/>
                <w:sz w:val="20"/>
                <w:szCs w:val="20"/>
              </w:rPr>
              <w:t xml:space="preserve"> θα καλύψει δαπάνες που θα διενεργηθούν έναντι της είσπραξης που αναμένεται ως η θεσμική χρηματοδότηση (από Υφυπουργείο Έρευνας, Καινοτομίας και Ψηφιακής Πολιτικής)</w:t>
            </w:r>
            <w:r>
              <w:rPr>
                <w:rFonts w:cs="Arial"/>
                <w:sz w:val="20"/>
                <w:szCs w:val="20"/>
              </w:rPr>
              <w:t>.</w:t>
            </w:r>
          </w:p>
        </w:tc>
      </w:tr>
    </w:tbl>
    <w:p w14:paraId="371154AC" w14:textId="77777777" w:rsidR="0080248F" w:rsidRDefault="0080248F">
      <w:r>
        <w:br w:type="page"/>
      </w:r>
    </w:p>
    <w:tbl>
      <w:tblPr>
        <w:tblStyle w:val="TableGrid"/>
        <w:tblpPr w:leftFromText="180" w:rightFromText="180" w:vertAnchor="text"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903F89" w:rsidRPr="00903F89" w14:paraId="6399B022" w14:textId="77777777" w:rsidTr="0080248F">
        <w:tc>
          <w:tcPr>
            <w:tcW w:w="10632" w:type="dxa"/>
            <w:shd w:val="clear" w:color="auto" w:fill="auto"/>
          </w:tcPr>
          <w:p w14:paraId="2D81B216" w14:textId="19D52494" w:rsidR="002E59DD" w:rsidRPr="00903F89" w:rsidRDefault="00F24983" w:rsidP="00903F89">
            <w:pPr>
              <w:jc w:val="both"/>
              <w:rPr>
                <w:rFonts w:cs="Arial"/>
                <w:sz w:val="20"/>
                <w:szCs w:val="20"/>
                <w:u w:val="double"/>
              </w:rPr>
            </w:pPr>
            <w:bookmarkStart w:id="63" w:name="_Hlk86757538"/>
            <w:r w:rsidRPr="00086ADB">
              <w:rPr>
                <w:rFonts w:cs="Arial"/>
                <w:b/>
                <w:bCs/>
                <w:sz w:val="20"/>
                <w:szCs w:val="20"/>
                <w:u w:val="single"/>
              </w:rPr>
              <w:t>Άρθρο</w:t>
            </w:r>
            <w:r w:rsidRPr="00F24983">
              <w:rPr>
                <w:rFonts w:cs="Arial"/>
                <w:b/>
                <w:bCs/>
                <w:sz w:val="20"/>
                <w:szCs w:val="20"/>
                <w:u w:val="single"/>
              </w:rPr>
              <w:t xml:space="preserve"> 604 </w:t>
            </w:r>
            <w:r w:rsidRPr="00F24983">
              <w:rPr>
                <w:rFonts w:eastAsia="Arial" w:cs="Arial"/>
                <w:b/>
                <w:bCs/>
                <w:sz w:val="20"/>
                <w:szCs w:val="20"/>
                <w:u w:val="single"/>
              </w:rPr>
              <w:t xml:space="preserve">– Έργα και Σχέδια Συγχρηματοδοτούμενα από Κοινοτικούς Πόρους (Θεσμική Χρηματοδότηση για Έργο BIOBANK - Biobanking and the Cyprus Human Genome Project) </w:t>
            </w:r>
            <w:r w:rsidR="00662012" w:rsidRPr="00F24983">
              <w:rPr>
                <w:rFonts w:eastAsia="Arial" w:cs="Arial"/>
                <w:b/>
                <w:bCs/>
                <w:sz w:val="20"/>
                <w:szCs w:val="20"/>
                <w:u w:val="single"/>
                <w:shd w:val="clear" w:color="auto" w:fill="FFFFFF" w:themeFill="background1"/>
              </w:rPr>
              <w:t>–</w:t>
            </w:r>
            <w:r w:rsidR="00662012" w:rsidRPr="00F24983">
              <w:rPr>
                <w:rFonts w:cs="Arial"/>
                <w:b/>
                <w:bCs/>
                <w:sz w:val="20"/>
                <w:szCs w:val="20"/>
                <w:u w:val="single"/>
                <w:shd w:val="clear" w:color="auto" w:fill="FFFFFF" w:themeFill="background1"/>
              </w:rPr>
              <w:t xml:space="preserve"> €1.000.000</w:t>
            </w:r>
          </w:p>
        </w:tc>
      </w:tr>
      <w:tr w:rsidR="00903F89" w:rsidRPr="00903F89" w14:paraId="127A9C29" w14:textId="77777777" w:rsidTr="0080248F">
        <w:tc>
          <w:tcPr>
            <w:tcW w:w="10632" w:type="dxa"/>
            <w:shd w:val="clear" w:color="auto" w:fill="auto"/>
          </w:tcPr>
          <w:p w14:paraId="3A560E97" w14:textId="77777777" w:rsidR="002E59DD" w:rsidRPr="00903F89" w:rsidRDefault="002E59DD" w:rsidP="00903F89">
            <w:pPr>
              <w:jc w:val="both"/>
              <w:rPr>
                <w:rFonts w:cs="Arial"/>
                <w:sz w:val="20"/>
                <w:szCs w:val="20"/>
              </w:rPr>
            </w:pPr>
          </w:p>
        </w:tc>
      </w:tr>
      <w:tr w:rsidR="00F24983" w:rsidRPr="00903F89" w14:paraId="3C0E6444" w14:textId="77777777" w:rsidTr="0080248F">
        <w:tc>
          <w:tcPr>
            <w:tcW w:w="10632" w:type="dxa"/>
            <w:shd w:val="clear" w:color="auto" w:fill="auto"/>
          </w:tcPr>
          <w:p w14:paraId="6D0A37DF" w14:textId="266105BA" w:rsidR="00F24983" w:rsidRPr="00903F89" w:rsidRDefault="00F24983" w:rsidP="00903F89">
            <w:pPr>
              <w:jc w:val="both"/>
              <w:rPr>
                <w:rFonts w:cs="Arial"/>
                <w:sz w:val="20"/>
                <w:szCs w:val="20"/>
              </w:rPr>
            </w:pPr>
            <w:r w:rsidRPr="00F24983">
              <w:rPr>
                <w:rFonts w:cs="Arial"/>
                <w:sz w:val="20"/>
                <w:szCs w:val="20"/>
              </w:rPr>
              <w:t>Το παρόν άρθρο (βλ. 507 «Δαπάνες από Έσοδα για Έργα και Σχέδια Συγχρηματοδοτούμενα από Κοινοτικούς Πόρους (Θεσμική Χρηματοδότηση για Έργο BIOBANK - Biobanking and the Cyprus Human Genome Project» σε Προϋπολογισμούς προηγούμενων ετών), μετονομάζεται  σε «Έργα και Σχέδια Συγχρηματοδοτούμενα από Κοινοτικούς Πόρους (Θεσμική Χρηματοδότηση για Έργο BIOBANK - Biobanking and the Cyprus Human Genome Project)»,  αριθμείται ως 604 και παρουσιάζεται στην Υποομάδα 601 «Δαπάνες Συγχρηματοδοτούμενες από Κοινοτικούς Πόρους».</w:t>
            </w:r>
          </w:p>
        </w:tc>
      </w:tr>
      <w:tr w:rsidR="00F24983" w:rsidRPr="00903F89" w14:paraId="1A2C1B95" w14:textId="77777777" w:rsidTr="0080248F">
        <w:tc>
          <w:tcPr>
            <w:tcW w:w="10632" w:type="dxa"/>
            <w:shd w:val="clear" w:color="auto" w:fill="auto"/>
          </w:tcPr>
          <w:p w14:paraId="66926B52" w14:textId="77777777" w:rsidR="00F24983" w:rsidRPr="00903F89" w:rsidRDefault="00F24983" w:rsidP="00903F89">
            <w:pPr>
              <w:jc w:val="both"/>
              <w:rPr>
                <w:rFonts w:cs="Arial"/>
                <w:sz w:val="20"/>
                <w:szCs w:val="20"/>
              </w:rPr>
            </w:pPr>
          </w:p>
        </w:tc>
      </w:tr>
      <w:tr w:rsidR="00903F89" w:rsidRPr="00903F89" w14:paraId="352F8DDC" w14:textId="77777777" w:rsidTr="0080248F">
        <w:tc>
          <w:tcPr>
            <w:tcW w:w="10632" w:type="dxa"/>
            <w:shd w:val="clear" w:color="auto" w:fill="auto"/>
          </w:tcPr>
          <w:p w14:paraId="7BDBAAAC" w14:textId="1D87107D" w:rsidR="00421A71" w:rsidRPr="00903F89" w:rsidRDefault="00AE7D32" w:rsidP="00903F89">
            <w:pPr>
              <w:jc w:val="both"/>
              <w:rPr>
                <w:rFonts w:eastAsia="Arial" w:cs="Arial"/>
                <w:strike/>
                <w:sz w:val="20"/>
                <w:szCs w:val="20"/>
              </w:rPr>
            </w:pPr>
            <w:bookmarkStart w:id="64" w:name="_Hlk86757059"/>
            <w:r w:rsidRPr="00903F89">
              <w:rPr>
                <w:rFonts w:cs="Arial"/>
                <w:sz w:val="20"/>
                <w:szCs w:val="20"/>
              </w:rPr>
              <w:t xml:space="preserve">Η πρόνοια </w:t>
            </w:r>
            <w:r w:rsidR="00C7404B">
              <w:rPr>
                <w:rFonts w:cs="Arial"/>
                <w:sz w:val="20"/>
                <w:szCs w:val="20"/>
              </w:rPr>
              <w:t>του άρθρου</w:t>
            </w:r>
            <w:r w:rsidRPr="00903F89">
              <w:rPr>
                <w:rFonts w:cs="Arial"/>
                <w:sz w:val="20"/>
                <w:szCs w:val="20"/>
              </w:rPr>
              <w:t xml:space="preserve"> </w:t>
            </w:r>
            <w:r w:rsidR="008E6FD4" w:rsidRPr="00903F89">
              <w:rPr>
                <w:rFonts w:cs="Arial"/>
                <w:sz w:val="20"/>
                <w:szCs w:val="20"/>
              </w:rPr>
              <w:t>δύναται να καλύψει δαπάνες που θα διενεργηθούν έναντι της είσπραξης που αναμένεται ως η θεσμική χρηματοδότηση (από Υφυπουργείο Έρευνας, Καινοτομίας και Ψηφιακής Πολιτικής)</w:t>
            </w:r>
            <w:r w:rsidR="00F24983">
              <w:rPr>
                <w:rFonts w:cs="Arial"/>
                <w:sz w:val="20"/>
                <w:szCs w:val="20"/>
              </w:rPr>
              <w:t>.</w:t>
            </w:r>
            <w:bookmarkEnd w:id="64"/>
          </w:p>
        </w:tc>
      </w:tr>
      <w:bookmarkEnd w:id="63"/>
      <w:tr w:rsidR="00903F89" w:rsidRPr="00903F89" w14:paraId="21603FAC" w14:textId="77777777" w:rsidTr="0080248F">
        <w:tc>
          <w:tcPr>
            <w:tcW w:w="10632" w:type="dxa"/>
            <w:shd w:val="clear" w:color="auto" w:fill="auto"/>
          </w:tcPr>
          <w:p w14:paraId="47805596" w14:textId="77777777" w:rsidR="002E59DD" w:rsidRPr="00903F89" w:rsidRDefault="002E59DD" w:rsidP="00903F89">
            <w:pPr>
              <w:jc w:val="both"/>
              <w:rPr>
                <w:rFonts w:eastAsia="Arial" w:cs="Arial"/>
                <w:sz w:val="20"/>
                <w:szCs w:val="20"/>
              </w:rPr>
            </w:pPr>
          </w:p>
        </w:tc>
      </w:tr>
      <w:tr w:rsidR="00903F89" w:rsidRPr="00903F89" w14:paraId="01189DD6" w14:textId="77777777" w:rsidTr="0080248F">
        <w:tc>
          <w:tcPr>
            <w:tcW w:w="10632" w:type="dxa"/>
            <w:shd w:val="clear" w:color="auto" w:fill="auto"/>
          </w:tcPr>
          <w:p w14:paraId="0C9D1418" w14:textId="5245068A" w:rsidR="000543D5" w:rsidRPr="001916D4" w:rsidRDefault="00F24983" w:rsidP="00903F89">
            <w:pPr>
              <w:jc w:val="both"/>
              <w:rPr>
                <w:rFonts w:cs="Arial"/>
                <w:b/>
                <w:bCs/>
                <w:sz w:val="20"/>
                <w:szCs w:val="20"/>
                <w:u w:val="single"/>
              </w:rPr>
            </w:pPr>
            <w:r w:rsidRPr="00F24983">
              <w:rPr>
                <w:rFonts w:cs="Arial"/>
                <w:b/>
                <w:bCs/>
                <w:sz w:val="20"/>
                <w:szCs w:val="20"/>
                <w:u w:val="single"/>
              </w:rPr>
              <w:t xml:space="preserve">Άρθρο 605 </w:t>
            </w:r>
            <w:r w:rsidRPr="00F24983">
              <w:rPr>
                <w:rFonts w:eastAsia="Arial" w:cs="Arial"/>
                <w:b/>
                <w:bCs/>
                <w:sz w:val="20"/>
                <w:szCs w:val="20"/>
                <w:u w:val="single"/>
              </w:rPr>
              <w:t>–</w:t>
            </w:r>
            <w:r w:rsidRPr="00F24983">
              <w:rPr>
                <w:u w:val="single"/>
              </w:rPr>
              <w:t xml:space="preserve"> </w:t>
            </w:r>
            <w:r w:rsidRPr="00F24983">
              <w:rPr>
                <w:rFonts w:eastAsia="Arial" w:cs="Arial"/>
                <w:b/>
                <w:bCs/>
                <w:sz w:val="20"/>
                <w:szCs w:val="20"/>
                <w:u w:val="single"/>
              </w:rPr>
              <w:t>Έργο Χρηματοδοτούμενο από το Σχέδιο Ανάκαμψης και Ανθεκτικότητας Κύπρου - Ανακαίνιση και Αντισεισμική Αναβάθμιση Γυμνάσιου Φανερωμένης</w:t>
            </w:r>
            <w:r w:rsidR="000543D5" w:rsidRPr="001916D4">
              <w:rPr>
                <w:rFonts w:eastAsia="Arial" w:cs="Arial"/>
                <w:b/>
                <w:bCs/>
                <w:sz w:val="20"/>
                <w:szCs w:val="20"/>
                <w:u w:val="single"/>
              </w:rPr>
              <w:t>– €</w:t>
            </w:r>
            <w:r w:rsidR="001916D4" w:rsidRPr="001916D4">
              <w:rPr>
                <w:rFonts w:eastAsia="Arial" w:cs="Arial"/>
                <w:b/>
                <w:bCs/>
                <w:sz w:val="20"/>
                <w:szCs w:val="20"/>
                <w:u w:val="single"/>
              </w:rPr>
              <w:t>196.200</w:t>
            </w:r>
          </w:p>
        </w:tc>
      </w:tr>
      <w:tr w:rsidR="001916D4" w:rsidRPr="00903F89" w14:paraId="5F3DC826" w14:textId="77777777" w:rsidTr="0080248F">
        <w:tc>
          <w:tcPr>
            <w:tcW w:w="10632" w:type="dxa"/>
            <w:shd w:val="clear" w:color="auto" w:fill="auto"/>
          </w:tcPr>
          <w:p w14:paraId="7A1DAB33" w14:textId="77777777" w:rsidR="001916D4" w:rsidRPr="00F24983" w:rsidRDefault="001916D4" w:rsidP="00903F89">
            <w:pPr>
              <w:jc w:val="both"/>
              <w:rPr>
                <w:rFonts w:cs="Arial"/>
                <w:b/>
                <w:bCs/>
                <w:sz w:val="20"/>
                <w:szCs w:val="20"/>
                <w:u w:val="single"/>
              </w:rPr>
            </w:pPr>
          </w:p>
        </w:tc>
      </w:tr>
      <w:tr w:rsidR="001916D4" w:rsidRPr="00903F89" w14:paraId="7AC2AF58" w14:textId="77777777" w:rsidTr="0080248F">
        <w:tc>
          <w:tcPr>
            <w:tcW w:w="10632" w:type="dxa"/>
            <w:shd w:val="clear" w:color="auto" w:fill="auto"/>
          </w:tcPr>
          <w:p w14:paraId="2CCACA61" w14:textId="00EEBEAD" w:rsidR="001916D4" w:rsidRPr="00903F89" w:rsidRDefault="001916D4" w:rsidP="001916D4">
            <w:pPr>
              <w:jc w:val="both"/>
              <w:rPr>
                <w:rFonts w:cs="Arial"/>
                <w:b/>
                <w:sz w:val="20"/>
                <w:szCs w:val="20"/>
                <w:u w:val="single"/>
              </w:rPr>
            </w:pPr>
            <w:r w:rsidRPr="001916D4">
              <w:rPr>
                <w:rFonts w:cs="Arial"/>
                <w:sz w:val="20"/>
                <w:szCs w:val="20"/>
              </w:rPr>
              <w:t xml:space="preserve">Δημιουργία νέου </w:t>
            </w:r>
            <w:r w:rsidR="00614B7B">
              <w:rPr>
                <w:rFonts w:cs="Arial"/>
                <w:sz w:val="20"/>
                <w:szCs w:val="20"/>
              </w:rPr>
              <w:t>ά</w:t>
            </w:r>
            <w:r w:rsidRPr="001916D4">
              <w:rPr>
                <w:rFonts w:cs="Arial"/>
                <w:sz w:val="20"/>
                <w:szCs w:val="20"/>
              </w:rPr>
              <w:t>ρθρου με την ονομασία «Έργο Χρηματοδοτούμενο από το Σχέδιο Ανάκαμψης και Ανθεκτικότητας Κύπρου - Ανακαίνιση και Αντισεισμική Αναβάθμιση Γυμνάσιου Φανερωμένης».</w:t>
            </w:r>
          </w:p>
        </w:tc>
      </w:tr>
      <w:tr w:rsidR="001916D4" w:rsidRPr="00903F89" w14:paraId="097E9CD4" w14:textId="77777777" w:rsidTr="0080248F">
        <w:tc>
          <w:tcPr>
            <w:tcW w:w="10632" w:type="dxa"/>
            <w:shd w:val="clear" w:color="auto" w:fill="auto"/>
          </w:tcPr>
          <w:p w14:paraId="5416CB35" w14:textId="77777777" w:rsidR="001916D4" w:rsidRPr="001916D4" w:rsidRDefault="001916D4" w:rsidP="001916D4">
            <w:pPr>
              <w:jc w:val="both"/>
              <w:rPr>
                <w:rFonts w:cs="Arial"/>
                <w:sz w:val="20"/>
                <w:szCs w:val="20"/>
              </w:rPr>
            </w:pPr>
          </w:p>
        </w:tc>
      </w:tr>
      <w:tr w:rsidR="001916D4" w:rsidRPr="00903F89" w14:paraId="047ADB13" w14:textId="77777777" w:rsidTr="0080248F">
        <w:tc>
          <w:tcPr>
            <w:tcW w:w="10632" w:type="dxa"/>
            <w:tcBorders>
              <w:top w:val="nil"/>
              <w:left w:val="nil"/>
              <w:bottom w:val="nil"/>
              <w:right w:val="nil"/>
            </w:tcBorders>
            <w:shd w:val="clear" w:color="auto" w:fill="auto"/>
          </w:tcPr>
          <w:p w14:paraId="0AE168B7" w14:textId="75C276FE" w:rsidR="001916D4" w:rsidRPr="001916D4" w:rsidRDefault="001916D4" w:rsidP="001916D4">
            <w:pPr>
              <w:jc w:val="both"/>
              <w:rPr>
                <w:rFonts w:cs="Arial"/>
                <w:sz w:val="20"/>
                <w:szCs w:val="20"/>
              </w:rPr>
            </w:pPr>
            <w:r w:rsidRPr="00903F89">
              <w:rPr>
                <w:rFonts w:cs="Arial"/>
                <w:sz w:val="20"/>
                <w:szCs w:val="20"/>
              </w:rPr>
              <w:t xml:space="preserve">Η πρόνοια </w:t>
            </w:r>
            <w:r w:rsidR="00C7404B">
              <w:rPr>
                <w:rFonts w:cs="Arial"/>
                <w:sz w:val="20"/>
                <w:szCs w:val="20"/>
              </w:rPr>
              <w:t xml:space="preserve">του </w:t>
            </w:r>
            <w:r w:rsidR="00614B7B">
              <w:rPr>
                <w:rFonts w:cs="Arial"/>
                <w:sz w:val="20"/>
                <w:szCs w:val="20"/>
              </w:rPr>
              <w:t>ά</w:t>
            </w:r>
            <w:r w:rsidR="00C7404B">
              <w:rPr>
                <w:rFonts w:cs="Arial"/>
                <w:sz w:val="20"/>
                <w:szCs w:val="20"/>
              </w:rPr>
              <w:t>ρθρου</w:t>
            </w:r>
            <w:r w:rsidRPr="00903F89">
              <w:rPr>
                <w:rFonts w:cs="Arial"/>
                <w:sz w:val="20"/>
                <w:szCs w:val="20"/>
              </w:rPr>
              <w:t xml:space="preserve"> αφορά στην υλοποίηση του έργου της «Ανακαίνισης και Αντισεισμικής Αναβάθμισης Γυμνασίου Φανερωμένης» το οποίο εντάχθηκε στο πλαίσιο του Σχέδιου Ανάκαμψης και Ανθεκτικότητας (ΣΑΑ) Κύπρου.</w:t>
            </w:r>
          </w:p>
        </w:tc>
      </w:tr>
      <w:tr w:rsidR="001916D4" w:rsidRPr="00903F89" w14:paraId="0485DDA9" w14:textId="77777777" w:rsidTr="0080248F">
        <w:tc>
          <w:tcPr>
            <w:tcW w:w="10632" w:type="dxa"/>
            <w:tcBorders>
              <w:top w:val="nil"/>
              <w:left w:val="nil"/>
              <w:bottom w:val="nil"/>
              <w:right w:val="nil"/>
            </w:tcBorders>
            <w:shd w:val="clear" w:color="auto" w:fill="auto"/>
          </w:tcPr>
          <w:p w14:paraId="24163F44" w14:textId="77777777" w:rsidR="001916D4" w:rsidRPr="001916D4" w:rsidRDefault="001916D4" w:rsidP="001916D4">
            <w:pPr>
              <w:jc w:val="both"/>
              <w:rPr>
                <w:rFonts w:cs="Arial"/>
                <w:sz w:val="20"/>
                <w:szCs w:val="20"/>
              </w:rPr>
            </w:pPr>
          </w:p>
        </w:tc>
      </w:tr>
      <w:tr w:rsidR="001916D4" w:rsidRPr="00903F89" w14:paraId="4C15B05F" w14:textId="77777777" w:rsidTr="0080248F">
        <w:tc>
          <w:tcPr>
            <w:tcW w:w="10632" w:type="dxa"/>
            <w:tcBorders>
              <w:top w:val="nil"/>
              <w:left w:val="nil"/>
              <w:bottom w:val="nil"/>
              <w:right w:val="nil"/>
            </w:tcBorders>
            <w:shd w:val="clear" w:color="auto" w:fill="auto"/>
          </w:tcPr>
          <w:p w14:paraId="0DF35BCE" w14:textId="05317F60" w:rsidR="001916D4" w:rsidRPr="00903F89" w:rsidRDefault="001916D4" w:rsidP="001916D4">
            <w:pPr>
              <w:jc w:val="both"/>
              <w:rPr>
                <w:rFonts w:cs="Arial"/>
                <w:b/>
                <w:sz w:val="20"/>
                <w:szCs w:val="20"/>
                <w:u w:val="single"/>
              </w:rPr>
            </w:pPr>
            <w:r w:rsidRPr="00903F89">
              <w:rPr>
                <w:rFonts w:cs="Arial"/>
                <w:sz w:val="20"/>
                <w:szCs w:val="20"/>
              </w:rPr>
              <w:t>Η πρόνοια τ</w:t>
            </w:r>
            <w:r w:rsidR="00C7404B">
              <w:rPr>
                <w:rFonts w:cs="Arial"/>
                <w:sz w:val="20"/>
                <w:szCs w:val="20"/>
              </w:rPr>
              <w:t xml:space="preserve">ου άρθρου </w:t>
            </w:r>
            <w:r w:rsidRPr="00903F89">
              <w:rPr>
                <w:rFonts w:cs="Arial"/>
                <w:sz w:val="20"/>
                <w:szCs w:val="20"/>
              </w:rPr>
              <w:t>δύναται να καλύψει δαπάνες εργοδότησης προσωπικού ορισμένου χρόνου για σκοπούς παρακολούθησης και συντονισμού του προαναφερόμενου έργου, δαπάνες για την αμοιβή εξωτερικών συμβούλων/μελετητών για τη μελέτη και επίβλεψη του έργου, καθώς και τις δαπάνες για τις κατασκευαστικές εργασίες ανακαίνισης και αντισεισμικής αναβάθμισης του κτηρίου καθώς και τις δαπάνες αναβάθμισης των υπαίθριων χώρων που το περιβάλλουν.</w:t>
            </w:r>
          </w:p>
        </w:tc>
      </w:tr>
      <w:tr w:rsidR="001916D4" w:rsidRPr="00903F89" w14:paraId="6FA4BD9B" w14:textId="77777777" w:rsidTr="0080248F">
        <w:tc>
          <w:tcPr>
            <w:tcW w:w="10632" w:type="dxa"/>
            <w:tcBorders>
              <w:top w:val="nil"/>
              <w:left w:val="nil"/>
              <w:bottom w:val="nil"/>
              <w:right w:val="nil"/>
            </w:tcBorders>
            <w:shd w:val="clear" w:color="auto" w:fill="auto"/>
          </w:tcPr>
          <w:p w14:paraId="52C877B2" w14:textId="77777777" w:rsidR="001916D4" w:rsidRPr="00903F89" w:rsidRDefault="001916D4" w:rsidP="001916D4">
            <w:pPr>
              <w:jc w:val="both"/>
              <w:rPr>
                <w:rFonts w:cs="Arial"/>
                <w:sz w:val="20"/>
                <w:szCs w:val="20"/>
              </w:rPr>
            </w:pPr>
          </w:p>
        </w:tc>
      </w:tr>
      <w:tr w:rsidR="001916D4" w:rsidRPr="00903F89" w14:paraId="0BD700C4" w14:textId="77777777" w:rsidTr="0080248F">
        <w:tc>
          <w:tcPr>
            <w:tcW w:w="10632" w:type="dxa"/>
            <w:tcBorders>
              <w:top w:val="nil"/>
              <w:left w:val="nil"/>
              <w:bottom w:val="nil"/>
              <w:right w:val="nil"/>
            </w:tcBorders>
            <w:shd w:val="clear" w:color="auto" w:fill="auto"/>
          </w:tcPr>
          <w:p w14:paraId="66CE1A62" w14:textId="1EC01A47" w:rsidR="001916D4" w:rsidRPr="001916D4" w:rsidRDefault="001916D4" w:rsidP="001916D4">
            <w:pPr>
              <w:jc w:val="both"/>
              <w:rPr>
                <w:rFonts w:cs="Arial"/>
                <w:sz w:val="20"/>
                <w:szCs w:val="20"/>
                <w:u w:val="single"/>
              </w:rPr>
            </w:pPr>
            <w:r w:rsidRPr="001916D4">
              <w:rPr>
                <w:rFonts w:cs="Arial"/>
                <w:b/>
                <w:bCs/>
                <w:sz w:val="20"/>
                <w:szCs w:val="20"/>
                <w:u w:val="single"/>
              </w:rPr>
              <w:t xml:space="preserve">Άρθρο 606 </w:t>
            </w:r>
            <w:r w:rsidRPr="001916D4">
              <w:rPr>
                <w:rFonts w:eastAsia="Arial" w:cs="Arial"/>
                <w:b/>
                <w:bCs/>
                <w:sz w:val="20"/>
                <w:szCs w:val="20"/>
                <w:u w:val="single"/>
              </w:rPr>
              <w:t>–</w:t>
            </w:r>
            <w:r w:rsidRPr="001916D4">
              <w:rPr>
                <w:u w:val="single"/>
              </w:rPr>
              <w:t xml:space="preserve"> </w:t>
            </w:r>
            <w:r w:rsidRPr="001916D4">
              <w:rPr>
                <w:rFonts w:eastAsia="Arial" w:cs="Arial"/>
                <w:b/>
                <w:bCs/>
                <w:sz w:val="20"/>
                <w:szCs w:val="20"/>
                <w:u w:val="single"/>
              </w:rPr>
              <w:t xml:space="preserve">Έργο Χρηματοδοτούμενο από το Σχέδιο Ανάκαμψης και Ανθεκτικότητας Κύπρου - Αναβάθμιση ΑΠΕ και υποδομής δοκιμής έξυπνων δικτύων στο Πανεπιστήμιο Κύπρου </w:t>
            </w:r>
            <w:r w:rsidRPr="001916D4">
              <w:rPr>
                <w:rFonts w:cs="Arial"/>
                <w:b/>
                <w:bCs/>
                <w:sz w:val="20"/>
                <w:szCs w:val="20"/>
                <w:u w:val="single"/>
              </w:rPr>
              <w:t>– €476.020</w:t>
            </w:r>
          </w:p>
        </w:tc>
      </w:tr>
      <w:tr w:rsidR="001916D4" w:rsidRPr="00903F89" w14:paraId="4DCE6DD9" w14:textId="77777777" w:rsidTr="0080248F">
        <w:tc>
          <w:tcPr>
            <w:tcW w:w="10632" w:type="dxa"/>
            <w:tcBorders>
              <w:top w:val="nil"/>
              <w:left w:val="nil"/>
              <w:bottom w:val="nil"/>
              <w:right w:val="nil"/>
            </w:tcBorders>
            <w:shd w:val="clear" w:color="auto" w:fill="auto"/>
          </w:tcPr>
          <w:p w14:paraId="07B88B8E" w14:textId="77777777" w:rsidR="001916D4" w:rsidRPr="00903F89" w:rsidRDefault="001916D4" w:rsidP="001916D4">
            <w:pPr>
              <w:jc w:val="both"/>
              <w:rPr>
                <w:rFonts w:cs="Arial"/>
                <w:sz w:val="20"/>
                <w:szCs w:val="20"/>
              </w:rPr>
            </w:pPr>
          </w:p>
        </w:tc>
      </w:tr>
      <w:tr w:rsidR="001916D4" w:rsidRPr="00903F89" w14:paraId="27ECA5FA" w14:textId="77777777" w:rsidTr="0080248F">
        <w:tc>
          <w:tcPr>
            <w:tcW w:w="10632" w:type="dxa"/>
          </w:tcPr>
          <w:p w14:paraId="27A2B453" w14:textId="5B5EA623" w:rsidR="001916D4" w:rsidRPr="00903F89" w:rsidRDefault="001916D4" w:rsidP="001916D4">
            <w:pPr>
              <w:jc w:val="both"/>
              <w:rPr>
                <w:rFonts w:cs="Arial"/>
                <w:sz w:val="20"/>
                <w:szCs w:val="20"/>
              </w:rPr>
            </w:pPr>
            <w:r w:rsidRPr="001916D4">
              <w:rPr>
                <w:rFonts w:cs="Arial"/>
                <w:sz w:val="20"/>
                <w:szCs w:val="20"/>
              </w:rPr>
              <w:t xml:space="preserve">Δημιουργία νέου </w:t>
            </w:r>
            <w:r w:rsidR="00C7404B">
              <w:rPr>
                <w:rFonts w:cs="Arial"/>
                <w:sz w:val="20"/>
                <w:szCs w:val="20"/>
              </w:rPr>
              <w:t>ά</w:t>
            </w:r>
            <w:r w:rsidRPr="001916D4">
              <w:rPr>
                <w:rFonts w:cs="Arial"/>
                <w:sz w:val="20"/>
                <w:szCs w:val="20"/>
              </w:rPr>
              <w:t>ρθρου με την ονομασία «Έργο Χρηματοδοτούμενο από το Σχέδιο Ανάκαμψης και Ανθεκτικότητας Κύπρου - Αναβάθμιση ΑΠΕ και υποδομής δοκιμής έξυπνων δικτύων στο Πανεπιστήμιο Κύπρου».</w:t>
            </w:r>
          </w:p>
        </w:tc>
      </w:tr>
      <w:tr w:rsidR="001916D4" w:rsidRPr="00903F89" w14:paraId="30272F86" w14:textId="77777777" w:rsidTr="0080248F">
        <w:tc>
          <w:tcPr>
            <w:tcW w:w="10632" w:type="dxa"/>
          </w:tcPr>
          <w:p w14:paraId="26D0B7C8" w14:textId="77777777" w:rsidR="001916D4" w:rsidRPr="00903F89" w:rsidRDefault="001916D4" w:rsidP="001916D4">
            <w:pPr>
              <w:jc w:val="both"/>
              <w:rPr>
                <w:rFonts w:cs="Arial"/>
                <w:sz w:val="20"/>
                <w:szCs w:val="20"/>
              </w:rPr>
            </w:pPr>
          </w:p>
        </w:tc>
      </w:tr>
      <w:tr w:rsidR="001916D4" w:rsidRPr="00903F89" w14:paraId="2E9A0049" w14:textId="77777777" w:rsidTr="0080248F">
        <w:tc>
          <w:tcPr>
            <w:tcW w:w="10632" w:type="dxa"/>
          </w:tcPr>
          <w:p w14:paraId="05E49E4F" w14:textId="1C397830" w:rsidR="001916D4" w:rsidRPr="00903F89" w:rsidRDefault="001916D4" w:rsidP="001916D4">
            <w:pPr>
              <w:jc w:val="both"/>
              <w:rPr>
                <w:rFonts w:cs="Arial"/>
                <w:sz w:val="20"/>
                <w:szCs w:val="20"/>
              </w:rPr>
            </w:pPr>
            <w:r w:rsidRPr="00903F89">
              <w:rPr>
                <w:rFonts w:cs="Arial"/>
                <w:sz w:val="20"/>
                <w:szCs w:val="20"/>
              </w:rPr>
              <w:t xml:space="preserve">Η πρόνοια </w:t>
            </w:r>
            <w:r>
              <w:rPr>
                <w:rFonts w:cs="Arial"/>
                <w:sz w:val="20"/>
                <w:szCs w:val="20"/>
              </w:rPr>
              <w:t xml:space="preserve">του </w:t>
            </w:r>
            <w:r w:rsidR="00C7404B">
              <w:rPr>
                <w:rFonts w:cs="Arial"/>
                <w:sz w:val="20"/>
                <w:szCs w:val="20"/>
              </w:rPr>
              <w:t>ά</w:t>
            </w:r>
            <w:r>
              <w:rPr>
                <w:rFonts w:cs="Arial"/>
                <w:sz w:val="20"/>
                <w:szCs w:val="20"/>
              </w:rPr>
              <w:t xml:space="preserve">ρθρου </w:t>
            </w:r>
            <w:r w:rsidRPr="00903F89">
              <w:rPr>
                <w:rFonts w:cs="Arial"/>
                <w:sz w:val="20"/>
                <w:szCs w:val="20"/>
              </w:rPr>
              <w:t>αφορά στην υλοποίηση του έργου «</w:t>
            </w:r>
            <w:proofErr w:type="spellStart"/>
            <w:r w:rsidRPr="00903F89">
              <w:rPr>
                <w:rFonts w:cs="Arial"/>
                <w:sz w:val="20"/>
                <w:szCs w:val="20"/>
              </w:rPr>
              <w:t>Upgrading</w:t>
            </w:r>
            <w:proofErr w:type="spellEnd"/>
            <w:r w:rsidRPr="00903F89">
              <w:rPr>
                <w:rFonts w:cs="Arial"/>
                <w:sz w:val="20"/>
                <w:szCs w:val="20"/>
              </w:rPr>
              <w:t xml:space="preserve"> </w:t>
            </w:r>
            <w:proofErr w:type="spellStart"/>
            <w:r w:rsidRPr="00903F89">
              <w:rPr>
                <w:rFonts w:cs="Arial"/>
                <w:sz w:val="20"/>
                <w:szCs w:val="20"/>
              </w:rPr>
              <w:t>Renewable</w:t>
            </w:r>
            <w:proofErr w:type="spellEnd"/>
            <w:r w:rsidRPr="00903F89">
              <w:rPr>
                <w:rFonts w:cs="Arial"/>
                <w:sz w:val="20"/>
                <w:szCs w:val="20"/>
              </w:rPr>
              <w:t xml:space="preserve"> Energy And Smart </w:t>
            </w:r>
            <w:proofErr w:type="spellStart"/>
            <w:r w:rsidRPr="00903F89">
              <w:rPr>
                <w:rFonts w:cs="Arial"/>
                <w:sz w:val="20"/>
                <w:szCs w:val="20"/>
              </w:rPr>
              <w:t>Grids</w:t>
            </w:r>
            <w:proofErr w:type="spellEnd"/>
            <w:r w:rsidRPr="00903F89">
              <w:rPr>
                <w:rFonts w:cs="Arial"/>
                <w:sz w:val="20"/>
                <w:szCs w:val="20"/>
              </w:rPr>
              <w:t xml:space="preserve"> </w:t>
            </w:r>
            <w:proofErr w:type="spellStart"/>
            <w:r w:rsidRPr="00903F89">
              <w:rPr>
                <w:rFonts w:cs="Arial"/>
                <w:sz w:val="20"/>
                <w:szCs w:val="20"/>
              </w:rPr>
              <w:t>Testing</w:t>
            </w:r>
            <w:proofErr w:type="spellEnd"/>
            <w:r w:rsidRPr="00903F89">
              <w:rPr>
                <w:rFonts w:cs="Arial"/>
                <w:sz w:val="20"/>
                <w:szCs w:val="20"/>
              </w:rPr>
              <w:t xml:space="preserve"> Infrastructure </w:t>
            </w:r>
            <w:proofErr w:type="spellStart"/>
            <w:r w:rsidRPr="00903F89">
              <w:rPr>
                <w:rFonts w:cs="Arial"/>
                <w:sz w:val="20"/>
                <w:szCs w:val="20"/>
              </w:rPr>
              <w:t>At</w:t>
            </w:r>
            <w:proofErr w:type="spellEnd"/>
            <w:r w:rsidRPr="00903F89">
              <w:rPr>
                <w:rFonts w:cs="Arial"/>
                <w:sz w:val="20"/>
                <w:szCs w:val="20"/>
              </w:rPr>
              <w:t xml:space="preserve"> The University Of Cyprus» (Αναβάθμιση ΑΠΕ και υποδομής δοκιμής έξυπνων δικτύων στο Πανεπιστήμιο Κύπρου), το οποίο εντάχθηκε στο πλαίσιο του Σχέδιου Ανάκαμψης και Ανθεκτικότητας (ΣΑΑ) Κύπρου.</w:t>
            </w:r>
          </w:p>
        </w:tc>
      </w:tr>
      <w:tr w:rsidR="001916D4" w:rsidRPr="00903F89" w14:paraId="59007013" w14:textId="77777777" w:rsidTr="0080248F">
        <w:tc>
          <w:tcPr>
            <w:tcW w:w="10632" w:type="dxa"/>
          </w:tcPr>
          <w:p w14:paraId="42B947B3" w14:textId="77777777" w:rsidR="001916D4" w:rsidRPr="00903F89" w:rsidRDefault="001916D4" w:rsidP="001916D4">
            <w:pPr>
              <w:jc w:val="both"/>
              <w:rPr>
                <w:rFonts w:cs="Arial"/>
                <w:sz w:val="20"/>
                <w:szCs w:val="20"/>
              </w:rPr>
            </w:pPr>
          </w:p>
        </w:tc>
      </w:tr>
      <w:tr w:rsidR="001916D4" w:rsidRPr="00903F89" w14:paraId="2828DAA2" w14:textId="77777777" w:rsidTr="0080248F">
        <w:tc>
          <w:tcPr>
            <w:tcW w:w="10632" w:type="dxa"/>
          </w:tcPr>
          <w:p w14:paraId="5593F4F2" w14:textId="62DC7B6F" w:rsidR="001916D4" w:rsidRPr="00903F89" w:rsidRDefault="001916D4" w:rsidP="001916D4">
            <w:pPr>
              <w:jc w:val="both"/>
              <w:rPr>
                <w:rFonts w:cs="Arial"/>
                <w:sz w:val="20"/>
                <w:szCs w:val="20"/>
              </w:rPr>
            </w:pPr>
            <w:r w:rsidRPr="00903F89">
              <w:rPr>
                <w:rFonts w:cs="Arial"/>
                <w:sz w:val="20"/>
                <w:szCs w:val="20"/>
              </w:rPr>
              <w:t xml:space="preserve">Η επένδυση αφορά στην ανάπτυξη υπερσύγχρονων υποδομών αξιολόγησης ανανεώσιμης ενέργειας και έξυπνων δικτύων στο Πανεπιστήμιο Κύπρου, απαραίτητες για την προώθηση έρευνας υψηλής ποιότητας στις σχετικές τεχνολογίες αιχμής, προκειμένου να μεγιστοποιηθεί η διείσδυση των ανανεώσιμων πηγών ενέργειας στο νησί και η στροφή προς την καθαρή ενέργεια. Το έργο θα ολοκληρωθεί με την παράδοση, επιτυχή εγκατάσταση, δοκιμή, βαθμονόμηση, λειτουργία του εξοπλισμού και τελική ενοποίηση της υποδομής για την αξιολόγηση καινοτόμων </w:t>
            </w:r>
            <w:proofErr w:type="spellStart"/>
            <w:r w:rsidRPr="00903F89">
              <w:rPr>
                <w:rFonts w:cs="Arial"/>
                <w:sz w:val="20"/>
                <w:szCs w:val="20"/>
              </w:rPr>
              <w:t>φωτοβολταϊκών</w:t>
            </w:r>
            <w:proofErr w:type="spellEnd"/>
            <w:r w:rsidRPr="00903F89">
              <w:rPr>
                <w:rFonts w:cs="Arial"/>
                <w:sz w:val="20"/>
                <w:szCs w:val="20"/>
              </w:rPr>
              <w:t xml:space="preserve"> τεχνολογιών, συστημάτων αποθήκευσης ενέργειας και υποστηρικτικών τεχνολογιών για ανθεκτικά έξυπνα δίκτυα.</w:t>
            </w:r>
          </w:p>
        </w:tc>
      </w:tr>
      <w:tr w:rsidR="001916D4" w:rsidRPr="00903F89" w14:paraId="53257FD4" w14:textId="77777777" w:rsidTr="0080248F">
        <w:tc>
          <w:tcPr>
            <w:tcW w:w="10632" w:type="dxa"/>
          </w:tcPr>
          <w:p w14:paraId="3F9F08E8" w14:textId="77777777" w:rsidR="001916D4" w:rsidRPr="00903F89" w:rsidRDefault="001916D4" w:rsidP="001916D4">
            <w:pPr>
              <w:jc w:val="both"/>
              <w:rPr>
                <w:rFonts w:cs="Arial"/>
                <w:sz w:val="20"/>
                <w:szCs w:val="20"/>
              </w:rPr>
            </w:pPr>
          </w:p>
        </w:tc>
      </w:tr>
      <w:tr w:rsidR="001916D4" w:rsidRPr="00903F89" w14:paraId="1CEE8489" w14:textId="77777777" w:rsidTr="0080248F">
        <w:tc>
          <w:tcPr>
            <w:tcW w:w="10632" w:type="dxa"/>
          </w:tcPr>
          <w:p w14:paraId="4EEE097B" w14:textId="021E3454" w:rsidR="001916D4" w:rsidRPr="00903F89" w:rsidRDefault="001916D4" w:rsidP="001916D4">
            <w:pPr>
              <w:jc w:val="both"/>
              <w:rPr>
                <w:rFonts w:cs="Arial"/>
                <w:sz w:val="20"/>
                <w:szCs w:val="20"/>
              </w:rPr>
            </w:pPr>
            <w:r w:rsidRPr="001916D4">
              <w:rPr>
                <w:rFonts w:cs="Arial"/>
                <w:b/>
                <w:bCs/>
                <w:sz w:val="20"/>
                <w:szCs w:val="20"/>
                <w:u w:val="single"/>
              </w:rPr>
              <w:t>Άρθρο 60</w:t>
            </w:r>
            <w:r>
              <w:rPr>
                <w:rFonts w:cs="Arial"/>
                <w:b/>
                <w:bCs/>
                <w:sz w:val="20"/>
                <w:szCs w:val="20"/>
                <w:u w:val="single"/>
              </w:rPr>
              <w:t>7</w:t>
            </w:r>
            <w:r w:rsidRPr="001916D4">
              <w:rPr>
                <w:rFonts w:cs="Arial"/>
                <w:b/>
                <w:bCs/>
                <w:sz w:val="20"/>
                <w:szCs w:val="20"/>
                <w:u w:val="single"/>
              </w:rPr>
              <w:t xml:space="preserve"> </w:t>
            </w:r>
            <w:r w:rsidRPr="001916D4">
              <w:rPr>
                <w:rFonts w:eastAsia="Arial" w:cs="Arial"/>
                <w:b/>
                <w:bCs/>
                <w:sz w:val="20"/>
                <w:szCs w:val="20"/>
                <w:u w:val="single"/>
              </w:rPr>
              <w:t>–</w:t>
            </w:r>
            <w:r w:rsidRPr="001916D4">
              <w:rPr>
                <w:u w:val="single"/>
              </w:rPr>
              <w:t xml:space="preserve"> </w:t>
            </w:r>
            <w:r w:rsidRPr="001916D4">
              <w:rPr>
                <w:rFonts w:eastAsia="Arial" w:cs="Arial"/>
                <w:b/>
                <w:bCs/>
                <w:sz w:val="20"/>
                <w:szCs w:val="20"/>
                <w:u w:val="single"/>
              </w:rPr>
              <w:t xml:space="preserve">Έργο Χρηματοδοτούμενο από το Σχέδιο Ανάκαμψης και Ανθεκτικότητας Κύπρου - Κέντρο </w:t>
            </w:r>
            <w:proofErr w:type="spellStart"/>
            <w:r w:rsidRPr="001916D4">
              <w:rPr>
                <w:rFonts w:eastAsia="Arial" w:cs="Arial"/>
                <w:b/>
                <w:bCs/>
                <w:sz w:val="20"/>
                <w:szCs w:val="20"/>
                <w:u w:val="single"/>
              </w:rPr>
              <w:t>Μοντελοποίησης</w:t>
            </w:r>
            <w:proofErr w:type="spellEnd"/>
            <w:r w:rsidRPr="001916D4">
              <w:rPr>
                <w:rFonts w:eastAsia="Arial" w:cs="Arial"/>
                <w:b/>
                <w:bCs/>
                <w:sz w:val="20"/>
                <w:szCs w:val="20"/>
                <w:u w:val="single"/>
              </w:rPr>
              <w:t xml:space="preserve"> Οικονομικής Πολιτικής</w:t>
            </w:r>
            <w:r>
              <w:rPr>
                <w:rFonts w:eastAsia="Arial" w:cs="Arial"/>
                <w:b/>
                <w:bCs/>
                <w:sz w:val="20"/>
                <w:szCs w:val="20"/>
                <w:u w:val="single"/>
              </w:rPr>
              <w:t xml:space="preserve"> </w:t>
            </w:r>
            <w:r w:rsidRPr="001916D4">
              <w:rPr>
                <w:rFonts w:cs="Arial"/>
                <w:b/>
                <w:bCs/>
                <w:sz w:val="20"/>
                <w:szCs w:val="20"/>
                <w:u w:val="single"/>
              </w:rPr>
              <w:t>– €348.850</w:t>
            </w:r>
          </w:p>
        </w:tc>
      </w:tr>
      <w:tr w:rsidR="001916D4" w:rsidRPr="00903F89" w14:paraId="1DE192F7" w14:textId="77777777" w:rsidTr="0080248F">
        <w:tc>
          <w:tcPr>
            <w:tcW w:w="10632" w:type="dxa"/>
          </w:tcPr>
          <w:p w14:paraId="6778BC6D" w14:textId="77777777" w:rsidR="001916D4" w:rsidRPr="00903F89" w:rsidRDefault="001916D4" w:rsidP="001916D4">
            <w:pPr>
              <w:jc w:val="both"/>
              <w:rPr>
                <w:rFonts w:cs="Arial"/>
                <w:sz w:val="20"/>
                <w:szCs w:val="20"/>
              </w:rPr>
            </w:pPr>
          </w:p>
        </w:tc>
      </w:tr>
      <w:tr w:rsidR="001916D4" w:rsidRPr="00903F89" w14:paraId="50249F41" w14:textId="77777777" w:rsidTr="0080248F">
        <w:tc>
          <w:tcPr>
            <w:tcW w:w="10632" w:type="dxa"/>
          </w:tcPr>
          <w:p w14:paraId="7F753FFC" w14:textId="0352362F" w:rsidR="001916D4" w:rsidRPr="00903F89" w:rsidRDefault="001916D4" w:rsidP="001916D4">
            <w:pPr>
              <w:jc w:val="both"/>
              <w:rPr>
                <w:rFonts w:cs="Arial"/>
                <w:sz w:val="20"/>
                <w:szCs w:val="20"/>
              </w:rPr>
            </w:pPr>
            <w:r w:rsidRPr="001916D4">
              <w:rPr>
                <w:rFonts w:cs="Arial"/>
                <w:sz w:val="20"/>
                <w:szCs w:val="20"/>
              </w:rPr>
              <w:t xml:space="preserve">Δημιουργία νέου </w:t>
            </w:r>
            <w:r w:rsidR="00C7404B">
              <w:rPr>
                <w:rFonts w:cs="Arial"/>
                <w:sz w:val="20"/>
                <w:szCs w:val="20"/>
              </w:rPr>
              <w:t>ά</w:t>
            </w:r>
            <w:r w:rsidRPr="001916D4">
              <w:rPr>
                <w:rFonts w:cs="Arial"/>
                <w:sz w:val="20"/>
                <w:szCs w:val="20"/>
              </w:rPr>
              <w:t xml:space="preserve">ρθρου με την ονομασία «Έργο Χρηματοδοτούμενο από το Σχέδιο Ανάκαμψης και Ανθεκτικότητας Κύπρου - Κέντρο </w:t>
            </w:r>
            <w:proofErr w:type="spellStart"/>
            <w:r w:rsidRPr="001916D4">
              <w:rPr>
                <w:rFonts w:cs="Arial"/>
                <w:sz w:val="20"/>
                <w:szCs w:val="20"/>
              </w:rPr>
              <w:t>Μοντελοποίησης</w:t>
            </w:r>
            <w:proofErr w:type="spellEnd"/>
            <w:r w:rsidRPr="001916D4">
              <w:rPr>
                <w:rFonts w:cs="Arial"/>
                <w:sz w:val="20"/>
                <w:szCs w:val="20"/>
              </w:rPr>
              <w:t xml:space="preserve"> Οικονομικής Πολιτικής».</w:t>
            </w:r>
          </w:p>
        </w:tc>
      </w:tr>
      <w:tr w:rsidR="001916D4" w:rsidRPr="00903F89" w14:paraId="33053BA6" w14:textId="77777777" w:rsidTr="0080248F">
        <w:tc>
          <w:tcPr>
            <w:tcW w:w="10632" w:type="dxa"/>
          </w:tcPr>
          <w:p w14:paraId="2F177C38" w14:textId="77777777" w:rsidR="001916D4" w:rsidRPr="00903F89" w:rsidRDefault="001916D4" w:rsidP="001916D4">
            <w:pPr>
              <w:jc w:val="both"/>
              <w:rPr>
                <w:rFonts w:cs="Arial"/>
                <w:sz w:val="20"/>
                <w:szCs w:val="20"/>
              </w:rPr>
            </w:pPr>
          </w:p>
        </w:tc>
      </w:tr>
      <w:tr w:rsidR="001916D4" w:rsidRPr="00903F89" w14:paraId="5435D3F3" w14:textId="77777777" w:rsidTr="0080248F">
        <w:tc>
          <w:tcPr>
            <w:tcW w:w="10632" w:type="dxa"/>
            <w:tcBorders>
              <w:top w:val="nil"/>
              <w:left w:val="nil"/>
              <w:bottom w:val="nil"/>
              <w:right w:val="nil"/>
            </w:tcBorders>
            <w:shd w:val="clear" w:color="auto" w:fill="auto"/>
          </w:tcPr>
          <w:p w14:paraId="506F2D9E" w14:textId="23A92E79" w:rsidR="001916D4" w:rsidRPr="00903F89" w:rsidRDefault="001916D4" w:rsidP="001916D4">
            <w:pPr>
              <w:jc w:val="both"/>
              <w:rPr>
                <w:rFonts w:cs="Arial"/>
                <w:sz w:val="20"/>
                <w:szCs w:val="20"/>
              </w:rPr>
            </w:pPr>
            <w:r w:rsidRPr="00903F89">
              <w:rPr>
                <w:rFonts w:cs="Arial"/>
                <w:sz w:val="20"/>
                <w:szCs w:val="20"/>
              </w:rPr>
              <w:t>Η πρόνοια τ</w:t>
            </w:r>
            <w:r>
              <w:rPr>
                <w:rFonts w:cs="Arial"/>
                <w:sz w:val="20"/>
                <w:szCs w:val="20"/>
              </w:rPr>
              <w:t>ου άρθρου</w:t>
            </w:r>
            <w:r w:rsidRPr="00903F89">
              <w:rPr>
                <w:rFonts w:cs="Arial"/>
                <w:sz w:val="20"/>
                <w:szCs w:val="20"/>
              </w:rPr>
              <w:t xml:space="preserve"> αφορά στην υλοποίηση του έργου «</w:t>
            </w:r>
            <w:proofErr w:type="spellStart"/>
            <w:r w:rsidRPr="00903F89">
              <w:rPr>
                <w:rFonts w:cs="Arial"/>
                <w:sz w:val="20"/>
                <w:szCs w:val="20"/>
              </w:rPr>
              <w:t>Modeling</w:t>
            </w:r>
            <w:proofErr w:type="spellEnd"/>
            <w:r w:rsidRPr="00903F89">
              <w:rPr>
                <w:rFonts w:cs="Arial"/>
                <w:sz w:val="20"/>
                <w:szCs w:val="20"/>
              </w:rPr>
              <w:t xml:space="preserve"> Policy </w:t>
            </w:r>
            <w:proofErr w:type="spellStart"/>
            <w:r w:rsidRPr="00903F89">
              <w:rPr>
                <w:rFonts w:cs="Arial"/>
                <w:sz w:val="20"/>
                <w:szCs w:val="20"/>
              </w:rPr>
              <w:t>Hub</w:t>
            </w:r>
            <w:proofErr w:type="spellEnd"/>
            <w:r w:rsidRPr="00903F89">
              <w:rPr>
                <w:rFonts w:cs="Arial"/>
                <w:sz w:val="20"/>
                <w:szCs w:val="20"/>
              </w:rPr>
              <w:t xml:space="preserve">» (Κέντρο </w:t>
            </w:r>
            <w:proofErr w:type="spellStart"/>
            <w:r w:rsidRPr="00903F89">
              <w:rPr>
                <w:rFonts w:cs="Arial"/>
                <w:sz w:val="20"/>
                <w:szCs w:val="20"/>
              </w:rPr>
              <w:t>Μοντελοποίησης</w:t>
            </w:r>
            <w:proofErr w:type="spellEnd"/>
            <w:r w:rsidRPr="00903F89">
              <w:rPr>
                <w:rFonts w:cs="Arial"/>
                <w:sz w:val="20"/>
                <w:szCs w:val="20"/>
              </w:rPr>
              <w:t xml:space="preserve"> Οικονομικής Πολιτικής), το οποίο εντάχθηκε στο πλαίσιο του Σχέδιου Ανάκαμψης και Ανθεκτικότητας (ΣΑΑ) Κύπρου και θα υλοποιηθεί την περίοδο 2021- 2026 από το Κέντρο Οικονομικών Ερευνών του Πανεπιστημίου Κύπρου. </w:t>
            </w:r>
          </w:p>
        </w:tc>
      </w:tr>
      <w:tr w:rsidR="001916D4" w:rsidRPr="00903F89" w14:paraId="0AFE44DC" w14:textId="77777777" w:rsidTr="0080248F">
        <w:tc>
          <w:tcPr>
            <w:tcW w:w="10632" w:type="dxa"/>
            <w:tcBorders>
              <w:top w:val="nil"/>
              <w:left w:val="nil"/>
              <w:bottom w:val="nil"/>
              <w:right w:val="nil"/>
            </w:tcBorders>
            <w:shd w:val="clear" w:color="auto" w:fill="auto"/>
          </w:tcPr>
          <w:p w14:paraId="5A5F098D" w14:textId="77777777" w:rsidR="001916D4" w:rsidRPr="00903F89" w:rsidRDefault="001916D4" w:rsidP="001916D4">
            <w:pPr>
              <w:jc w:val="both"/>
              <w:rPr>
                <w:rFonts w:cs="Arial"/>
                <w:sz w:val="20"/>
                <w:szCs w:val="20"/>
              </w:rPr>
            </w:pPr>
          </w:p>
        </w:tc>
      </w:tr>
      <w:tr w:rsidR="001916D4" w:rsidRPr="00903F89" w14:paraId="291128A6" w14:textId="77777777" w:rsidTr="0080248F">
        <w:tc>
          <w:tcPr>
            <w:tcW w:w="10632" w:type="dxa"/>
            <w:tcBorders>
              <w:top w:val="nil"/>
              <w:left w:val="nil"/>
              <w:bottom w:val="nil"/>
              <w:right w:val="nil"/>
            </w:tcBorders>
            <w:shd w:val="clear" w:color="auto" w:fill="auto"/>
          </w:tcPr>
          <w:p w14:paraId="1570F26E" w14:textId="73A523BF" w:rsidR="001916D4" w:rsidRPr="00903F89" w:rsidRDefault="001916D4" w:rsidP="001916D4">
            <w:pPr>
              <w:jc w:val="both"/>
              <w:rPr>
                <w:rFonts w:cs="Arial"/>
                <w:sz w:val="20"/>
                <w:szCs w:val="20"/>
              </w:rPr>
            </w:pPr>
            <w:r w:rsidRPr="00903F89">
              <w:rPr>
                <w:rFonts w:cs="Arial"/>
                <w:sz w:val="20"/>
                <w:szCs w:val="20"/>
              </w:rPr>
              <w:t>Το έργο στοχεύει στην ανάπτυξη σύγχρονων εργαλείων και μοντέλων τα οποία θα χρησιμεύσουν στην ποσοτική εκτίμηση και αξιολόγηση των οικονομικών επιδράσεων οικονομικών πολιτικών, μέτρων, νέων δημόσιων επενδύσεων,  και τα οποία γενικότερα θα συμβάλουν στην άσκηση ορθολογικότερης και αποτελεσματικής οικονομικής πολιτικής.  Τα εργαλεία θα επιτρέψουν επίσης την παρακολούθηση σε πραγματικό χρόνο (</w:t>
            </w:r>
            <w:proofErr w:type="spellStart"/>
            <w:r w:rsidRPr="00903F89">
              <w:rPr>
                <w:rFonts w:cs="Arial"/>
                <w:sz w:val="20"/>
                <w:szCs w:val="20"/>
              </w:rPr>
              <w:t>real</w:t>
            </w:r>
            <w:proofErr w:type="spellEnd"/>
            <w:r w:rsidRPr="00903F89">
              <w:rPr>
                <w:rFonts w:cs="Arial"/>
                <w:sz w:val="20"/>
                <w:szCs w:val="20"/>
              </w:rPr>
              <w:t xml:space="preserve"> </w:t>
            </w:r>
            <w:proofErr w:type="spellStart"/>
            <w:r w:rsidRPr="00903F89">
              <w:rPr>
                <w:rFonts w:cs="Arial"/>
                <w:sz w:val="20"/>
                <w:szCs w:val="20"/>
              </w:rPr>
              <w:t>time</w:t>
            </w:r>
            <w:proofErr w:type="spellEnd"/>
            <w:r w:rsidRPr="00903F89">
              <w:rPr>
                <w:rFonts w:cs="Arial"/>
                <w:sz w:val="20"/>
                <w:szCs w:val="20"/>
              </w:rPr>
              <w:t xml:space="preserve">) των οικονομικών εξελίξεων,  δίνοντας τη δυνατότητα στους ασκούντες οικονομική πολιτική για έγκαιρη αντίδραση.  Πέραν των πιο πάνω, στο έργο προνοείται ότι θα γίνει μεταφορά τεχνογνωσίας και εκπαίδευση δημόσιων υπαλλήλων στη χρήση των εργαλείων και μοντέλων.  </w:t>
            </w:r>
          </w:p>
        </w:tc>
      </w:tr>
      <w:tr w:rsidR="001916D4" w:rsidRPr="00903F89" w14:paraId="09C26593" w14:textId="77777777" w:rsidTr="0080248F">
        <w:tc>
          <w:tcPr>
            <w:tcW w:w="10632" w:type="dxa"/>
            <w:tcBorders>
              <w:top w:val="nil"/>
              <w:left w:val="nil"/>
              <w:bottom w:val="nil"/>
              <w:right w:val="nil"/>
            </w:tcBorders>
            <w:shd w:val="clear" w:color="auto" w:fill="auto"/>
          </w:tcPr>
          <w:p w14:paraId="4696297C" w14:textId="2F319653" w:rsidR="001916D4" w:rsidRPr="00903F89" w:rsidRDefault="001916D4" w:rsidP="001916D4">
            <w:pPr>
              <w:jc w:val="both"/>
              <w:rPr>
                <w:rFonts w:cs="Arial"/>
                <w:sz w:val="20"/>
                <w:szCs w:val="20"/>
              </w:rPr>
            </w:pPr>
          </w:p>
        </w:tc>
      </w:tr>
      <w:tr w:rsidR="001916D4" w:rsidRPr="00903F89" w14:paraId="650DB394" w14:textId="77777777" w:rsidTr="0080248F">
        <w:tc>
          <w:tcPr>
            <w:tcW w:w="10632" w:type="dxa"/>
            <w:tcBorders>
              <w:top w:val="nil"/>
              <w:left w:val="nil"/>
              <w:bottom w:val="nil"/>
              <w:right w:val="nil"/>
            </w:tcBorders>
            <w:shd w:val="clear" w:color="auto" w:fill="auto"/>
          </w:tcPr>
          <w:p w14:paraId="4997F137" w14:textId="0D050C77" w:rsidR="001916D4" w:rsidRPr="00903F89" w:rsidRDefault="001916D4" w:rsidP="001916D4">
            <w:pPr>
              <w:jc w:val="both"/>
              <w:rPr>
                <w:rFonts w:cs="Arial"/>
                <w:sz w:val="20"/>
                <w:szCs w:val="20"/>
              </w:rPr>
            </w:pPr>
            <w:r w:rsidRPr="00903F89">
              <w:rPr>
                <w:rFonts w:cs="Arial"/>
                <w:sz w:val="20"/>
                <w:szCs w:val="20"/>
              </w:rPr>
              <w:t xml:space="preserve">Η πρόνοια </w:t>
            </w:r>
            <w:r>
              <w:rPr>
                <w:rFonts w:cs="Arial"/>
                <w:sz w:val="20"/>
                <w:szCs w:val="20"/>
              </w:rPr>
              <w:t>του άρθρου</w:t>
            </w:r>
            <w:r w:rsidRPr="00903F89">
              <w:rPr>
                <w:rFonts w:cs="Arial"/>
                <w:sz w:val="20"/>
                <w:szCs w:val="20"/>
              </w:rPr>
              <w:t xml:space="preserve"> δύναται να καλύψει και δαπάνες εργοδότησης προσωπικού για σκοπούς του προαναφερόμενου έργου. Συγκεκριμένα, για την υλοποίηση των στόχων του έργου θα </w:t>
            </w:r>
            <w:proofErr w:type="spellStart"/>
            <w:r w:rsidRPr="00903F89">
              <w:rPr>
                <w:rFonts w:cs="Arial"/>
                <w:sz w:val="20"/>
                <w:szCs w:val="20"/>
              </w:rPr>
              <w:t>εργοδοτηθούν</w:t>
            </w:r>
            <w:proofErr w:type="spellEnd"/>
            <w:r w:rsidRPr="00903F89">
              <w:rPr>
                <w:rFonts w:cs="Arial"/>
                <w:sz w:val="20"/>
                <w:szCs w:val="20"/>
              </w:rPr>
              <w:t xml:space="preserve"> ερευνητές (κυρίως μεταδιδακτορικοί) για σκοπούς υλοποίησης της έρευνας, υποστήριξης του έργου καθώς και εμπειρογνώμονες σε εξειδικευμένους τομείς.  </w:t>
            </w:r>
          </w:p>
        </w:tc>
      </w:tr>
      <w:tr w:rsidR="001916D4" w:rsidRPr="00903F89" w14:paraId="329323B2" w14:textId="77777777" w:rsidTr="0080248F">
        <w:tc>
          <w:tcPr>
            <w:tcW w:w="10632" w:type="dxa"/>
            <w:tcBorders>
              <w:top w:val="nil"/>
              <w:left w:val="nil"/>
              <w:bottom w:val="nil"/>
              <w:right w:val="nil"/>
            </w:tcBorders>
            <w:shd w:val="clear" w:color="auto" w:fill="auto"/>
          </w:tcPr>
          <w:p w14:paraId="0B7C1736" w14:textId="77777777" w:rsidR="001916D4" w:rsidRPr="00903F89" w:rsidRDefault="001916D4" w:rsidP="001916D4">
            <w:pPr>
              <w:jc w:val="both"/>
              <w:rPr>
                <w:rFonts w:cs="Arial"/>
                <w:sz w:val="20"/>
                <w:szCs w:val="20"/>
              </w:rPr>
            </w:pPr>
          </w:p>
        </w:tc>
      </w:tr>
      <w:tr w:rsidR="001916D4" w:rsidRPr="00903F89" w14:paraId="203453B2" w14:textId="77777777" w:rsidTr="0080248F">
        <w:tc>
          <w:tcPr>
            <w:tcW w:w="10632" w:type="dxa"/>
            <w:tcBorders>
              <w:top w:val="nil"/>
              <w:left w:val="nil"/>
              <w:bottom w:val="nil"/>
              <w:right w:val="nil"/>
            </w:tcBorders>
            <w:shd w:val="clear" w:color="auto" w:fill="auto"/>
          </w:tcPr>
          <w:p w14:paraId="7639BDD4" w14:textId="071D880F" w:rsidR="001916D4" w:rsidRPr="00903F89" w:rsidRDefault="001916D4" w:rsidP="001916D4">
            <w:pPr>
              <w:jc w:val="both"/>
              <w:rPr>
                <w:rFonts w:cs="Arial"/>
                <w:sz w:val="20"/>
                <w:szCs w:val="20"/>
              </w:rPr>
            </w:pPr>
            <w:r>
              <w:rPr>
                <w:rFonts w:cs="Arial"/>
                <w:b/>
                <w:bCs/>
                <w:sz w:val="20"/>
                <w:szCs w:val="20"/>
                <w:u w:val="single"/>
              </w:rPr>
              <w:t>Υποομάδα</w:t>
            </w:r>
            <w:r w:rsidRPr="00903F89">
              <w:rPr>
                <w:rFonts w:cs="Arial"/>
                <w:b/>
                <w:bCs/>
                <w:sz w:val="20"/>
                <w:szCs w:val="20"/>
                <w:u w:val="single"/>
              </w:rPr>
              <w:t xml:space="preserve"> </w:t>
            </w:r>
            <w:r>
              <w:rPr>
                <w:rFonts w:cs="Arial"/>
                <w:b/>
                <w:bCs/>
                <w:sz w:val="20"/>
                <w:szCs w:val="20"/>
                <w:u w:val="single"/>
              </w:rPr>
              <w:t>620</w:t>
            </w:r>
            <w:r w:rsidRPr="00903F89">
              <w:rPr>
                <w:rFonts w:cs="Arial"/>
                <w:b/>
                <w:bCs/>
                <w:sz w:val="20"/>
                <w:szCs w:val="20"/>
                <w:u w:val="single"/>
              </w:rPr>
              <w:t xml:space="preserve"> – </w:t>
            </w:r>
            <w:r w:rsidRPr="001916D4">
              <w:rPr>
                <w:rFonts w:cs="Arial"/>
                <w:b/>
                <w:bCs/>
                <w:sz w:val="20"/>
                <w:szCs w:val="20"/>
                <w:u w:val="single"/>
              </w:rPr>
              <w:t>Δαπάνες Συγχρηματοδοτούμενες από Πανεπιστήμιο Κύπρου</w:t>
            </w:r>
          </w:p>
        </w:tc>
      </w:tr>
      <w:tr w:rsidR="001916D4" w:rsidRPr="00903F89" w14:paraId="0F7508E5" w14:textId="77777777" w:rsidTr="0080248F">
        <w:tc>
          <w:tcPr>
            <w:tcW w:w="10632" w:type="dxa"/>
            <w:tcBorders>
              <w:top w:val="nil"/>
              <w:left w:val="nil"/>
              <w:bottom w:val="nil"/>
              <w:right w:val="nil"/>
            </w:tcBorders>
            <w:shd w:val="clear" w:color="auto" w:fill="auto"/>
          </w:tcPr>
          <w:p w14:paraId="5A4B2270" w14:textId="77777777" w:rsidR="001916D4" w:rsidRPr="00903F89" w:rsidRDefault="001916D4" w:rsidP="001916D4">
            <w:pPr>
              <w:jc w:val="both"/>
              <w:rPr>
                <w:rFonts w:cs="Arial"/>
                <w:sz w:val="20"/>
                <w:szCs w:val="20"/>
              </w:rPr>
            </w:pPr>
          </w:p>
        </w:tc>
      </w:tr>
      <w:tr w:rsidR="001916D4" w:rsidRPr="00903F89" w14:paraId="12D499B8" w14:textId="77777777" w:rsidTr="0080248F">
        <w:tc>
          <w:tcPr>
            <w:tcW w:w="10632" w:type="dxa"/>
            <w:tcBorders>
              <w:top w:val="nil"/>
              <w:left w:val="nil"/>
              <w:bottom w:val="nil"/>
              <w:right w:val="nil"/>
            </w:tcBorders>
            <w:shd w:val="clear" w:color="auto" w:fill="auto"/>
          </w:tcPr>
          <w:p w14:paraId="00E60182" w14:textId="4A551955" w:rsidR="001916D4" w:rsidRPr="00903F89" w:rsidRDefault="001916D4" w:rsidP="001916D4">
            <w:pPr>
              <w:jc w:val="both"/>
              <w:rPr>
                <w:rFonts w:cs="Arial"/>
                <w:sz w:val="20"/>
                <w:szCs w:val="20"/>
              </w:rPr>
            </w:pPr>
            <w:r w:rsidRPr="001916D4">
              <w:rPr>
                <w:rFonts w:cs="Arial"/>
                <w:b/>
                <w:bCs/>
                <w:sz w:val="20"/>
                <w:szCs w:val="20"/>
                <w:u w:val="single"/>
              </w:rPr>
              <w:t xml:space="preserve">Άρθρο </w:t>
            </w:r>
            <w:r>
              <w:rPr>
                <w:rFonts w:cs="Arial"/>
                <w:b/>
                <w:bCs/>
                <w:sz w:val="20"/>
                <w:szCs w:val="20"/>
                <w:u w:val="single"/>
              </w:rPr>
              <w:t>621</w:t>
            </w:r>
            <w:r w:rsidRPr="001916D4">
              <w:rPr>
                <w:rFonts w:cs="Arial"/>
                <w:b/>
                <w:bCs/>
                <w:sz w:val="20"/>
                <w:szCs w:val="20"/>
                <w:u w:val="single"/>
              </w:rPr>
              <w:t xml:space="preserve"> </w:t>
            </w:r>
            <w:r w:rsidRPr="001916D4">
              <w:rPr>
                <w:rFonts w:eastAsia="Arial" w:cs="Arial"/>
                <w:b/>
                <w:bCs/>
                <w:sz w:val="20"/>
                <w:szCs w:val="20"/>
                <w:u w:val="single"/>
              </w:rPr>
              <w:t>–</w:t>
            </w:r>
            <w:r w:rsidRPr="001916D4">
              <w:rPr>
                <w:u w:val="single"/>
              </w:rPr>
              <w:t xml:space="preserve"> </w:t>
            </w:r>
            <w:r w:rsidRPr="001916D4">
              <w:rPr>
                <w:rFonts w:eastAsia="Arial" w:cs="Arial"/>
                <w:b/>
                <w:bCs/>
                <w:sz w:val="20"/>
                <w:szCs w:val="20"/>
                <w:u w:val="single"/>
              </w:rPr>
              <w:t xml:space="preserve">Έργα και Σχέδια Συγχρηματοδοτούμενα από Πανεπιστήμιο Κύπρου) </w:t>
            </w:r>
            <w:r>
              <w:rPr>
                <w:rFonts w:eastAsia="Arial" w:cs="Arial"/>
                <w:b/>
                <w:bCs/>
                <w:sz w:val="20"/>
                <w:szCs w:val="20"/>
                <w:u w:val="single"/>
              </w:rPr>
              <w:t>–</w:t>
            </w:r>
            <w:r w:rsidRPr="001916D4">
              <w:rPr>
                <w:rFonts w:eastAsia="Arial" w:cs="Arial"/>
                <w:b/>
                <w:bCs/>
                <w:sz w:val="20"/>
                <w:szCs w:val="20"/>
                <w:u w:val="single"/>
              </w:rPr>
              <w:t xml:space="preserve"> ΚΟΙΟΣ</w:t>
            </w:r>
            <w:r>
              <w:rPr>
                <w:rFonts w:eastAsia="Arial" w:cs="Arial"/>
                <w:b/>
                <w:bCs/>
                <w:sz w:val="20"/>
                <w:szCs w:val="20"/>
                <w:u w:val="single"/>
              </w:rPr>
              <w:t xml:space="preserve"> </w:t>
            </w:r>
            <w:r w:rsidRPr="001916D4">
              <w:rPr>
                <w:rFonts w:cs="Arial"/>
                <w:b/>
                <w:bCs/>
                <w:sz w:val="20"/>
                <w:szCs w:val="20"/>
                <w:u w:val="single"/>
              </w:rPr>
              <w:t>– €500.010</w:t>
            </w:r>
          </w:p>
        </w:tc>
      </w:tr>
      <w:tr w:rsidR="001916D4" w:rsidRPr="00903F89" w14:paraId="414C682F" w14:textId="77777777" w:rsidTr="0080248F">
        <w:tc>
          <w:tcPr>
            <w:tcW w:w="10632" w:type="dxa"/>
            <w:tcBorders>
              <w:top w:val="nil"/>
              <w:left w:val="nil"/>
              <w:bottom w:val="nil"/>
              <w:right w:val="nil"/>
            </w:tcBorders>
            <w:shd w:val="clear" w:color="auto" w:fill="auto"/>
          </w:tcPr>
          <w:p w14:paraId="56958642" w14:textId="77777777" w:rsidR="001916D4" w:rsidRPr="00903F89" w:rsidRDefault="001916D4" w:rsidP="001916D4">
            <w:pPr>
              <w:jc w:val="both"/>
              <w:rPr>
                <w:rFonts w:cs="Arial"/>
                <w:sz w:val="20"/>
                <w:szCs w:val="20"/>
              </w:rPr>
            </w:pPr>
          </w:p>
        </w:tc>
      </w:tr>
      <w:tr w:rsidR="001916D4" w:rsidRPr="00903F89" w14:paraId="1417387D" w14:textId="77777777" w:rsidTr="0080248F">
        <w:tc>
          <w:tcPr>
            <w:tcW w:w="10632" w:type="dxa"/>
            <w:tcBorders>
              <w:top w:val="nil"/>
              <w:left w:val="nil"/>
              <w:bottom w:val="nil"/>
              <w:right w:val="nil"/>
            </w:tcBorders>
            <w:shd w:val="clear" w:color="auto" w:fill="auto"/>
          </w:tcPr>
          <w:p w14:paraId="5DE422C8" w14:textId="7352657F" w:rsidR="001916D4" w:rsidRPr="00903F89" w:rsidRDefault="001916D4" w:rsidP="001916D4">
            <w:pPr>
              <w:jc w:val="both"/>
              <w:rPr>
                <w:rFonts w:cs="Arial"/>
                <w:b/>
                <w:sz w:val="20"/>
                <w:szCs w:val="20"/>
                <w:u w:val="single"/>
              </w:rPr>
            </w:pPr>
            <w:r w:rsidRPr="001916D4">
              <w:rPr>
                <w:rFonts w:cs="Arial"/>
                <w:bCs/>
                <w:sz w:val="20"/>
                <w:szCs w:val="20"/>
              </w:rPr>
              <w:t xml:space="preserve">Δημιουργία νέου </w:t>
            </w:r>
            <w:r w:rsidR="00C7404B">
              <w:rPr>
                <w:rFonts w:cs="Arial"/>
                <w:bCs/>
                <w:sz w:val="20"/>
                <w:szCs w:val="20"/>
              </w:rPr>
              <w:t>ά</w:t>
            </w:r>
            <w:r w:rsidRPr="001916D4">
              <w:rPr>
                <w:rFonts w:cs="Arial"/>
                <w:bCs/>
                <w:sz w:val="20"/>
                <w:szCs w:val="20"/>
              </w:rPr>
              <w:t xml:space="preserve">ρθρου με την ονομασία «Έργα και Σχέδια Συγχρηματοδοτούμενα από Πανεπιστήμιο </w:t>
            </w:r>
            <w:r w:rsidR="00C7404B" w:rsidRPr="001916D4">
              <w:rPr>
                <w:rFonts w:cs="Arial"/>
                <w:bCs/>
                <w:sz w:val="20"/>
                <w:szCs w:val="20"/>
              </w:rPr>
              <w:t>Κύπρου</w:t>
            </w:r>
            <w:r w:rsidRPr="001916D4">
              <w:rPr>
                <w:rFonts w:cs="Arial"/>
                <w:bCs/>
                <w:sz w:val="20"/>
                <w:szCs w:val="20"/>
              </w:rPr>
              <w:t>) - ΚΟΙΟΣ», έναντι κατάργησης των άρθρων 11-151, 12-151, 224, 324 και 417, στις Ομάδες 100-400. Όλες οι δαπάνες που εμπίπτουν στο παρόν άρθρο χρηματοδοτούνται από άλλες εισπράξεις (εκτός κρατικής χορηγίας).</w:t>
            </w:r>
          </w:p>
        </w:tc>
      </w:tr>
      <w:tr w:rsidR="001916D4" w:rsidRPr="00903F89" w14:paraId="05C37287" w14:textId="77777777" w:rsidTr="0080248F">
        <w:tc>
          <w:tcPr>
            <w:tcW w:w="10632" w:type="dxa"/>
            <w:tcBorders>
              <w:top w:val="nil"/>
              <w:left w:val="nil"/>
              <w:bottom w:val="nil"/>
              <w:right w:val="nil"/>
            </w:tcBorders>
            <w:shd w:val="clear" w:color="auto" w:fill="auto"/>
          </w:tcPr>
          <w:p w14:paraId="51A36E18" w14:textId="405BE183" w:rsidR="001916D4" w:rsidRPr="00903F89" w:rsidRDefault="001916D4" w:rsidP="001916D4">
            <w:pPr>
              <w:jc w:val="both"/>
              <w:rPr>
                <w:rFonts w:cs="Arial"/>
                <w:b/>
                <w:sz w:val="20"/>
                <w:szCs w:val="20"/>
                <w:u w:val="single"/>
              </w:rPr>
            </w:pPr>
          </w:p>
        </w:tc>
      </w:tr>
      <w:tr w:rsidR="001916D4" w:rsidRPr="00903F89" w14:paraId="5D5777BD" w14:textId="77777777" w:rsidTr="0080248F">
        <w:tc>
          <w:tcPr>
            <w:tcW w:w="10632" w:type="dxa"/>
            <w:tcBorders>
              <w:top w:val="nil"/>
              <w:left w:val="nil"/>
              <w:bottom w:val="nil"/>
              <w:right w:val="nil"/>
            </w:tcBorders>
            <w:shd w:val="clear" w:color="auto" w:fill="auto"/>
          </w:tcPr>
          <w:p w14:paraId="25237BF7" w14:textId="077096FE" w:rsidR="001916D4" w:rsidRPr="00903F89" w:rsidRDefault="001916D4" w:rsidP="001916D4">
            <w:pPr>
              <w:jc w:val="both"/>
              <w:rPr>
                <w:rFonts w:cs="Arial"/>
                <w:sz w:val="20"/>
                <w:szCs w:val="20"/>
              </w:rPr>
            </w:pPr>
            <w:r w:rsidRPr="001916D4">
              <w:rPr>
                <w:rFonts w:cs="Arial"/>
                <w:b/>
                <w:bCs/>
                <w:sz w:val="20"/>
                <w:szCs w:val="20"/>
                <w:u w:val="single"/>
              </w:rPr>
              <w:t xml:space="preserve">Άρθρο </w:t>
            </w:r>
            <w:r>
              <w:rPr>
                <w:rFonts w:cs="Arial"/>
                <w:b/>
                <w:bCs/>
                <w:sz w:val="20"/>
                <w:szCs w:val="20"/>
                <w:u w:val="single"/>
              </w:rPr>
              <w:t>622</w:t>
            </w:r>
            <w:r w:rsidRPr="001916D4">
              <w:rPr>
                <w:rFonts w:cs="Arial"/>
                <w:b/>
                <w:bCs/>
                <w:sz w:val="20"/>
                <w:szCs w:val="20"/>
                <w:u w:val="single"/>
              </w:rPr>
              <w:t xml:space="preserve"> </w:t>
            </w:r>
            <w:r w:rsidRPr="001916D4">
              <w:rPr>
                <w:rFonts w:eastAsia="Arial" w:cs="Arial"/>
                <w:b/>
                <w:bCs/>
                <w:sz w:val="20"/>
                <w:szCs w:val="20"/>
                <w:u w:val="single"/>
              </w:rPr>
              <w:t>–</w:t>
            </w:r>
            <w:r w:rsidRPr="001916D4">
              <w:rPr>
                <w:u w:val="single"/>
              </w:rPr>
              <w:t xml:space="preserve"> </w:t>
            </w:r>
            <w:r w:rsidRPr="001916D4">
              <w:rPr>
                <w:rFonts w:eastAsia="Arial" w:cs="Arial"/>
                <w:b/>
                <w:bCs/>
                <w:sz w:val="20"/>
                <w:szCs w:val="20"/>
                <w:u w:val="single"/>
              </w:rPr>
              <w:t xml:space="preserve">Έργα και Σχέδια Συγχρηματοδοτούμενα από Πανεπιστήμιο Κύπρου) - BIOBANK - Biobanking and the Cyprus Human Genome Project) </w:t>
            </w:r>
            <w:r>
              <w:rPr>
                <w:rFonts w:eastAsia="Arial" w:cs="Arial"/>
                <w:b/>
                <w:bCs/>
                <w:sz w:val="20"/>
                <w:szCs w:val="20"/>
                <w:u w:val="single"/>
              </w:rPr>
              <w:t>–</w:t>
            </w:r>
            <w:r w:rsidRPr="001916D4">
              <w:rPr>
                <w:rFonts w:eastAsia="Arial" w:cs="Arial"/>
                <w:b/>
                <w:bCs/>
                <w:sz w:val="20"/>
                <w:szCs w:val="20"/>
                <w:u w:val="single"/>
              </w:rPr>
              <w:t xml:space="preserve"> ΚΟΙΟΣ</w:t>
            </w:r>
            <w:r>
              <w:rPr>
                <w:rFonts w:eastAsia="Arial" w:cs="Arial"/>
                <w:b/>
                <w:bCs/>
                <w:sz w:val="20"/>
                <w:szCs w:val="20"/>
                <w:u w:val="single"/>
              </w:rPr>
              <w:t xml:space="preserve"> </w:t>
            </w:r>
            <w:r w:rsidRPr="001916D4">
              <w:rPr>
                <w:rFonts w:eastAsia="Arial" w:cs="Arial"/>
                <w:b/>
                <w:bCs/>
                <w:sz w:val="20"/>
                <w:szCs w:val="20"/>
                <w:u w:val="single"/>
              </w:rPr>
              <w:t>– €1.306.020</w:t>
            </w:r>
          </w:p>
        </w:tc>
      </w:tr>
      <w:tr w:rsidR="001916D4" w:rsidRPr="00903F89" w14:paraId="5911D5A4" w14:textId="77777777" w:rsidTr="0080248F">
        <w:tc>
          <w:tcPr>
            <w:tcW w:w="10632" w:type="dxa"/>
            <w:shd w:val="clear" w:color="auto" w:fill="auto"/>
          </w:tcPr>
          <w:p w14:paraId="7C0EA661" w14:textId="77777777" w:rsidR="001916D4" w:rsidRPr="00903F89" w:rsidRDefault="001916D4" w:rsidP="001916D4">
            <w:pPr>
              <w:jc w:val="both"/>
              <w:rPr>
                <w:rFonts w:eastAsia="Arial" w:cs="Arial"/>
                <w:b/>
                <w:sz w:val="20"/>
                <w:szCs w:val="20"/>
                <w:u w:val="single"/>
              </w:rPr>
            </w:pPr>
          </w:p>
        </w:tc>
      </w:tr>
      <w:tr w:rsidR="001916D4" w:rsidRPr="00903F89" w14:paraId="5A4EB1EE" w14:textId="77777777" w:rsidTr="0080248F">
        <w:tc>
          <w:tcPr>
            <w:tcW w:w="10632" w:type="dxa"/>
            <w:tcBorders>
              <w:top w:val="nil"/>
              <w:left w:val="nil"/>
              <w:bottom w:val="nil"/>
              <w:right w:val="nil"/>
            </w:tcBorders>
            <w:shd w:val="clear" w:color="auto" w:fill="auto"/>
          </w:tcPr>
          <w:p w14:paraId="72524C86" w14:textId="0D3D18F9" w:rsidR="001916D4" w:rsidRPr="00903F89" w:rsidRDefault="001916D4" w:rsidP="001916D4">
            <w:pPr>
              <w:jc w:val="both"/>
              <w:rPr>
                <w:rFonts w:eastAsia="Arial" w:cs="Arial"/>
                <w:sz w:val="20"/>
                <w:szCs w:val="20"/>
                <w:u w:val="single"/>
              </w:rPr>
            </w:pPr>
            <w:r w:rsidRPr="001916D4">
              <w:rPr>
                <w:rFonts w:cs="Arial"/>
                <w:bCs/>
                <w:sz w:val="20"/>
                <w:szCs w:val="20"/>
              </w:rPr>
              <w:t xml:space="preserve">Δημιουργία νέου </w:t>
            </w:r>
            <w:r w:rsidR="00C7404B">
              <w:rPr>
                <w:rFonts w:cs="Arial"/>
                <w:bCs/>
                <w:sz w:val="20"/>
                <w:szCs w:val="20"/>
              </w:rPr>
              <w:t>ά</w:t>
            </w:r>
            <w:r w:rsidRPr="001916D4">
              <w:rPr>
                <w:rFonts w:cs="Arial"/>
                <w:bCs/>
                <w:sz w:val="20"/>
                <w:szCs w:val="20"/>
              </w:rPr>
              <w:t xml:space="preserve">ρθρου με την ονομασία «Έργα και Σχέδια Συγχρηματοδοτούμενα από Πανεπιστήμιο </w:t>
            </w:r>
            <w:r w:rsidR="00C7404B" w:rsidRPr="001916D4">
              <w:rPr>
                <w:rFonts w:cs="Arial"/>
                <w:bCs/>
                <w:sz w:val="20"/>
                <w:szCs w:val="20"/>
              </w:rPr>
              <w:t>Κύπρου</w:t>
            </w:r>
            <w:r w:rsidRPr="001916D4">
              <w:rPr>
                <w:rFonts w:cs="Arial"/>
                <w:bCs/>
                <w:sz w:val="20"/>
                <w:szCs w:val="20"/>
              </w:rPr>
              <w:t xml:space="preserve"> - BIOBANK - Biobanking and the Cyprus Human Genome Project», έναντι κατάργησης των άρθρων 11-154, 12-154, 225, 329 και 418, στις Ομάδες 100-400. Όλες οι δαπάνες που εμπίπτουν στο παρόν άρθρο χρηματοδοτούνται από άλλες εισπράξεις (εκτός κρατικής χορηγίας).</w:t>
            </w:r>
          </w:p>
        </w:tc>
      </w:tr>
      <w:tr w:rsidR="001916D4" w:rsidRPr="00903F89" w14:paraId="368A8625" w14:textId="77777777" w:rsidTr="0080248F">
        <w:tc>
          <w:tcPr>
            <w:tcW w:w="10632" w:type="dxa"/>
            <w:tcBorders>
              <w:top w:val="nil"/>
              <w:left w:val="nil"/>
              <w:bottom w:val="nil"/>
              <w:right w:val="nil"/>
            </w:tcBorders>
            <w:shd w:val="clear" w:color="auto" w:fill="auto"/>
          </w:tcPr>
          <w:p w14:paraId="12B14AAD" w14:textId="77777777" w:rsidR="001916D4" w:rsidRPr="00903F89" w:rsidRDefault="001916D4" w:rsidP="001916D4">
            <w:pPr>
              <w:jc w:val="both"/>
              <w:rPr>
                <w:rFonts w:cs="Arial"/>
                <w:sz w:val="20"/>
                <w:szCs w:val="20"/>
              </w:rPr>
            </w:pPr>
            <w:bookmarkStart w:id="65" w:name="_Hlk86737348"/>
          </w:p>
        </w:tc>
      </w:tr>
      <w:tr w:rsidR="001916D4" w:rsidRPr="00903F89" w14:paraId="5A7CAE79" w14:textId="77777777" w:rsidTr="0080248F">
        <w:tc>
          <w:tcPr>
            <w:tcW w:w="10632" w:type="dxa"/>
          </w:tcPr>
          <w:p w14:paraId="1514D003" w14:textId="3136475D" w:rsidR="001916D4" w:rsidRPr="00903F89" w:rsidRDefault="001916D4" w:rsidP="001916D4">
            <w:pPr>
              <w:jc w:val="both"/>
              <w:rPr>
                <w:rFonts w:cs="Arial"/>
                <w:sz w:val="20"/>
                <w:szCs w:val="20"/>
              </w:rPr>
            </w:pPr>
            <w:r w:rsidRPr="00903F89">
              <w:rPr>
                <w:rFonts w:cs="Arial"/>
                <w:b/>
                <w:bCs/>
                <w:sz w:val="20"/>
                <w:szCs w:val="20"/>
                <w:u w:val="double"/>
              </w:rPr>
              <w:t xml:space="preserve">ΟΜΑΔΑ </w:t>
            </w:r>
            <w:r>
              <w:rPr>
                <w:rFonts w:cs="Arial"/>
                <w:b/>
                <w:bCs/>
                <w:sz w:val="20"/>
                <w:szCs w:val="20"/>
                <w:u w:val="double"/>
              </w:rPr>
              <w:t>7</w:t>
            </w:r>
            <w:r w:rsidRPr="00903F89">
              <w:rPr>
                <w:rFonts w:cs="Arial"/>
                <w:b/>
                <w:bCs/>
                <w:sz w:val="20"/>
                <w:szCs w:val="20"/>
                <w:u w:val="double"/>
              </w:rPr>
              <w:t xml:space="preserve">00 – </w:t>
            </w:r>
            <w:r w:rsidRPr="00F24983">
              <w:rPr>
                <w:rFonts w:cs="Arial"/>
                <w:b/>
                <w:bCs/>
                <w:sz w:val="20"/>
                <w:szCs w:val="20"/>
                <w:u w:val="double"/>
              </w:rPr>
              <w:t>ΜΗ ΠΡΟΒΛΕΠΟΜΕΝΕΣ ΔΑΠΑΝΕΣ ΚΑΙ ΑΠΟΘΕΜΑΤΙΚΟ</w:t>
            </w:r>
          </w:p>
        </w:tc>
      </w:tr>
      <w:tr w:rsidR="001916D4" w:rsidRPr="00903F89" w14:paraId="38706DA8" w14:textId="77777777" w:rsidTr="0080248F">
        <w:tc>
          <w:tcPr>
            <w:tcW w:w="10632" w:type="dxa"/>
          </w:tcPr>
          <w:p w14:paraId="47663E4A" w14:textId="77777777" w:rsidR="001916D4" w:rsidRPr="00903F89" w:rsidRDefault="001916D4" w:rsidP="001916D4">
            <w:pPr>
              <w:jc w:val="both"/>
              <w:rPr>
                <w:rFonts w:cs="Arial"/>
                <w:sz w:val="20"/>
                <w:szCs w:val="20"/>
              </w:rPr>
            </w:pPr>
          </w:p>
        </w:tc>
      </w:tr>
      <w:tr w:rsidR="001916D4" w:rsidRPr="00903F89" w14:paraId="25675CCE" w14:textId="77777777" w:rsidTr="0080248F">
        <w:tc>
          <w:tcPr>
            <w:tcW w:w="10632" w:type="dxa"/>
            <w:shd w:val="clear" w:color="auto" w:fill="auto"/>
          </w:tcPr>
          <w:p w14:paraId="34B88231" w14:textId="2BFB0F8C" w:rsidR="001916D4" w:rsidRPr="00903F89" w:rsidRDefault="001916D4" w:rsidP="001916D4">
            <w:pPr>
              <w:jc w:val="both"/>
              <w:rPr>
                <w:rFonts w:cs="Arial"/>
                <w:sz w:val="20"/>
                <w:szCs w:val="20"/>
              </w:rPr>
            </w:pPr>
            <w:r>
              <w:rPr>
                <w:rFonts w:cs="Arial"/>
                <w:b/>
                <w:bCs/>
                <w:sz w:val="20"/>
                <w:szCs w:val="20"/>
                <w:u w:val="single"/>
              </w:rPr>
              <w:t>Υποομάδα</w:t>
            </w:r>
            <w:r w:rsidRPr="00903F89">
              <w:rPr>
                <w:rFonts w:cs="Arial"/>
                <w:b/>
                <w:bCs/>
                <w:sz w:val="20"/>
                <w:szCs w:val="20"/>
                <w:u w:val="single"/>
              </w:rPr>
              <w:t xml:space="preserve"> </w:t>
            </w:r>
            <w:r>
              <w:rPr>
                <w:rFonts w:cs="Arial"/>
                <w:b/>
                <w:bCs/>
                <w:sz w:val="20"/>
                <w:szCs w:val="20"/>
                <w:u w:val="single"/>
              </w:rPr>
              <w:t>7</w:t>
            </w:r>
            <w:r w:rsidRPr="00903F89">
              <w:rPr>
                <w:rFonts w:cs="Arial"/>
                <w:b/>
                <w:bCs/>
                <w:sz w:val="20"/>
                <w:szCs w:val="20"/>
                <w:u w:val="single"/>
              </w:rPr>
              <w:t xml:space="preserve">01 – </w:t>
            </w:r>
            <w:r w:rsidRPr="00F24983">
              <w:rPr>
                <w:rFonts w:cs="Arial"/>
                <w:b/>
                <w:bCs/>
                <w:sz w:val="20"/>
                <w:szCs w:val="20"/>
                <w:u w:val="single"/>
              </w:rPr>
              <w:t>Μη Προβλεπόμενες Δαπάνες και Αποθεματικό</w:t>
            </w:r>
          </w:p>
        </w:tc>
      </w:tr>
      <w:tr w:rsidR="001916D4" w:rsidRPr="00903F89" w14:paraId="11C04D7C" w14:textId="77777777" w:rsidTr="0080248F">
        <w:tc>
          <w:tcPr>
            <w:tcW w:w="10632" w:type="dxa"/>
            <w:shd w:val="clear" w:color="auto" w:fill="auto"/>
          </w:tcPr>
          <w:p w14:paraId="0A9503D2" w14:textId="77777777" w:rsidR="001916D4" w:rsidRDefault="001916D4" w:rsidP="001916D4">
            <w:pPr>
              <w:jc w:val="both"/>
              <w:rPr>
                <w:rFonts w:cs="Arial"/>
                <w:b/>
                <w:bCs/>
                <w:sz w:val="20"/>
                <w:szCs w:val="20"/>
                <w:u w:val="single"/>
              </w:rPr>
            </w:pPr>
          </w:p>
        </w:tc>
      </w:tr>
      <w:tr w:rsidR="001916D4" w:rsidRPr="00903F89" w14:paraId="449A7E51" w14:textId="77777777" w:rsidTr="0080248F">
        <w:tc>
          <w:tcPr>
            <w:tcW w:w="10632" w:type="dxa"/>
            <w:shd w:val="clear" w:color="auto" w:fill="auto"/>
          </w:tcPr>
          <w:p w14:paraId="17F59D26" w14:textId="77B9C586" w:rsidR="001916D4" w:rsidRPr="00903F89" w:rsidRDefault="001916D4" w:rsidP="001916D4">
            <w:pPr>
              <w:jc w:val="both"/>
              <w:rPr>
                <w:rFonts w:cs="Arial"/>
                <w:sz w:val="20"/>
                <w:szCs w:val="20"/>
              </w:rPr>
            </w:pPr>
            <w:r>
              <w:rPr>
                <w:rFonts w:cs="Arial"/>
                <w:b/>
                <w:bCs/>
                <w:sz w:val="20"/>
                <w:szCs w:val="20"/>
                <w:u w:val="single"/>
              </w:rPr>
              <w:t>Άρθρο 702</w:t>
            </w:r>
            <w:r w:rsidRPr="00903F89">
              <w:rPr>
                <w:rFonts w:cs="Arial"/>
                <w:b/>
                <w:bCs/>
                <w:sz w:val="20"/>
                <w:szCs w:val="20"/>
                <w:u w:val="single"/>
              </w:rPr>
              <w:t xml:space="preserve"> – Μη Προβλεπόμενες Δαπάνες </w:t>
            </w:r>
            <w:r>
              <w:rPr>
                <w:rFonts w:cs="Arial"/>
                <w:b/>
                <w:bCs/>
                <w:sz w:val="20"/>
                <w:szCs w:val="20"/>
                <w:u w:val="single"/>
              </w:rPr>
              <w:t>και Αποθεματικό</w:t>
            </w:r>
            <w:r w:rsidRPr="00903F89">
              <w:rPr>
                <w:rFonts w:cs="Arial"/>
                <w:b/>
                <w:bCs/>
                <w:sz w:val="20"/>
                <w:szCs w:val="20"/>
                <w:u w:val="single"/>
              </w:rPr>
              <w:t xml:space="preserve"> – €</w:t>
            </w:r>
            <w:r>
              <w:rPr>
                <w:rFonts w:cs="Arial"/>
                <w:b/>
                <w:bCs/>
                <w:sz w:val="20"/>
                <w:szCs w:val="20"/>
                <w:u w:val="single"/>
              </w:rPr>
              <w:t>400.000</w:t>
            </w:r>
          </w:p>
        </w:tc>
      </w:tr>
      <w:tr w:rsidR="001916D4" w:rsidRPr="00903F89" w14:paraId="6C7C4136" w14:textId="77777777" w:rsidTr="0080248F">
        <w:tc>
          <w:tcPr>
            <w:tcW w:w="10632" w:type="dxa"/>
            <w:shd w:val="clear" w:color="auto" w:fill="auto"/>
          </w:tcPr>
          <w:p w14:paraId="5AD9B186" w14:textId="77777777" w:rsidR="001916D4" w:rsidRDefault="001916D4" w:rsidP="001916D4">
            <w:pPr>
              <w:jc w:val="both"/>
              <w:rPr>
                <w:rFonts w:cs="Arial"/>
                <w:b/>
                <w:bCs/>
                <w:sz w:val="20"/>
                <w:szCs w:val="20"/>
                <w:u w:val="single"/>
              </w:rPr>
            </w:pPr>
          </w:p>
        </w:tc>
      </w:tr>
      <w:tr w:rsidR="001916D4" w:rsidRPr="00903F89" w14:paraId="01E354F0" w14:textId="77777777" w:rsidTr="0080248F">
        <w:tc>
          <w:tcPr>
            <w:tcW w:w="10632" w:type="dxa"/>
            <w:shd w:val="clear" w:color="auto" w:fill="auto"/>
          </w:tcPr>
          <w:p w14:paraId="110B8468" w14:textId="5DF89F84" w:rsidR="001916D4" w:rsidRPr="00F24983" w:rsidRDefault="001916D4" w:rsidP="001916D4">
            <w:pPr>
              <w:jc w:val="both"/>
              <w:rPr>
                <w:rFonts w:cs="Arial"/>
                <w:bCs/>
                <w:sz w:val="20"/>
                <w:szCs w:val="20"/>
              </w:rPr>
            </w:pPr>
            <w:r w:rsidRPr="00F24983">
              <w:rPr>
                <w:rFonts w:cs="Arial"/>
                <w:bCs/>
                <w:sz w:val="20"/>
                <w:szCs w:val="20"/>
              </w:rPr>
              <w:t>Το παρόν άρθρο (βλ. 501 «Μη Προβλεπόμενες Δαπάνες και Αποθεματικό» σε Προϋπολογισμούς προηγούμενων ετών), αριθμείται ως 702 και παρουσιάζεται στην Υποομάδα 701 «Μη Προβλεπόμενες Δαπάνες και Αποθεματικό».</w:t>
            </w:r>
          </w:p>
        </w:tc>
      </w:tr>
      <w:tr w:rsidR="001916D4" w:rsidRPr="00903F89" w14:paraId="0F1214F6" w14:textId="77777777" w:rsidTr="0080248F">
        <w:tc>
          <w:tcPr>
            <w:tcW w:w="10632" w:type="dxa"/>
            <w:shd w:val="clear" w:color="auto" w:fill="auto"/>
          </w:tcPr>
          <w:p w14:paraId="32A21526" w14:textId="77777777" w:rsidR="001916D4" w:rsidRDefault="001916D4" w:rsidP="001916D4">
            <w:pPr>
              <w:jc w:val="both"/>
              <w:rPr>
                <w:rFonts w:cs="Arial"/>
                <w:b/>
                <w:bCs/>
                <w:sz w:val="20"/>
                <w:szCs w:val="20"/>
                <w:u w:val="single"/>
              </w:rPr>
            </w:pPr>
          </w:p>
        </w:tc>
      </w:tr>
      <w:tr w:rsidR="001916D4" w:rsidRPr="00903F89" w14:paraId="04D3E5F8" w14:textId="77777777" w:rsidTr="0080248F">
        <w:tc>
          <w:tcPr>
            <w:tcW w:w="10632" w:type="dxa"/>
          </w:tcPr>
          <w:p w14:paraId="6FF428F3" w14:textId="7B309639" w:rsidR="001916D4" w:rsidRPr="00903F89" w:rsidRDefault="001916D4" w:rsidP="001916D4">
            <w:pPr>
              <w:jc w:val="both"/>
              <w:rPr>
                <w:rFonts w:cs="Arial"/>
                <w:sz w:val="20"/>
                <w:szCs w:val="20"/>
              </w:rPr>
            </w:pPr>
            <w:r w:rsidRPr="00903F89">
              <w:rPr>
                <w:rFonts w:cs="Arial"/>
                <w:sz w:val="20"/>
                <w:szCs w:val="20"/>
              </w:rPr>
              <w:t xml:space="preserve">Η πρόνοια χρηματοδοτείται από άλλα έσοδα τα οποία προέρχονται εκτός κρατικής χορηγίας και προορίζεται να καλύψει τυχόν απρόβλεπτες δαπάνες στα Κεφάλαια που επιτρέπει ο περί Προϋπολογισμού του Πανεπιστημίου Κύπρου Νόμος.  </w:t>
            </w:r>
          </w:p>
        </w:tc>
      </w:tr>
      <w:tr w:rsidR="001916D4" w:rsidRPr="00903F89" w14:paraId="3E3093E9" w14:textId="77777777" w:rsidTr="0080248F">
        <w:tc>
          <w:tcPr>
            <w:tcW w:w="10632" w:type="dxa"/>
          </w:tcPr>
          <w:p w14:paraId="6267ABA4" w14:textId="77777777" w:rsidR="001916D4" w:rsidRPr="00903F89" w:rsidRDefault="001916D4" w:rsidP="001916D4">
            <w:pPr>
              <w:jc w:val="both"/>
              <w:rPr>
                <w:rFonts w:cs="Arial"/>
                <w:sz w:val="20"/>
                <w:szCs w:val="20"/>
              </w:rPr>
            </w:pPr>
          </w:p>
        </w:tc>
      </w:tr>
      <w:tr w:rsidR="001916D4" w:rsidRPr="00903F89" w14:paraId="58F8236A" w14:textId="77777777" w:rsidTr="0080248F">
        <w:tc>
          <w:tcPr>
            <w:tcW w:w="10632" w:type="dxa"/>
          </w:tcPr>
          <w:p w14:paraId="3F025EB5" w14:textId="11FFF26F" w:rsidR="001916D4" w:rsidRPr="00903F89" w:rsidRDefault="001916D4" w:rsidP="001916D4">
            <w:pPr>
              <w:jc w:val="both"/>
              <w:rPr>
                <w:rFonts w:cs="Arial"/>
                <w:sz w:val="20"/>
                <w:szCs w:val="20"/>
              </w:rPr>
            </w:pPr>
            <w:r w:rsidRPr="00903F89">
              <w:rPr>
                <w:rFonts w:cs="Arial"/>
                <w:sz w:val="20"/>
                <w:szCs w:val="20"/>
              </w:rPr>
              <w:t>Η λογιστική διαδικασία που ακολουθείται είναι βάσει του Διεθνούς Λογιστικού Πρότυπου 20 (για τις κυβερνητικές επιχορηγήσεις και τη δημοσιοποίηση της κυβερνητικής βοήθειας) και των εισηγήσεων του Γραφείου του Γενικού Ελεγκτή της Κυπριακής Δημοκρατίας.</w:t>
            </w:r>
          </w:p>
        </w:tc>
      </w:tr>
      <w:tr w:rsidR="001916D4" w:rsidRPr="00903F89" w14:paraId="76D65ED1" w14:textId="77777777" w:rsidTr="0080248F">
        <w:tc>
          <w:tcPr>
            <w:tcW w:w="10632" w:type="dxa"/>
          </w:tcPr>
          <w:p w14:paraId="50B97BFC" w14:textId="77777777" w:rsidR="001916D4" w:rsidRPr="00903F89" w:rsidRDefault="001916D4" w:rsidP="001916D4">
            <w:pPr>
              <w:jc w:val="both"/>
              <w:rPr>
                <w:rFonts w:cs="Arial"/>
                <w:sz w:val="20"/>
                <w:szCs w:val="20"/>
              </w:rPr>
            </w:pPr>
          </w:p>
        </w:tc>
      </w:tr>
      <w:tr w:rsidR="001916D4" w:rsidRPr="00903F89" w14:paraId="2B83815C" w14:textId="77777777" w:rsidTr="0080248F">
        <w:tc>
          <w:tcPr>
            <w:tcW w:w="10632" w:type="dxa"/>
          </w:tcPr>
          <w:p w14:paraId="341BD9E9" w14:textId="2B32D419" w:rsidR="001916D4" w:rsidRPr="00903F89" w:rsidRDefault="001916D4" w:rsidP="001916D4">
            <w:pPr>
              <w:jc w:val="both"/>
              <w:rPr>
                <w:rFonts w:cs="Arial"/>
                <w:sz w:val="20"/>
                <w:szCs w:val="20"/>
              </w:rPr>
            </w:pPr>
            <w:r>
              <w:rPr>
                <w:rFonts w:cs="Arial"/>
                <w:b/>
                <w:bCs/>
                <w:sz w:val="20"/>
                <w:szCs w:val="20"/>
                <w:u w:val="single"/>
              </w:rPr>
              <w:t>Άρθρο 703</w:t>
            </w:r>
            <w:r w:rsidRPr="00903F89">
              <w:rPr>
                <w:rFonts w:cs="Arial"/>
                <w:b/>
                <w:bCs/>
                <w:sz w:val="20"/>
                <w:szCs w:val="20"/>
                <w:u w:val="single"/>
              </w:rPr>
              <w:t xml:space="preserve"> – Μη Προβλεπόμενες Δαπάνες από Εισφορές/Δωρεές/Κληροδοτήματα και Άλλα Έσοδα – €250.000</w:t>
            </w:r>
          </w:p>
        </w:tc>
      </w:tr>
      <w:tr w:rsidR="001916D4" w:rsidRPr="00903F89" w14:paraId="2DF42D84" w14:textId="77777777" w:rsidTr="0080248F">
        <w:tc>
          <w:tcPr>
            <w:tcW w:w="10632" w:type="dxa"/>
          </w:tcPr>
          <w:p w14:paraId="54FDF6DC" w14:textId="77777777" w:rsidR="001916D4" w:rsidRPr="00903F89" w:rsidRDefault="001916D4" w:rsidP="001916D4">
            <w:pPr>
              <w:jc w:val="both"/>
              <w:rPr>
                <w:rFonts w:cs="Arial"/>
                <w:sz w:val="20"/>
                <w:szCs w:val="20"/>
              </w:rPr>
            </w:pPr>
          </w:p>
        </w:tc>
      </w:tr>
      <w:tr w:rsidR="001916D4" w:rsidRPr="00903F89" w14:paraId="4017ED61" w14:textId="77777777" w:rsidTr="0080248F">
        <w:tc>
          <w:tcPr>
            <w:tcW w:w="10632" w:type="dxa"/>
            <w:shd w:val="clear" w:color="auto" w:fill="auto"/>
          </w:tcPr>
          <w:p w14:paraId="5B50A6B2" w14:textId="54572A67" w:rsidR="001916D4" w:rsidRPr="00903F89" w:rsidRDefault="001916D4" w:rsidP="001916D4">
            <w:pPr>
              <w:jc w:val="both"/>
              <w:rPr>
                <w:rFonts w:cs="Arial"/>
                <w:sz w:val="20"/>
                <w:szCs w:val="20"/>
              </w:rPr>
            </w:pPr>
            <w:r w:rsidRPr="00F24983">
              <w:rPr>
                <w:rFonts w:cs="Arial"/>
                <w:sz w:val="20"/>
                <w:szCs w:val="20"/>
              </w:rPr>
              <w:t>Το παρόν άρθρο (βλ. 502 «Δαπάνες από Εισφορές/ Δωρεές/ Κληροδοτήματα και Άλλα Έσοδα» σε Προϋπολογισμούς προηγούμενων ετών), μετονομάζεται  σε «Μη Προβλεπόμενες Δαπάνες από Εισφορές/ Δωρεές/ Κληροδοτήματα και Άλλα Έσοδα», αριθμείται ως 703 και παρουσιάζεται στην Υποομάδα 701 «Μη Προβλεπόμενες Δαπάνες και Αποθεματικό».</w:t>
            </w:r>
          </w:p>
        </w:tc>
      </w:tr>
      <w:tr w:rsidR="001916D4" w:rsidRPr="00903F89" w14:paraId="02C94365" w14:textId="77777777" w:rsidTr="0080248F">
        <w:tc>
          <w:tcPr>
            <w:tcW w:w="10632" w:type="dxa"/>
          </w:tcPr>
          <w:p w14:paraId="53947E97" w14:textId="77777777" w:rsidR="001916D4" w:rsidRPr="00903F89" w:rsidRDefault="001916D4" w:rsidP="001916D4">
            <w:pPr>
              <w:jc w:val="both"/>
              <w:rPr>
                <w:rFonts w:cs="Arial"/>
                <w:sz w:val="20"/>
                <w:szCs w:val="20"/>
              </w:rPr>
            </w:pPr>
          </w:p>
        </w:tc>
      </w:tr>
      <w:tr w:rsidR="001916D4" w:rsidRPr="00903F89" w14:paraId="626A7EB5" w14:textId="77777777" w:rsidTr="0080248F">
        <w:tc>
          <w:tcPr>
            <w:tcW w:w="10632" w:type="dxa"/>
          </w:tcPr>
          <w:p w14:paraId="766A2DC3" w14:textId="0C06DD37" w:rsidR="001916D4" w:rsidRPr="00903F89" w:rsidRDefault="001916D4" w:rsidP="001916D4">
            <w:pPr>
              <w:jc w:val="both"/>
              <w:rPr>
                <w:rFonts w:cs="Arial"/>
                <w:sz w:val="20"/>
                <w:szCs w:val="20"/>
              </w:rPr>
            </w:pPr>
            <w:r w:rsidRPr="00903F89">
              <w:rPr>
                <w:rFonts w:cs="Arial"/>
                <w:sz w:val="20"/>
                <w:szCs w:val="20"/>
              </w:rPr>
              <w:t>Η πρόνοια αυτή προορίζεται κυρίως να καλύψει απρόβλεπτες δαπάνες που διενεργούνται από άλλες εισπράξεις του Πανεπιστημίου Κύπρου, τα οποία προορίζονται για συγκεκριμένους σκοπούς και περιλαμβάνουν τα ακόλουθα:</w:t>
            </w:r>
          </w:p>
        </w:tc>
      </w:tr>
      <w:tr w:rsidR="001916D4" w:rsidRPr="00903F89" w14:paraId="1A255132" w14:textId="77777777" w:rsidTr="0080248F">
        <w:tc>
          <w:tcPr>
            <w:tcW w:w="10632" w:type="dxa"/>
          </w:tcPr>
          <w:p w14:paraId="1FC315BA" w14:textId="77777777" w:rsidR="001916D4" w:rsidRPr="00903F89" w:rsidRDefault="001916D4" w:rsidP="001916D4">
            <w:pPr>
              <w:jc w:val="both"/>
              <w:rPr>
                <w:rFonts w:cs="Arial"/>
                <w:sz w:val="20"/>
                <w:szCs w:val="20"/>
              </w:rPr>
            </w:pPr>
          </w:p>
        </w:tc>
      </w:tr>
      <w:tr w:rsidR="001916D4" w:rsidRPr="00903F89" w14:paraId="2E21340A" w14:textId="77777777" w:rsidTr="0080248F">
        <w:tc>
          <w:tcPr>
            <w:tcW w:w="10632" w:type="dxa"/>
          </w:tcPr>
          <w:p w14:paraId="7E61417F" w14:textId="77777777" w:rsidR="001916D4" w:rsidRPr="00903F89" w:rsidRDefault="001916D4" w:rsidP="001916D4">
            <w:pPr>
              <w:numPr>
                <w:ilvl w:val="0"/>
                <w:numId w:val="11"/>
              </w:numPr>
              <w:ind w:left="599" w:hanging="599"/>
              <w:jc w:val="both"/>
              <w:rPr>
                <w:rFonts w:eastAsia="Arial" w:cs="Arial"/>
                <w:sz w:val="20"/>
                <w:szCs w:val="20"/>
              </w:rPr>
            </w:pPr>
            <w:r w:rsidRPr="00903F89">
              <w:rPr>
                <w:rFonts w:cs="Arial"/>
                <w:sz w:val="20"/>
                <w:szCs w:val="20"/>
              </w:rPr>
              <w:t>Εισφορές</w:t>
            </w:r>
          </w:p>
          <w:p w14:paraId="741AA004" w14:textId="77777777" w:rsidR="001916D4" w:rsidRPr="00903F89" w:rsidRDefault="001916D4" w:rsidP="001916D4">
            <w:pPr>
              <w:numPr>
                <w:ilvl w:val="0"/>
                <w:numId w:val="11"/>
              </w:numPr>
              <w:ind w:left="599" w:hanging="599"/>
              <w:jc w:val="both"/>
              <w:rPr>
                <w:rFonts w:eastAsia="Arial" w:cs="Arial"/>
                <w:sz w:val="20"/>
                <w:szCs w:val="20"/>
              </w:rPr>
            </w:pPr>
            <w:r w:rsidRPr="00903F89">
              <w:rPr>
                <w:rFonts w:cs="Arial"/>
                <w:sz w:val="20"/>
                <w:szCs w:val="20"/>
              </w:rPr>
              <w:t>Δωρεές</w:t>
            </w:r>
          </w:p>
          <w:p w14:paraId="3C79B576" w14:textId="77777777" w:rsidR="001916D4" w:rsidRPr="00903F89" w:rsidRDefault="001916D4" w:rsidP="001916D4">
            <w:pPr>
              <w:numPr>
                <w:ilvl w:val="0"/>
                <w:numId w:val="11"/>
              </w:numPr>
              <w:ind w:left="599" w:hanging="599"/>
              <w:jc w:val="both"/>
              <w:rPr>
                <w:rFonts w:eastAsia="Arial" w:cs="Arial"/>
                <w:sz w:val="20"/>
                <w:szCs w:val="20"/>
              </w:rPr>
            </w:pPr>
            <w:r w:rsidRPr="00903F89">
              <w:rPr>
                <w:rFonts w:cs="Arial"/>
                <w:sz w:val="20"/>
                <w:szCs w:val="20"/>
              </w:rPr>
              <w:t>Κληροδοτήματα</w:t>
            </w:r>
          </w:p>
          <w:p w14:paraId="24333B06" w14:textId="77777777" w:rsidR="001916D4" w:rsidRPr="00903F89" w:rsidRDefault="001916D4" w:rsidP="001916D4">
            <w:pPr>
              <w:numPr>
                <w:ilvl w:val="0"/>
                <w:numId w:val="11"/>
              </w:numPr>
              <w:ind w:left="599" w:hanging="599"/>
              <w:jc w:val="both"/>
              <w:rPr>
                <w:rFonts w:eastAsia="Arial" w:cs="Arial"/>
                <w:sz w:val="20"/>
                <w:szCs w:val="20"/>
              </w:rPr>
            </w:pPr>
            <w:r w:rsidRPr="00903F89">
              <w:rPr>
                <w:rFonts w:cs="Arial"/>
                <w:sz w:val="20"/>
                <w:szCs w:val="20"/>
              </w:rPr>
              <w:t>Συνέδρια</w:t>
            </w:r>
          </w:p>
          <w:p w14:paraId="441799A2" w14:textId="77777777" w:rsidR="001916D4" w:rsidRDefault="001916D4" w:rsidP="001916D4">
            <w:pPr>
              <w:numPr>
                <w:ilvl w:val="0"/>
                <w:numId w:val="11"/>
              </w:numPr>
              <w:ind w:left="599" w:hanging="599"/>
              <w:jc w:val="both"/>
              <w:rPr>
                <w:rFonts w:eastAsia="Arial" w:cs="Arial"/>
                <w:sz w:val="20"/>
                <w:szCs w:val="20"/>
              </w:rPr>
            </w:pPr>
            <w:r w:rsidRPr="00903F89">
              <w:rPr>
                <w:rFonts w:cs="Arial"/>
                <w:sz w:val="20"/>
                <w:szCs w:val="20"/>
              </w:rPr>
              <w:t>Αξιοποίηση Πνευματικών Δικαιωμάτων</w:t>
            </w:r>
          </w:p>
          <w:p w14:paraId="6D353AE4" w14:textId="10486356" w:rsidR="001916D4" w:rsidRPr="00F24983" w:rsidRDefault="001916D4" w:rsidP="001916D4">
            <w:pPr>
              <w:numPr>
                <w:ilvl w:val="0"/>
                <w:numId w:val="11"/>
              </w:numPr>
              <w:ind w:left="599" w:hanging="599"/>
              <w:jc w:val="both"/>
              <w:rPr>
                <w:rFonts w:eastAsia="Arial" w:cs="Arial"/>
                <w:sz w:val="20"/>
                <w:szCs w:val="20"/>
              </w:rPr>
            </w:pPr>
            <w:r w:rsidRPr="00F24983">
              <w:rPr>
                <w:rFonts w:cs="Arial"/>
                <w:sz w:val="20"/>
                <w:szCs w:val="20"/>
              </w:rPr>
              <w:t>Άλλες Δραστηριότητες.</w:t>
            </w:r>
          </w:p>
        </w:tc>
      </w:tr>
      <w:tr w:rsidR="001916D4" w:rsidRPr="00903F89" w14:paraId="123D3388" w14:textId="77777777" w:rsidTr="0080248F">
        <w:tc>
          <w:tcPr>
            <w:tcW w:w="10632" w:type="dxa"/>
          </w:tcPr>
          <w:p w14:paraId="4A289732" w14:textId="77777777" w:rsidR="001916D4" w:rsidRPr="00903F89" w:rsidRDefault="001916D4" w:rsidP="001916D4">
            <w:pPr>
              <w:jc w:val="both"/>
              <w:rPr>
                <w:rFonts w:cs="Arial"/>
                <w:sz w:val="20"/>
                <w:szCs w:val="20"/>
              </w:rPr>
            </w:pPr>
          </w:p>
        </w:tc>
      </w:tr>
      <w:tr w:rsidR="001916D4" w:rsidRPr="00903F89" w14:paraId="2E8FFD94" w14:textId="77777777" w:rsidTr="0080248F">
        <w:tc>
          <w:tcPr>
            <w:tcW w:w="10632" w:type="dxa"/>
          </w:tcPr>
          <w:p w14:paraId="2063C52C" w14:textId="5284AC64" w:rsidR="001916D4" w:rsidRPr="00903F89" w:rsidRDefault="001916D4" w:rsidP="001916D4">
            <w:pPr>
              <w:jc w:val="both"/>
              <w:rPr>
                <w:rFonts w:cs="Arial"/>
                <w:sz w:val="20"/>
                <w:szCs w:val="20"/>
              </w:rPr>
            </w:pPr>
            <w:r w:rsidRPr="00903F89">
              <w:rPr>
                <w:rFonts w:cs="Arial"/>
                <w:sz w:val="20"/>
                <w:szCs w:val="20"/>
              </w:rPr>
              <w:t>Η λογιστική διαδικασία που ακολουθείται είναι βάσει του Διεθνούς Λογιστικού Πρότυπου 20 (για τις κυβερνητικές επιχορηγήσεις και τη δημοσιοποίηση της κυβερνητικής βοήθειας) και των εισηγήσεων του Γραφείου του Γενικού Ελεγκτή της Κυπριακής Δημοκρατίας.</w:t>
            </w:r>
          </w:p>
        </w:tc>
      </w:tr>
      <w:bookmarkEnd w:id="65"/>
    </w:tbl>
    <w:p w14:paraId="76954044" w14:textId="1DBA175B" w:rsidR="00EE03EB" w:rsidRDefault="00EE03EB" w:rsidP="00903F89">
      <w:pPr>
        <w:jc w:val="both"/>
        <w:rPr>
          <w:rFonts w:cs="Arial"/>
          <w:b/>
          <w:sz w:val="20"/>
          <w:szCs w:val="20"/>
          <w:u w:val="single"/>
        </w:rPr>
      </w:pPr>
    </w:p>
    <w:p w14:paraId="332DB4ED" w14:textId="77777777" w:rsidR="0080248F" w:rsidRDefault="0080248F">
      <w:pPr>
        <w:spacing w:after="200" w:line="276" w:lineRule="auto"/>
        <w:rPr>
          <w:rFonts w:cs="Arial"/>
          <w:b/>
          <w:noProof/>
          <w:sz w:val="20"/>
          <w:szCs w:val="20"/>
          <w:u w:val="single"/>
        </w:rPr>
      </w:pPr>
      <w:r>
        <w:rPr>
          <w:rFonts w:cs="Arial"/>
          <w:b/>
          <w:noProof/>
          <w:sz w:val="20"/>
          <w:szCs w:val="20"/>
          <w:u w:val="single"/>
        </w:rPr>
        <w:br w:type="page"/>
      </w:r>
    </w:p>
    <w:p w14:paraId="43698215" w14:textId="262D4E9D" w:rsidR="00EE03EB" w:rsidRPr="0080619A" w:rsidRDefault="00EE03EB" w:rsidP="00EE03EB">
      <w:pPr>
        <w:jc w:val="right"/>
        <w:rPr>
          <w:rFonts w:cs="Arial"/>
          <w:b/>
          <w:noProof/>
          <w:sz w:val="20"/>
          <w:szCs w:val="20"/>
          <w:u w:val="single"/>
        </w:rPr>
      </w:pPr>
      <w:r w:rsidRPr="0080619A">
        <w:rPr>
          <w:rFonts w:cs="Arial"/>
          <w:b/>
          <w:noProof/>
          <w:sz w:val="20"/>
          <w:szCs w:val="20"/>
          <w:u w:val="single"/>
        </w:rPr>
        <w:t>ΠΑΡΑΡΤΗΜΑ Ι</w:t>
      </w:r>
    </w:p>
    <w:p w14:paraId="187A590A" w14:textId="597C9DAC" w:rsidR="00EE03EB" w:rsidRDefault="00EE03EB" w:rsidP="00EE03EB">
      <w:pPr>
        <w:jc w:val="center"/>
        <w:rPr>
          <w:rFonts w:cs="Arial"/>
          <w:b/>
          <w:sz w:val="20"/>
          <w:szCs w:val="20"/>
          <w:u w:val="single"/>
        </w:rPr>
      </w:pPr>
      <w:r w:rsidRPr="00903F89">
        <w:rPr>
          <w:rFonts w:cs="Arial"/>
          <w:noProof/>
          <w:sz w:val="20"/>
          <w:szCs w:val="20"/>
        </w:rPr>
        <w:drawing>
          <wp:inline distT="0" distB="0" distL="0" distR="0" wp14:anchorId="41364A96" wp14:editId="4F7E5ED8">
            <wp:extent cx="8281098" cy="34921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326371" cy="3511217"/>
                    </a:xfrm>
                    <a:prstGeom prst="rect">
                      <a:avLst/>
                    </a:prstGeom>
                    <a:noFill/>
                    <a:ln>
                      <a:noFill/>
                    </a:ln>
                  </pic:spPr>
                </pic:pic>
              </a:graphicData>
            </a:graphic>
          </wp:inline>
        </w:drawing>
      </w:r>
      <w:r>
        <w:rPr>
          <w:rFonts w:cs="Arial"/>
          <w:b/>
          <w:sz w:val="20"/>
          <w:szCs w:val="20"/>
          <w:u w:val="single"/>
        </w:rPr>
        <w:br w:type="page"/>
      </w:r>
    </w:p>
    <w:p w14:paraId="37681F36" w14:textId="77777777" w:rsidR="0080619A" w:rsidRDefault="00EE03EB" w:rsidP="0080619A">
      <w:pPr>
        <w:jc w:val="right"/>
        <w:rPr>
          <w:rFonts w:cs="Arial"/>
          <w:b/>
          <w:sz w:val="20"/>
          <w:szCs w:val="20"/>
          <w:u w:val="single"/>
        </w:rPr>
      </w:pPr>
      <w:r w:rsidRPr="00EE03EB">
        <w:rPr>
          <w:rFonts w:cs="Arial"/>
          <w:b/>
          <w:sz w:val="20"/>
          <w:szCs w:val="20"/>
          <w:u w:val="single"/>
        </w:rPr>
        <w:t>ΠΑΡΑΡΤΗΜΑ ΙΙ</w:t>
      </w:r>
    </w:p>
    <w:p w14:paraId="0DF3439D" w14:textId="0920EA38" w:rsidR="00035687" w:rsidRDefault="00B70EB4" w:rsidP="00035687">
      <w:pPr>
        <w:spacing w:after="200" w:line="276" w:lineRule="auto"/>
        <w:jc w:val="center"/>
        <w:rPr>
          <w:rFonts w:cs="Arial"/>
          <w:sz w:val="20"/>
          <w:szCs w:val="20"/>
        </w:rPr>
      </w:pPr>
      <w:r w:rsidRPr="00B70EB4">
        <w:rPr>
          <w:noProof/>
        </w:rPr>
        <w:drawing>
          <wp:inline distT="0" distB="0" distL="0" distR="0" wp14:anchorId="2DF9A8B7" wp14:editId="7C6934DE">
            <wp:extent cx="8307694" cy="5503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307694" cy="5503509"/>
                    </a:xfrm>
                    <a:prstGeom prst="rect">
                      <a:avLst/>
                    </a:prstGeom>
                    <a:noFill/>
                    <a:ln>
                      <a:noFill/>
                    </a:ln>
                  </pic:spPr>
                </pic:pic>
              </a:graphicData>
            </a:graphic>
          </wp:inline>
        </w:drawing>
      </w:r>
      <w:r w:rsidR="00035687">
        <w:rPr>
          <w:rFonts w:cs="Arial"/>
          <w:sz w:val="20"/>
          <w:szCs w:val="20"/>
        </w:rPr>
        <w:br w:type="page"/>
      </w:r>
    </w:p>
    <w:p w14:paraId="2449E203" w14:textId="77777777" w:rsidR="0080619A" w:rsidRDefault="0080619A" w:rsidP="00035687">
      <w:pPr>
        <w:spacing w:after="200" w:line="276" w:lineRule="auto"/>
        <w:jc w:val="center"/>
        <w:rPr>
          <w:rFonts w:cs="Arial"/>
          <w:sz w:val="20"/>
          <w:szCs w:val="20"/>
        </w:rPr>
      </w:pPr>
    </w:p>
    <w:p w14:paraId="62880F27" w14:textId="5871B39E" w:rsidR="0099009E" w:rsidRPr="00903F89" w:rsidRDefault="0099009E" w:rsidP="00AC4EA1">
      <w:pPr>
        <w:jc w:val="right"/>
        <w:rPr>
          <w:rFonts w:cs="Arial"/>
          <w:b/>
          <w:bCs/>
          <w:sz w:val="20"/>
          <w:szCs w:val="20"/>
          <w:u w:val="single"/>
        </w:rPr>
      </w:pPr>
      <w:r w:rsidRPr="00903F89">
        <w:rPr>
          <w:rFonts w:cs="Arial"/>
          <w:b/>
          <w:bCs/>
          <w:sz w:val="20"/>
          <w:szCs w:val="20"/>
          <w:u w:val="single"/>
        </w:rPr>
        <w:t>ΠΑΡΑΡΤΗΜΑ ΙΙΙ</w:t>
      </w:r>
    </w:p>
    <w:p w14:paraId="354C17A2" w14:textId="77777777" w:rsidR="0099009E" w:rsidRPr="00903F89" w:rsidRDefault="0099009E" w:rsidP="00903F89">
      <w:pPr>
        <w:tabs>
          <w:tab w:val="left" w:pos="2790"/>
        </w:tabs>
        <w:jc w:val="both"/>
        <w:rPr>
          <w:rFonts w:cs="Arial"/>
          <w:sz w:val="20"/>
          <w:szCs w:val="20"/>
        </w:rPr>
      </w:pPr>
    </w:p>
    <w:tbl>
      <w:tblPr>
        <w:tblStyle w:val="TableGrid"/>
        <w:tblW w:w="0" w:type="auto"/>
        <w:jc w:val="center"/>
        <w:tblLook w:val="04A0" w:firstRow="1" w:lastRow="0" w:firstColumn="1" w:lastColumn="0" w:noHBand="0" w:noVBand="1"/>
      </w:tblPr>
      <w:tblGrid>
        <w:gridCol w:w="6025"/>
        <w:gridCol w:w="2586"/>
      </w:tblGrid>
      <w:tr w:rsidR="009145FE" w:rsidRPr="00903F89" w14:paraId="0468CCFE" w14:textId="77777777" w:rsidTr="00E8774D">
        <w:trPr>
          <w:trHeight w:val="617"/>
          <w:jc w:val="center"/>
        </w:trPr>
        <w:tc>
          <w:tcPr>
            <w:tcW w:w="6025" w:type="dxa"/>
          </w:tcPr>
          <w:p w14:paraId="57020775" w14:textId="6B9C1ED8" w:rsidR="009145FE" w:rsidRPr="00903F89" w:rsidRDefault="00E8774D" w:rsidP="00903F89">
            <w:pPr>
              <w:tabs>
                <w:tab w:val="left" w:pos="2790"/>
              </w:tabs>
              <w:jc w:val="both"/>
              <w:rPr>
                <w:rFonts w:cs="Arial"/>
                <w:sz w:val="20"/>
                <w:szCs w:val="20"/>
              </w:rPr>
            </w:pPr>
            <w:r w:rsidRPr="00903F89">
              <w:rPr>
                <w:rFonts w:cs="Arial"/>
                <w:sz w:val="20"/>
                <w:szCs w:val="20"/>
              </w:rPr>
              <w:t>ΣΥΜΒΑΣΙΟΥΧΟ ΠΡΟΣΩΠΙΚΟ</w:t>
            </w:r>
          </w:p>
        </w:tc>
        <w:tc>
          <w:tcPr>
            <w:tcW w:w="2586" w:type="dxa"/>
          </w:tcPr>
          <w:p w14:paraId="05FFC20E" w14:textId="59904426" w:rsidR="009145FE" w:rsidRPr="00AC4EA1" w:rsidRDefault="00E8774D" w:rsidP="00AC4EA1">
            <w:pPr>
              <w:tabs>
                <w:tab w:val="left" w:pos="2790"/>
              </w:tabs>
              <w:jc w:val="center"/>
              <w:rPr>
                <w:rFonts w:cs="Arial"/>
                <w:sz w:val="14"/>
                <w:szCs w:val="20"/>
              </w:rPr>
            </w:pPr>
            <w:r w:rsidRPr="00AC4EA1">
              <w:rPr>
                <w:rFonts w:cs="Arial"/>
                <w:sz w:val="14"/>
                <w:szCs w:val="20"/>
              </w:rPr>
              <w:t>ΠΛΗΡΩΜΕΝΕΣ ΘΕΣΕΙΣ</w:t>
            </w:r>
          </w:p>
          <w:p w14:paraId="03E507CC" w14:textId="48E6BC5F" w:rsidR="00E8774D" w:rsidRPr="00AC4EA1" w:rsidRDefault="00E8774D" w:rsidP="00AC4EA1">
            <w:pPr>
              <w:tabs>
                <w:tab w:val="left" w:pos="2790"/>
              </w:tabs>
              <w:jc w:val="center"/>
              <w:rPr>
                <w:rFonts w:cs="Arial"/>
                <w:sz w:val="14"/>
                <w:szCs w:val="20"/>
              </w:rPr>
            </w:pPr>
            <w:r w:rsidRPr="00AC4EA1">
              <w:rPr>
                <w:rFonts w:cs="Arial"/>
                <w:sz w:val="14"/>
                <w:szCs w:val="20"/>
              </w:rPr>
              <w:t>(ΣΥΜΦΩΝΑ ΜΕ ΣΤΟΙΧΕΙΑ 27/10/2021)</w:t>
            </w:r>
          </w:p>
        </w:tc>
      </w:tr>
      <w:tr w:rsidR="009145FE" w:rsidRPr="00903F89" w14:paraId="248174CD" w14:textId="77777777" w:rsidTr="00E8774D">
        <w:trPr>
          <w:trHeight w:val="274"/>
          <w:jc w:val="center"/>
        </w:trPr>
        <w:tc>
          <w:tcPr>
            <w:tcW w:w="6025" w:type="dxa"/>
          </w:tcPr>
          <w:p w14:paraId="438CE25F" w14:textId="1747E938" w:rsidR="009145FE" w:rsidRPr="00903F89" w:rsidRDefault="00E8774D" w:rsidP="00903F89">
            <w:pPr>
              <w:tabs>
                <w:tab w:val="left" w:pos="2790"/>
              </w:tabs>
              <w:jc w:val="both"/>
              <w:rPr>
                <w:rFonts w:cs="Arial"/>
                <w:sz w:val="20"/>
                <w:szCs w:val="20"/>
              </w:rPr>
            </w:pPr>
            <w:r w:rsidRPr="00903F89">
              <w:rPr>
                <w:rFonts w:cs="Arial"/>
                <w:sz w:val="20"/>
                <w:szCs w:val="20"/>
              </w:rPr>
              <w:t>Αρχιτέκτονας</w:t>
            </w:r>
          </w:p>
        </w:tc>
        <w:tc>
          <w:tcPr>
            <w:tcW w:w="2586" w:type="dxa"/>
          </w:tcPr>
          <w:p w14:paraId="0ED535E6" w14:textId="7D7C4A4B" w:rsidR="00E8774D" w:rsidRPr="00903F89" w:rsidRDefault="00E8774D" w:rsidP="00AC4EA1">
            <w:pPr>
              <w:tabs>
                <w:tab w:val="left" w:pos="2790"/>
              </w:tabs>
              <w:jc w:val="center"/>
              <w:rPr>
                <w:rFonts w:cs="Arial"/>
                <w:sz w:val="20"/>
                <w:szCs w:val="20"/>
              </w:rPr>
            </w:pPr>
            <w:r w:rsidRPr="00903F89">
              <w:rPr>
                <w:rFonts w:cs="Arial"/>
                <w:sz w:val="20"/>
                <w:szCs w:val="20"/>
              </w:rPr>
              <w:t>1</w:t>
            </w:r>
          </w:p>
        </w:tc>
      </w:tr>
      <w:tr w:rsidR="009145FE" w:rsidRPr="00903F89" w14:paraId="15933F7C" w14:textId="77777777" w:rsidTr="00E8774D">
        <w:trPr>
          <w:trHeight w:val="288"/>
          <w:jc w:val="center"/>
        </w:trPr>
        <w:tc>
          <w:tcPr>
            <w:tcW w:w="6025" w:type="dxa"/>
          </w:tcPr>
          <w:p w14:paraId="156A9173" w14:textId="53F98D78" w:rsidR="009145FE" w:rsidRPr="00903F89" w:rsidRDefault="00E8774D" w:rsidP="00903F89">
            <w:pPr>
              <w:tabs>
                <w:tab w:val="left" w:pos="2790"/>
              </w:tabs>
              <w:jc w:val="both"/>
              <w:rPr>
                <w:rFonts w:cs="Arial"/>
                <w:sz w:val="20"/>
                <w:szCs w:val="20"/>
              </w:rPr>
            </w:pPr>
            <w:r w:rsidRPr="00903F89">
              <w:rPr>
                <w:rFonts w:cs="Arial"/>
                <w:sz w:val="20"/>
                <w:szCs w:val="20"/>
              </w:rPr>
              <w:t>Βοηθός Βιβλιοθήκης</w:t>
            </w:r>
          </w:p>
        </w:tc>
        <w:tc>
          <w:tcPr>
            <w:tcW w:w="2586" w:type="dxa"/>
          </w:tcPr>
          <w:p w14:paraId="345AAC5D" w14:textId="30B64B04" w:rsidR="009145FE" w:rsidRPr="00903F89" w:rsidRDefault="00923AC5" w:rsidP="00AC4EA1">
            <w:pPr>
              <w:tabs>
                <w:tab w:val="left" w:pos="2790"/>
              </w:tabs>
              <w:jc w:val="center"/>
              <w:rPr>
                <w:rFonts w:cs="Arial"/>
                <w:sz w:val="20"/>
                <w:szCs w:val="20"/>
              </w:rPr>
            </w:pPr>
            <w:r>
              <w:rPr>
                <w:rFonts w:cs="Arial"/>
                <w:sz w:val="20"/>
                <w:szCs w:val="20"/>
              </w:rPr>
              <w:t>12</w:t>
            </w:r>
          </w:p>
        </w:tc>
      </w:tr>
      <w:tr w:rsidR="009145FE" w:rsidRPr="00903F89" w14:paraId="24E0E71A" w14:textId="77777777" w:rsidTr="00E8774D">
        <w:trPr>
          <w:trHeight w:val="274"/>
          <w:jc w:val="center"/>
        </w:trPr>
        <w:tc>
          <w:tcPr>
            <w:tcW w:w="6025" w:type="dxa"/>
          </w:tcPr>
          <w:p w14:paraId="4CF72767" w14:textId="24391608" w:rsidR="009145FE" w:rsidRPr="00903F89" w:rsidRDefault="00E8774D" w:rsidP="00903F89">
            <w:pPr>
              <w:tabs>
                <w:tab w:val="left" w:pos="2790"/>
              </w:tabs>
              <w:jc w:val="both"/>
              <w:rPr>
                <w:rFonts w:cs="Arial"/>
                <w:sz w:val="20"/>
                <w:szCs w:val="20"/>
              </w:rPr>
            </w:pPr>
            <w:r w:rsidRPr="00903F89">
              <w:rPr>
                <w:rFonts w:cs="Arial"/>
                <w:sz w:val="20"/>
                <w:szCs w:val="20"/>
              </w:rPr>
              <w:t>Βοηθός Λειτουργός Πανεπιστημίου</w:t>
            </w:r>
          </w:p>
        </w:tc>
        <w:tc>
          <w:tcPr>
            <w:tcW w:w="2586" w:type="dxa"/>
          </w:tcPr>
          <w:p w14:paraId="40AF6C77" w14:textId="651F39D5" w:rsidR="009145FE" w:rsidRPr="00903F89" w:rsidRDefault="00E8774D" w:rsidP="00AC4EA1">
            <w:pPr>
              <w:tabs>
                <w:tab w:val="left" w:pos="2790"/>
              </w:tabs>
              <w:jc w:val="center"/>
              <w:rPr>
                <w:rFonts w:cs="Arial"/>
                <w:sz w:val="20"/>
                <w:szCs w:val="20"/>
              </w:rPr>
            </w:pPr>
            <w:r w:rsidRPr="00903F89">
              <w:rPr>
                <w:rFonts w:cs="Arial"/>
                <w:sz w:val="20"/>
                <w:szCs w:val="20"/>
              </w:rPr>
              <w:t>5</w:t>
            </w:r>
          </w:p>
        </w:tc>
      </w:tr>
      <w:tr w:rsidR="009145FE" w:rsidRPr="00903F89" w14:paraId="2F414835" w14:textId="77777777" w:rsidTr="00E8774D">
        <w:trPr>
          <w:trHeight w:val="274"/>
          <w:jc w:val="center"/>
        </w:trPr>
        <w:tc>
          <w:tcPr>
            <w:tcW w:w="6025" w:type="dxa"/>
          </w:tcPr>
          <w:p w14:paraId="630E8A10" w14:textId="2B197540" w:rsidR="009145FE" w:rsidRPr="00903F89" w:rsidRDefault="00E8774D" w:rsidP="00903F89">
            <w:pPr>
              <w:tabs>
                <w:tab w:val="left" w:pos="2790"/>
              </w:tabs>
              <w:jc w:val="both"/>
              <w:rPr>
                <w:rFonts w:cs="Arial"/>
                <w:sz w:val="20"/>
                <w:szCs w:val="20"/>
              </w:rPr>
            </w:pPr>
            <w:r w:rsidRPr="00903F89">
              <w:rPr>
                <w:rFonts w:cs="Arial"/>
                <w:sz w:val="20"/>
                <w:szCs w:val="20"/>
              </w:rPr>
              <w:t>Βοηθός Λογιστικός Λειτουργός</w:t>
            </w:r>
          </w:p>
        </w:tc>
        <w:tc>
          <w:tcPr>
            <w:tcW w:w="2586" w:type="dxa"/>
          </w:tcPr>
          <w:p w14:paraId="3FD37BCD" w14:textId="79FA8574" w:rsidR="009145FE" w:rsidRPr="00903F89" w:rsidRDefault="00E8774D" w:rsidP="00AC4EA1">
            <w:pPr>
              <w:tabs>
                <w:tab w:val="left" w:pos="2790"/>
              </w:tabs>
              <w:jc w:val="center"/>
              <w:rPr>
                <w:rFonts w:cs="Arial"/>
                <w:sz w:val="20"/>
                <w:szCs w:val="20"/>
              </w:rPr>
            </w:pPr>
            <w:r w:rsidRPr="00903F89">
              <w:rPr>
                <w:rFonts w:cs="Arial"/>
                <w:sz w:val="20"/>
                <w:szCs w:val="20"/>
              </w:rPr>
              <w:t>1</w:t>
            </w:r>
          </w:p>
        </w:tc>
      </w:tr>
      <w:tr w:rsidR="009145FE" w:rsidRPr="00903F89" w14:paraId="01D6D4E5" w14:textId="77777777" w:rsidTr="00E8774D">
        <w:trPr>
          <w:trHeight w:val="274"/>
          <w:jc w:val="center"/>
        </w:trPr>
        <w:tc>
          <w:tcPr>
            <w:tcW w:w="6025" w:type="dxa"/>
          </w:tcPr>
          <w:p w14:paraId="767BDFD5" w14:textId="32739849" w:rsidR="009145FE" w:rsidRPr="00903F89" w:rsidRDefault="00E8774D" w:rsidP="00903F89">
            <w:pPr>
              <w:tabs>
                <w:tab w:val="left" w:pos="2790"/>
              </w:tabs>
              <w:jc w:val="both"/>
              <w:rPr>
                <w:rFonts w:cs="Arial"/>
                <w:sz w:val="20"/>
                <w:szCs w:val="20"/>
              </w:rPr>
            </w:pPr>
            <w:r w:rsidRPr="00903F89">
              <w:rPr>
                <w:rFonts w:cs="Arial"/>
                <w:sz w:val="20"/>
                <w:szCs w:val="20"/>
              </w:rPr>
              <w:t>Βοηθός Μηχανογράφησης</w:t>
            </w:r>
          </w:p>
        </w:tc>
        <w:tc>
          <w:tcPr>
            <w:tcW w:w="2586" w:type="dxa"/>
          </w:tcPr>
          <w:p w14:paraId="0946F2A2" w14:textId="1ADEB49F" w:rsidR="009145FE" w:rsidRPr="00903F89" w:rsidRDefault="00E8774D" w:rsidP="00AC4EA1">
            <w:pPr>
              <w:tabs>
                <w:tab w:val="left" w:pos="2790"/>
              </w:tabs>
              <w:jc w:val="center"/>
              <w:rPr>
                <w:rFonts w:cs="Arial"/>
                <w:sz w:val="20"/>
                <w:szCs w:val="20"/>
              </w:rPr>
            </w:pPr>
            <w:r w:rsidRPr="00903F89">
              <w:rPr>
                <w:rFonts w:cs="Arial"/>
                <w:sz w:val="20"/>
                <w:szCs w:val="20"/>
              </w:rPr>
              <w:t>3</w:t>
            </w:r>
          </w:p>
        </w:tc>
      </w:tr>
      <w:tr w:rsidR="009145FE" w:rsidRPr="00903F89" w14:paraId="3B94DE79" w14:textId="77777777" w:rsidTr="00E8774D">
        <w:trPr>
          <w:trHeight w:val="274"/>
          <w:jc w:val="center"/>
        </w:trPr>
        <w:tc>
          <w:tcPr>
            <w:tcW w:w="6025" w:type="dxa"/>
          </w:tcPr>
          <w:p w14:paraId="29B216D5" w14:textId="578EDF73" w:rsidR="009145FE" w:rsidRPr="00903F89" w:rsidRDefault="00E8774D" w:rsidP="00903F89">
            <w:pPr>
              <w:tabs>
                <w:tab w:val="left" w:pos="2790"/>
              </w:tabs>
              <w:jc w:val="both"/>
              <w:rPr>
                <w:rFonts w:cs="Arial"/>
                <w:sz w:val="20"/>
                <w:szCs w:val="20"/>
              </w:rPr>
            </w:pPr>
            <w:r w:rsidRPr="00903F89">
              <w:rPr>
                <w:rFonts w:cs="Arial"/>
                <w:sz w:val="20"/>
                <w:szCs w:val="20"/>
              </w:rPr>
              <w:t>Γενικός Γραφέας</w:t>
            </w:r>
          </w:p>
        </w:tc>
        <w:tc>
          <w:tcPr>
            <w:tcW w:w="2586" w:type="dxa"/>
          </w:tcPr>
          <w:p w14:paraId="3022A15B" w14:textId="733E7190" w:rsidR="009145FE" w:rsidRPr="00903F89" w:rsidRDefault="00E8774D" w:rsidP="00AC4EA1">
            <w:pPr>
              <w:tabs>
                <w:tab w:val="left" w:pos="2790"/>
              </w:tabs>
              <w:jc w:val="center"/>
              <w:rPr>
                <w:rFonts w:cs="Arial"/>
                <w:sz w:val="20"/>
                <w:szCs w:val="20"/>
              </w:rPr>
            </w:pPr>
            <w:r w:rsidRPr="00903F89">
              <w:rPr>
                <w:rFonts w:cs="Arial"/>
                <w:sz w:val="20"/>
                <w:szCs w:val="20"/>
              </w:rPr>
              <w:t>57</w:t>
            </w:r>
            <w:r w:rsidR="008E295C" w:rsidRPr="008E295C">
              <w:rPr>
                <w:rFonts w:cs="Arial"/>
                <w:sz w:val="20"/>
                <w:szCs w:val="20"/>
                <w:vertAlign w:val="superscript"/>
              </w:rPr>
              <w:t xml:space="preserve"> [1]</w:t>
            </w:r>
          </w:p>
        </w:tc>
      </w:tr>
      <w:tr w:rsidR="009145FE" w:rsidRPr="00903F89" w14:paraId="6CC922E1" w14:textId="77777777" w:rsidTr="00E8774D">
        <w:trPr>
          <w:trHeight w:val="274"/>
          <w:jc w:val="center"/>
        </w:trPr>
        <w:tc>
          <w:tcPr>
            <w:tcW w:w="6025" w:type="dxa"/>
          </w:tcPr>
          <w:p w14:paraId="5927AD8F" w14:textId="3EC66AB8" w:rsidR="009145FE" w:rsidRPr="00903F89" w:rsidRDefault="00E8774D" w:rsidP="00903F89">
            <w:pPr>
              <w:tabs>
                <w:tab w:val="left" w:pos="2790"/>
              </w:tabs>
              <w:jc w:val="both"/>
              <w:rPr>
                <w:rFonts w:cs="Arial"/>
                <w:sz w:val="20"/>
                <w:szCs w:val="20"/>
              </w:rPr>
            </w:pPr>
            <w:r w:rsidRPr="00903F89">
              <w:rPr>
                <w:rFonts w:cs="Arial"/>
                <w:sz w:val="20"/>
                <w:szCs w:val="20"/>
              </w:rPr>
              <w:t>Γυμναστής</w:t>
            </w:r>
          </w:p>
        </w:tc>
        <w:tc>
          <w:tcPr>
            <w:tcW w:w="2586" w:type="dxa"/>
          </w:tcPr>
          <w:p w14:paraId="623A2C7A" w14:textId="023CCFEB" w:rsidR="009145FE" w:rsidRPr="00903F89" w:rsidRDefault="00E8774D" w:rsidP="00AC4EA1">
            <w:pPr>
              <w:tabs>
                <w:tab w:val="left" w:pos="2790"/>
              </w:tabs>
              <w:jc w:val="center"/>
              <w:rPr>
                <w:rFonts w:cs="Arial"/>
                <w:sz w:val="20"/>
                <w:szCs w:val="20"/>
              </w:rPr>
            </w:pPr>
            <w:r w:rsidRPr="00903F89">
              <w:rPr>
                <w:rFonts w:cs="Arial"/>
                <w:sz w:val="20"/>
                <w:szCs w:val="20"/>
              </w:rPr>
              <w:t>5</w:t>
            </w:r>
          </w:p>
        </w:tc>
      </w:tr>
      <w:tr w:rsidR="00E8774D" w:rsidRPr="00903F89" w14:paraId="3F8505DF" w14:textId="77777777" w:rsidTr="00E8774D">
        <w:trPr>
          <w:trHeight w:val="274"/>
          <w:jc w:val="center"/>
        </w:trPr>
        <w:tc>
          <w:tcPr>
            <w:tcW w:w="6025" w:type="dxa"/>
          </w:tcPr>
          <w:p w14:paraId="40E7DCFB" w14:textId="79584666" w:rsidR="00E8774D" w:rsidRPr="00903F89" w:rsidRDefault="00E8774D" w:rsidP="00903F89">
            <w:pPr>
              <w:tabs>
                <w:tab w:val="left" w:pos="2790"/>
              </w:tabs>
              <w:jc w:val="both"/>
              <w:rPr>
                <w:rFonts w:cs="Arial"/>
                <w:sz w:val="20"/>
                <w:szCs w:val="20"/>
              </w:rPr>
            </w:pPr>
            <w:r w:rsidRPr="00903F89">
              <w:rPr>
                <w:rFonts w:cs="Arial"/>
                <w:sz w:val="20"/>
                <w:szCs w:val="20"/>
              </w:rPr>
              <w:t>Ηλεκτρολόγος Μηχανικός</w:t>
            </w:r>
          </w:p>
        </w:tc>
        <w:tc>
          <w:tcPr>
            <w:tcW w:w="2586" w:type="dxa"/>
          </w:tcPr>
          <w:p w14:paraId="1A1555B0" w14:textId="72012E8E" w:rsidR="00E8774D" w:rsidRPr="00903F89" w:rsidRDefault="00E8774D" w:rsidP="00AC4EA1">
            <w:pPr>
              <w:tabs>
                <w:tab w:val="left" w:pos="2790"/>
              </w:tabs>
              <w:jc w:val="center"/>
              <w:rPr>
                <w:rFonts w:cs="Arial"/>
                <w:sz w:val="20"/>
                <w:szCs w:val="20"/>
              </w:rPr>
            </w:pPr>
            <w:r w:rsidRPr="00903F89">
              <w:rPr>
                <w:rFonts w:cs="Arial"/>
                <w:sz w:val="20"/>
                <w:szCs w:val="20"/>
              </w:rPr>
              <w:t>1</w:t>
            </w:r>
          </w:p>
        </w:tc>
      </w:tr>
      <w:tr w:rsidR="00E8774D" w:rsidRPr="00903F89" w14:paraId="79522CE5" w14:textId="77777777" w:rsidTr="00E8774D">
        <w:trPr>
          <w:trHeight w:val="274"/>
          <w:jc w:val="center"/>
        </w:trPr>
        <w:tc>
          <w:tcPr>
            <w:tcW w:w="6025" w:type="dxa"/>
          </w:tcPr>
          <w:p w14:paraId="24826195" w14:textId="4F76179F" w:rsidR="00E8774D" w:rsidRPr="00903F89" w:rsidRDefault="00E8774D" w:rsidP="00903F89">
            <w:pPr>
              <w:tabs>
                <w:tab w:val="left" w:pos="2790"/>
              </w:tabs>
              <w:jc w:val="both"/>
              <w:rPr>
                <w:rFonts w:cs="Arial"/>
                <w:sz w:val="20"/>
                <w:szCs w:val="20"/>
              </w:rPr>
            </w:pPr>
            <w:r w:rsidRPr="00903F89">
              <w:rPr>
                <w:rFonts w:cs="Arial"/>
                <w:sz w:val="20"/>
                <w:szCs w:val="20"/>
              </w:rPr>
              <w:t>Λειτουργός Πανεπιστημίου</w:t>
            </w:r>
          </w:p>
        </w:tc>
        <w:tc>
          <w:tcPr>
            <w:tcW w:w="2586" w:type="dxa"/>
          </w:tcPr>
          <w:p w14:paraId="38E66234" w14:textId="3CFB85E0" w:rsidR="00E8774D" w:rsidRPr="00903F89" w:rsidRDefault="00E8774D" w:rsidP="00AC4EA1">
            <w:pPr>
              <w:tabs>
                <w:tab w:val="left" w:pos="2790"/>
              </w:tabs>
              <w:jc w:val="center"/>
              <w:rPr>
                <w:rFonts w:cs="Arial"/>
                <w:sz w:val="20"/>
                <w:szCs w:val="20"/>
              </w:rPr>
            </w:pPr>
            <w:r w:rsidRPr="00903F89">
              <w:rPr>
                <w:rFonts w:cs="Arial"/>
                <w:sz w:val="20"/>
                <w:szCs w:val="20"/>
              </w:rPr>
              <w:t>22</w:t>
            </w:r>
          </w:p>
        </w:tc>
      </w:tr>
      <w:tr w:rsidR="00E8774D" w:rsidRPr="00903F89" w14:paraId="2BB0C629" w14:textId="77777777" w:rsidTr="00E8774D">
        <w:trPr>
          <w:trHeight w:val="274"/>
          <w:jc w:val="center"/>
        </w:trPr>
        <w:tc>
          <w:tcPr>
            <w:tcW w:w="6025" w:type="dxa"/>
          </w:tcPr>
          <w:p w14:paraId="4189B212" w14:textId="479D7211" w:rsidR="00E8774D" w:rsidRPr="00903F89" w:rsidRDefault="00E8774D" w:rsidP="00903F89">
            <w:pPr>
              <w:tabs>
                <w:tab w:val="left" w:pos="2790"/>
              </w:tabs>
              <w:jc w:val="both"/>
              <w:rPr>
                <w:rFonts w:cs="Arial"/>
                <w:sz w:val="20"/>
                <w:szCs w:val="20"/>
              </w:rPr>
            </w:pPr>
            <w:r w:rsidRPr="00903F89">
              <w:rPr>
                <w:rFonts w:cs="Arial"/>
                <w:sz w:val="20"/>
                <w:szCs w:val="20"/>
              </w:rPr>
              <w:t>Λογιστικός Λειτουργός</w:t>
            </w:r>
          </w:p>
        </w:tc>
        <w:tc>
          <w:tcPr>
            <w:tcW w:w="2586" w:type="dxa"/>
          </w:tcPr>
          <w:p w14:paraId="5A81413E" w14:textId="167D84E9" w:rsidR="00E8774D" w:rsidRPr="00903F89" w:rsidRDefault="00E8774D" w:rsidP="00AC4EA1">
            <w:pPr>
              <w:tabs>
                <w:tab w:val="left" w:pos="2790"/>
              </w:tabs>
              <w:jc w:val="center"/>
              <w:rPr>
                <w:rFonts w:cs="Arial"/>
                <w:sz w:val="20"/>
                <w:szCs w:val="20"/>
              </w:rPr>
            </w:pPr>
            <w:r w:rsidRPr="00903F89">
              <w:rPr>
                <w:rFonts w:cs="Arial"/>
                <w:sz w:val="20"/>
                <w:szCs w:val="20"/>
              </w:rPr>
              <w:t>13</w:t>
            </w:r>
            <w:r w:rsidR="008E295C">
              <w:rPr>
                <w:rFonts w:cs="Arial"/>
                <w:sz w:val="20"/>
                <w:szCs w:val="20"/>
              </w:rPr>
              <w:t xml:space="preserve"> </w:t>
            </w:r>
            <w:r w:rsidR="008E295C" w:rsidRPr="008E295C">
              <w:rPr>
                <w:rFonts w:cs="Arial"/>
                <w:sz w:val="20"/>
                <w:szCs w:val="20"/>
                <w:vertAlign w:val="superscript"/>
              </w:rPr>
              <w:t>[</w:t>
            </w:r>
            <w:r w:rsidR="008E295C">
              <w:rPr>
                <w:rFonts w:cs="Arial"/>
                <w:sz w:val="20"/>
                <w:szCs w:val="20"/>
                <w:vertAlign w:val="superscript"/>
              </w:rPr>
              <w:t>2</w:t>
            </w:r>
            <w:r w:rsidR="008E295C" w:rsidRPr="008E295C">
              <w:rPr>
                <w:rFonts w:cs="Arial"/>
                <w:sz w:val="20"/>
                <w:szCs w:val="20"/>
                <w:vertAlign w:val="superscript"/>
              </w:rPr>
              <w:t>]</w:t>
            </w:r>
          </w:p>
        </w:tc>
      </w:tr>
      <w:tr w:rsidR="00E8774D" w:rsidRPr="00903F89" w14:paraId="46F78497" w14:textId="77777777" w:rsidTr="00E8774D">
        <w:trPr>
          <w:trHeight w:val="274"/>
          <w:jc w:val="center"/>
        </w:trPr>
        <w:tc>
          <w:tcPr>
            <w:tcW w:w="6025" w:type="dxa"/>
          </w:tcPr>
          <w:p w14:paraId="1B1597CC" w14:textId="5112E451" w:rsidR="00E8774D" w:rsidRPr="00903F89" w:rsidRDefault="00E8774D" w:rsidP="00903F89">
            <w:pPr>
              <w:tabs>
                <w:tab w:val="left" w:pos="2790"/>
              </w:tabs>
              <w:jc w:val="both"/>
              <w:rPr>
                <w:rFonts w:cs="Arial"/>
                <w:sz w:val="20"/>
                <w:szCs w:val="20"/>
              </w:rPr>
            </w:pPr>
            <w:r w:rsidRPr="00903F89">
              <w:rPr>
                <w:rFonts w:cs="Arial"/>
                <w:sz w:val="20"/>
                <w:szCs w:val="20"/>
              </w:rPr>
              <w:t>Μηχανικός Τεχνικών Υπηρεσιών</w:t>
            </w:r>
          </w:p>
        </w:tc>
        <w:tc>
          <w:tcPr>
            <w:tcW w:w="2586" w:type="dxa"/>
          </w:tcPr>
          <w:p w14:paraId="266D3784" w14:textId="22666949" w:rsidR="00E8774D" w:rsidRPr="00903F89" w:rsidRDefault="00E8774D" w:rsidP="00AC4EA1">
            <w:pPr>
              <w:tabs>
                <w:tab w:val="left" w:pos="2790"/>
              </w:tabs>
              <w:jc w:val="center"/>
              <w:rPr>
                <w:rFonts w:cs="Arial"/>
                <w:sz w:val="20"/>
                <w:szCs w:val="20"/>
              </w:rPr>
            </w:pPr>
            <w:r w:rsidRPr="00903F89">
              <w:rPr>
                <w:rFonts w:cs="Arial"/>
                <w:sz w:val="20"/>
                <w:szCs w:val="20"/>
              </w:rPr>
              <w:t>5</w:t>
            </w:r>
          </w:p>
        </w:tc>
      </w:tr>
      <w:tr w:rsidR="00E8774D" w:rsidRPr="00903F89" w14:paraId="1A9BCC1F" w14:textId="77777777" w:rsidTr="00E8774D">
        <w:trPr>
          <w:trHeight w:val="274"/>
          <w:jc w:val="center"/>
        </w:trPr>
        <w:tc>
          <w:tcPr>
            <w:tcW w:w="6025" w:type="dxa"/>
          </w:tcPr>
          <w:p w14:paraId="5E8BD110" w14:textId="22A9D0BC" w:rsidR="00E8774D" w:rsidRPr="00903F89" w:rsidRDefault="00E8774D" w:rsidP="00903F89">
            <w:pPr>
              <w:tabs>
                <w:tab w:val="left" w:pos="2790"/>
              </w:tabs>
              <w:jc w:val="both"/>
              <w:rPr>
                <w:rFonts w:cs="Arial"/>
                <w:sz w:val="20"/>
                <w:szCs w:val="20"/>
              </w:rPr>
            </w:pPr>
            <w:r w:rsidRPr="00903F89">
              <w:rPr>
                <w:rFonts w:cs="Arial"/>
                <w:sz w:val="20"/>
                <w:szCs w:val="20"/>
              </w:rPr>
              <w:t>Οικονόμος</w:t>
            </w:r>
          </w:p>
        </w:tc>
        <w:tc>
          <w:tcPr>
            <w:tcW w:w="2586" w:type="dxa"/>
          </w:tcPr>
          <w:p w14:paraId="34E043F5" w14:textId="4DE1EB29" w:rsidR="00E8774D" w:rsidRPr="00903F89" w:rsidRDefault="00E8774D" w:rsidP="00AC4EA1">
            <w:pPr>
              <w:tabs>
                <w:tab w:val="left" w:pos="2790"/>
              </w:tabs>
              <w:jc w:val="center"/>
              <w:rPr>
                <w:rFonts w:cs="Arial"/>
                <w:sz w:val="20"/>
                <w:szCs w:val="20"/>
              </w:rPr>
            </w:pPr>
            <w:r w:rsidRPr="00903F89">
              <w:rPr>
                <w:rFonts w:cs="Arial"/>
                <w:sz w:val="20"/>
                <w:szCs w:val="20"/>
              </w:rPr>
              <w:t>1</w:t>
            </w:r>
          </w:p>
        </w:tc>
      </w:tr>
      <w:tr w:rsidR="00E8774D" w:rsidRPr="00903F89" w14:paraId="08B66B27" w14:textId="77777777" w:rsidTr="00E8774D">
        <w:trPr>
          <w:trHeight w:val="274"/>
          <w:jc w:val="center"/>
        </w:trPr>
        <w:tc>
          <w:tcPr>
            <w:tcW w:w="6025" w:type="dxa"/>
          </w:tcPr>
          <w:p w14:paraId="7BF1A4CD" w14:textId="229352A4" w:rsidR="00E8774D" w:rsidRPr="00903F89" w:rsidRDefault="00E8774D" w:rsidP="00903F89">
            <w:pPr>
              <w:tabs>
                <w:tab w:val="left" w:pos="2790"/>
              </w:tabs>
              <w:jc w:val="both"/>
              <w:rPr>
                <w:rFonts w:cs="Arial"/>
                <w:sz w:val="20"/>
                <w:szCs w:val="20"/>
              </w:rPr>
            </w:pPr>
            <w:r w:rsidRPr="00903F89">
              <w:rPr>
                <w:rFonts w:cs="Arial"/>
                <w:sz w:val="20"/>
                <w:szCs w:val="20"/>
              </w:rPr>
              <w:t>Τεχνικός</w:t>
            </w:r>
          </w:p>
        </w:tc>
        <w:tc>
          <w:tcPr>
            <w:tcW w:w="2586" w:type="dxa"/>
          </w:tcPr>
          <w:p w14:paraId="004C4317" w14:textId="6F077555" w:rsidR="00E8774D" w:rsidRPr="00903F89" w:rsidRDefault="00E8774D" w:rsidP="00AC4EA1">
            <w:pPr>
              <w:tabs>
                <w:tab w:val="left" w:pos="2790"/>
              </w:tabs>
              <w:jc w:val="center"/>
              <w:rPr>
                <w:rFonts w:cs="Arial"/>
                <w:sz w:val="20"/>
                <w:szCs w:val="20"/>
              </w:rPr>
            </w:pPr>
            <w:r w:rsidRPr="00903F89">
              <w:rPr>
                <w:rFonts w:cs="Arial"/>
                <w:sz w:val="20"/>
                <w:szCs w:val="20"/>
              </w:rPr>
              <w:t>1</w:t>
            </w:r>
          </w:p>
        </w:tc>
      </w:tr>
      <w:tr w:rsidR="00E8774D" w:rsidRPr="00903F89" w14:paraId="081DBE87" w14:textId="77777777" w:rsidTr="00E8774D">
        <w:trPr>
          <w:trHeight w:val="274"/>
          <w:jc w:val="center"/>
        </w:trPr>
        <w:tc>
          <w:tcPr>
            <w:tcW w:w="6025" w:type="dxa"/>
          </w:tcPr>
          <w:p w14:paraId="7A6471CD" w14:textId="5DD11BF9" w:rsidR="00E8774D" w:rsidRPr="00903F89" w:rsidRDefault="00E8774D" w:rsidP="00903F89">
            <w:pPr>
              <w:tabs>
                <w:tab w:val="left" w:pos="2790"/>
              </w:tabs>
              <w:jc w:val="both"/>
              <w:rPr>
                <w:rFonts w:cs="Arial"/>
                <w:sz w:val="20"/>
                <w:szCs w:val="20"/>
              </w:rPr>
            </w:pPr>
            <w:r w:rsidRPr="00903F89">
              <w:rPr>
                <w:rFonts w:cs="Arial"/>
                <w:sz w:val="20"/>
                <w:szCs w:val="20"/>
              </w:rPr>
              <w:t>Τεχνικός Μηχανικός</w:t>
            </w:r>
          </w:p>
        </w:tc>
        <w:tc>
          <w:tcPr>
            <w:tcW w:w="2586" w:type="dxa"/>
          </w:tcPr>
          <w:p w14:paraId="7A6ECF90" w14:textId="0C2D3E3C" w:rsidR="00E8774D" w:rsidRPr="00903F89" w:rsidRDefault="00E8774D" w:rsidP="00AC4EA1">
            <w:pPr>
              <w:tabs>
                <w:tab w:val="left" w:pos="2790"/>
              </w:tabs>
              <w:jc w:val="center"/>
              <w:rPr>
                <w:rFonts w:cs="Arial"/>
                <w:sz w:val="20"/>
                <w:szCs w:val="20"/>
              </w:rPr>
            </w:pPr>
            <w:r w:rsidRPr="00903F89">
              <w:rPr>
                <w:rFonts w:cs="Arial"/>
                <w:sz w:val="20"/>
                <w:szCs w:val="20"/>
              </w:rPr>
              <w:t>4</w:t>
            </w:r>
          </w:p>
        </w:tc>
      </w:tr>
      <w:tr w:rsidR="00E8774D" w:rsidRPr="00903F89" w14:paraId="7E512140" w14:textId="77777777" w:rsidTr="00E8774D">
        <w:trPr>
          <w:trHeight w:val="274"/>
          <w:jc w:val="center"/>
        </w:trPr>
        <w:tc>
          <w:tcPr>
            <w:tcW w:w="6025" w:type="dxa"/>
          </w:tcPr>
          <w:p w14:paraId="4C212567" w14:textId="6B7F1A7C" w:rsidR="00E8774D" w:rsidRPr="00903F89" w:rsidRDefault="00E8774D" w:rsidP="00903F89">
            <w:pPr>
              <w:tabs>
                <w:tab w:val="left" w:pos="2790"/>
              </w:tabs>
              <w:jc w:val="both"/>
              <w:rPr>
                <w:rFonts w:cs="Arial"/>
                <w:sz w:val="20"/>
                <w:szCs w:val="20"/>
              </w:rPr>
            </w:pPr>
            <w:r w:rsidRPr="00903F89">
              <w:rPr>
                <w:rFonts w:cs="Arial"/>
                <w:sz w:val="20"/>
                <w:szCs w:val="20"/>
              </w:rPr>
              <w:t>Τηλεφωνητής</w:t>
            </w:r>
          </w:p>
        </w:tc>
        <w:tc>
          <w:tcPr>
            <w:tcW w:w="2586" w:type="dxa"/>
          </w:tcPr>
          <w:p w14:paraId="2EA4AB6C" w14:textId="1AEC6FC9" w:rsidR="00E8774D" w:rsidRPr="00903F89" w:rsidRDefault="00E8774D" w:rsidP="00AC4EA1">
            <w:pPr>
              <w:tabs>
                <w:tab w:val="left" w:pos="2790"/>
              </w:tabs>
              <w:jc w:val="center"/>
              <w:rPr>
                <w:rFonts w:cs="Arial"/>
                <w:sz w:val="20"/>
                <w:szCs w:val="20"/>
              </w:rPr>
            </w:pPr>
            <w:r w:rsidRPr="00903F89">
              <w:rPr>
                <w:rFonts w:cs="Arial"/>
                <w:sz w:val="20"/>
                <w:szCs w:val="20"/>
              </w:rPr>
              <w:t>2</w:t>
            </w:r>
          </w:p>
        </w:tc>
      </w:tr>
      <w:tr w:rsidR="00E8774D" w:rsidRPr="00903F89" w14:paraId="17F00859" w14:textId="77777777" w:rsidTr="00E8774D">
        <w:trPr>
          <w:trHeight w:val="274"/>
          <w:jc w:val="center"/>
        </w:trPr>
        <w:tc>
          <w:tcPr>
            <w:tcW w:w="6025" w:type="dxa"/>
          </w:tcPr>
          <w:p w14:paraId="3DF1287A" w14:textId="77777777" w:rsidR="00E8774D" w:rsidRPr="00903F89" w:rsidRDefault="00E8774D" w:rsidP="00903F89">
            <w:pPr>
              <w:tabs>
                <w:tab w:val="left" w:pos="2790"/>
              </w:tabs>
              <w:jc w:val="both"/>
              <w:rPr>
                <w:rFonts w:cs="Arial"/>
                <w:b/>
                <w:sz w:val="20"/>
                <w:szCs w:val="20"/>
              </w:rPr>
            </w:pPr>
          </w:p>
        </w:tc>
        <w:tc>
          <w:tcPr>
            <w:tcW w:w="2586" w:type="dxa"/>
          </w:tcPr>
          <w:p w14:paraId="67AAA104" w14:textId="48E39A1D" w:rsidR="00E8774D" w:rsidRPr="003B5667" w:rsidRDefault="00E8774D" w:rsidP="00AC4EA1">
            <w:pPr>
              <w:tabs>
                <w:tab w:val="left" w:pos="2790"/>
              </w:tabs>
              <w:jc w:val="center"/>
              <w:rPr>
                <w:rFonts w:cs="Arial"/>
                <w:b/>
                <w:sz w:val="20"/>
                <w:szCs w:val="20"/>
                <w:lang w:val="en-GB"/>
              </w:rPr>
            </w:pPr>
            <w:r w:rsidRPr="003B5667">
              <w:rPr>
                <w:rFonts w:cs="Arial"/>
                <w:sz w:val="20"/>
                <w:szCs w:val="20"/>
              </w:rPr>
              <w:t>133</w:t>
            </w:r>
            <w:r w:rsidR="003B5667" w:rsidRPr="003B5667">
              <w:rPr>
                <w:rFonts w:cs="Arial"/>
                <w:sz w:val="20"/>
                <w:szCs w:val="20"/>
                <w:lang w:val="en-GB"/>
              </w:rPr>
              <w:t xml:space="preserve"> </w:t>
            </w:r>
            <w:r w:rsidR="003B5667" w:rsidRPr="003B5667">
              <w:rPr>
                <w:rFonts w:cs="Arial"/>
                <w:sz w:val="20"/>
                <w:szCs w:val="20"/>
                <w:vertAlign w:val="superscript"/>
                <w:lang w:val="en-GB"/>
              </w:rPr>
              <w:t>[3]</w:t>
            </w:r>
          </w:p>
        </w:tc>
      </w:tr>
    </w:tbl>
    <w:p w14:paraId="2C61F52F" w14:textId="59846ABA" w:rsidR="0099009E" w:rsidRDefault="0099009E" w:rsidP="00903F89">
      <w:pPr>
        <w:tabs>
          <w:tab w:val="left" w:pos="2790"/>
        </w:tabs>
        <w:jc w:val="both"/>
        <w:rPr>
          <w:rFonts w:cs="Arial"/>
          <w:sz w:val="20"/>
          <w:szCs w:val="20"/>
        </w:rPr>
      </w:pPr>
    </w:p>
    <w:p w14:paraId="47FF39FC" w14:textId="25605F47" w:rsidR="003B5667" w:rsidRDefault="003B5667" w:rsidP="00903F89">
      <w:pPr>
        <w:tabs>
          <w:tab w:val="left" w:pos="2790"/>
        </w:tabs>
        <w:jc w:val="both"/>
        <w:rPr>
          <w:rFonts w:cs="Arial"/>
          <w:sz w:val="20"/>
          <w:szCs w:val="20"/>
        </w:rPr>
      </w:pPr>
    </w:p>
    <w:p w14:paraId="7D33DB64" w14:textId="497478CC" w:rsidR="003B5667" w:rsidRDefault="003B5667" w:rsidP="00903F89">
      <w:pPr>
        <w:tabs>
          <w:tab w:val="left" w:pos="2790"/>
        </w:tabs>
        <w:jc w:val="both"/>
        <w:rPr>
          <w:rFonts w:cs="Arial"/>
          <w:sz w:val="20"/>
          <w:szCs w:val="20"/>
        </w:rPr>
      </w:pPr>
    </w:p>
    <w:p w14:paraId="144B127D" w14:textId="1F10F9DD" w:rsidR="003B5667" w:rsidRDefault="003B5667" w:rsidP="00903F89">
      <w:pPr>
        <w:tabs>
          <w:tab w:val="left" w:pos="2790"/>
        </w:tabs>
        <w:jc w:val="both"/>
        <w:rPr>
          <w:rFonts w:cs="Arial"/>
          <w:sz w:val="20"/>
          <w:szCs w:val="20"/>
        </w:rPr>
      </w:pPr>
    </w:p>
    <w:p w14:paraId="694E4C74" w14:textId="7BD7EEAE" w:rsidR="003B5667" w:rsidRDefault="003B5667" w:rsidP="00903F89">
      <w:pPr>
        <w:tabs>
          <w:tab w:val="left" w:pos="2790"/>
        </w:tabs>
        <w:jc w:val="both"/>
        <w:rPr>
          <w:rFonts w:cs="Arial"/>
          <w:sz w:val="20"/>
          <w:szCs w:val="20"/>
        </w:rPr>
      </w:pPr>
    </w:p>
    <w:p w14:paraId="25EC82AC" w14:textId="7D5DC4E4" w:rsidR="003B5667" w:rsidRDefault="003B5667" w:rsidP="00903F89">
      <w:pPr>
        <w:tabs>
          <w:tab w:val="left" w:pos="2790"/>
        </w:tabs>
        <w:jc w:val="both"/>
        <w:rPr>
          <w:rFonts w:cs="Arial"/>
          <w:sz w:val="20"/>
          <w:szCs w:val="20"/>
        </w:rPr>
      </w:pPr>
    </w:p>
    <w:p w14:paraId="115758D1" w14:textId="5EF6F250" w:rsidR="003B5667" w:rsidRDefault="003B5667" w:rsidP="00903F89">
      <w:pPr>
        <w:tabs>
          <w:tab w:val="left" w:pos="2790"/>
        </w:tabs>
        <w:jc w:val="both"/>
        <w:rPr>
          <w:rFonts w:cs="Arial"/>
          <w:sz w:val="20"/>
          <w:szCs w:val="20"/>
        </w:rPr>
      </w:pPr>
    </w:p>
    <w:p w14:paraId="42BABD3B" w14:textId="10FA55EE" w:rsidR="003B5667" w:rsidRDefault="003B5667" w:rsidP="00903F89">
      <w:pPr>
        <w:tabs>
          <w:tab w:val="left" w:pos="2790"/>
        </w:tabs>
        <w:jc w:val="both"/>
        <w:rPr>
          <w:rFonts w:cs="Arial"/>
          <w:sz w:val="20"/>
          <w:szCs w:val="20"/>
        </w:rPr>
      </w:pPr>
    </w:p>
    <w:p w14:paraId="6EBF489A" w14:textId="77777777" w:rsidR="003B5667" w:rsidRPr="00903F89" w:rsidRDefault="003B5667" w:rsidP="003B5667">
      <w:pPr>
        <w:tabs>
          <w:tab w:val="left" w:pos="2790"/>
        </w:tabs>
        <w:jc w:val="both"/>
        <w:rPr>
          <w:rFonts w:cs="Arial"/>
          <w:sz w:val="20"/>
          <w:szCs w:val="20"/>
        </w:rPr>
      </w:pPr>
    </w:p>
    <w:p w14:paraId="4730CE18" w14:textId="53F54C61" w:rsidR="008E295C" w:rsidRDefault="003B5667" w:rsidP="003B5667">
      <w:pPr>
        <w:tabs>
          <w:tab w:val="left" w:pos="2790"/>
        </w:tabs>
        <w:jc w:val="both"/>
        <w:rPr>
          <w:rFonts w:cs="Arial"/>
          <w:sz w:val="20"/>
          <w:szCs w:val="20"/>
        </w:rPr>
      </w:pPr>
      <w:r w:rsidRPr="00903F89">
        <w:rPr>
          <w:rFonts w:cs="Arial"/>
          <w:sz w:val="20"/>
          <w:szCs w:val="20"/>
        </w:rPr>
        <w:t>Σημειώσ</w:t>
      </w:r>
      <w:r>
        <w:rPr>
          <w:rFonts w:cs="Arial"/>
          <w:sz w:val="20"/>
          <w:szCs w:val="20"/>
        </w:rPr>
        <w:t>εις</w:t>
      </w:r>
      <w:r w:rsidR="0099009E" w:rsidRPr="00903F89">
        <w:rPr>
          <w:rFonts w:cs="Arial"/>
          <w:sz w:val="20"/>
          <w:szCs w:val="20"/>
        </w:rPr>
        <w:t xml:space="preserve">: </w:t>
      </w:r>
    </w:p>
    <w:p w14:paraId="36D92751" w14:textId="77777777" w:rsidR="008E295C" w:rsidRDefault="008E295C" w:rsidP="003B5667">
      <w:pPr>
        <w:tabs>
          <w:tab w:val="left" w:pos="2790"/>
        </w:tabs>
        <w:jc w:val="both"/>
        <w:rPr>
          <w:rFonts w:cs="Arial"/>
          <w:sz w:val="20"/>
          <w:szCs w:val="20"/>
        </w:rPr>
      </w:pPr>
    </w:p>
    <w:p w14:paraId="05213ACC" w14:textId="4DC35443" w:rsidR="00E407D3" w:rsidRPr="003B5667" w:rsidRDefault="008E295C" w:rsidP="003B5667">
      <w:pPr>
        <w:tabs>
          <w:tab w:val="left" w:pos="2790"/>
        </w:tabs>
        <w:ind w:left="284" w:hanging="284"/>
        <w:jc w:val="both"/>
        <w:rPr>
          <w:rFonts w:cs="Arial"/>
          <w:sz w:val="18"/>
          <w:szCs w:val="20"/>
        </w:rPr>
      </w:pPr>
      <w:r w:rsidRPr="003B5667">
        <w:rPr>
          <w:rFonts w:cs="Arial"/>
          <w:sz w:val="18"/>
          <w:szCs w:val="20"/>
          <w:vertAlign w:val="superscript"/>
        </w:rPr>
        <w:t>[1]</w:t>
      </w:r>
      <w:r w:rsidRPr="003B5667">
        <w:rPr>
          <w:rFonts w:cs="Arial"/>
          <w:sz w:val="18"/>
          <w:szCs w:val="20"/>
        </w:rPr>
        <w:t xml:space="preserve"> </w:t>
      </w:r>
      <w:r w:rsidR="00E407D3" w:rsidRPr="003B5667">
        <w:rPr>
          <w:rFonts w:cs="Arial"/>
          <w:sz w:val="18"/>
          <w:szCs w:val="20"/>
        </w:rPr>
        <w:tab/>
      </w:r>
      <w:r w:rsidRPr="003B5667">
        <w:rPr>
          <w:rFonts w:cs="Arial"/>
          <w:sz w:val="18"/>
          <w:szCs w:val="20"/>
        </w:rPr>
        <w:t xml:space="preserve">Μία </w:t>
      </w:r>
      <w:r w:rsidR="00E407D3" w:rsidRPr="003B5667">
        <w:rPr>
          <w:rFonts w:cs="Arial"/>
          <w:sz w:val="18"/>
          <w:szCs w:val="20"/>
        </w:rPr>
        <w:t xml:space="preserve">(1) </w:t>
      </w:r>
      <w:r w:rsidRPr="003B5667">
        <w:rPr>
          <w:rFonts w:cs="Arial"/>
          <w:sz w:val="18"/>
          <w:szCs w:val="20"/>
        </w:rPr>
        <w:t>εκ των θέσεων</w:t>
      </w:r>
      <w:r w:rsidR="00E407D3" w:rsidRPr="003B5667">
        <w:rPr>
          <w:rFonts w:cs="Arial"/>
          <w:sz w:val="18"/>
          <w:szCs w:val="20"/>
        </w:rPr>
        <w:t xml:space="preserve"> χρεώνεται ως δαπάνη από χρηματοδοτήσεις για εξωτερικά ερευνητικά προγράμματα (Άρθρο 503).</w:t>
      </w:r>
    </w:p>
    <w:p w14:paraId="3B2FE518" w14:textId="77777777" w:rsidR="00E407D3" w:rsidRPr="003B5667" w:rsidRDefault="00E407D3" w:rsidP="003B5667">
      <w:pPr>
        <w:tabs>
          <w:tab w:val="left" w:pos="2790"/>
        </w:tabs>
        <w:ind w:left="284" w:hanging="284"/>
        <w:jc w:val="both"/>
        <w:rPr>
          <w:rFonts w:cs="Arial"/>
          <w:sz w:val="18"/>
          <w:szCs w:val="20"/>
        </w:rPr>
      </w:pPr>
    </w:p>
    <w:p w14:paraId="24BACE41" w14:textId="5F0A142C" w:rsidR="0099009E" w:rsidRPr="003B5667" w:rsidRDefault="008E295C" w:rsidP="003B5667">
      <w:pPr>
        <w:tabs>
          <w:tab w:val="left" w:pos="2790"/>
        </w:tabs>
        <w:ind w:left="284" w:hanging="284"/>
        <w:jc w:val="both"/>
        <w:rPr>
          <w:rFonts w:cs="Arial"/>
          <w:sz w:val="18"/>
          <w:szCs w:val="20"/>
        </w:rPr>
      </w:pPr>
      <w:r w:rsidRPr="003B5667">
        <w:rPr>
          <w:rFonts w:cs="Arial"/>
          <w:sz w:val="18"/>
          <w:szCs w:val="20"/>
          <w:vertAlign w:val="superscript"/>
        </w:rPr>
        <w:t>[2]</w:t>
      </w:r>
      <w:r w:rsidRPr="003B5667">
        <w:rPr>
          <w:rFonts w:cs="Arial"/>
          <w:sz w:val="18"/>
          <w:szCs w:val="20"/>
        </w:rPr>
        <w:t xml:space="preserve"> </w:t>
      </w:r>
      <w:r w:rsidR="00E407D3" w:rsidRPr="003B5667">
        <w:rPr>
          <w:rFonts w:cs="Arial"/>
          <w:sz w:val="18"/>
          <w:szCs w:val="20"/>
        </w:rPr>
        <w:tab/>
      </w:r>
      <w:r w:rsidR="0099009E" w:rsidRPr="003B5667">
        <w:rPr>
          <w:rFonts w:cs="Arial"/>
          <w:sz w:val="18"/>
          <w:szCs w:val="20"/>
        </w:rPr>
        <w:t>H πρόνοια τ</w:t>
      </w:r>
      <w:r w:rsidR="00ED518A" w:rsidRPr="003B5667">
        <w:rPr>
          <w:rFonts w:cs="Arial"/>
          <w:sz w:val="18"/>
          <w:szCs w:val="20"/>
        </w:rPr>
        <w:t>ου Άρθρου 12-108</w:t>
      </w:r>
      <w:r w:rsidR="0099009E" w:rsidRPr="003B5667">
        <w:rPr>
          <w:rFonts w:cs="Arial"/>
          <w:sz w:val="18"/>
          <w:szCs w:val="20"/>
        </w:rPr>
        <w:t xml:space="preserve"> «Πρόσθετες Βοηθητικές Υπηρεσίες», έχει λάβει υπόψη τη θετική τοποθέτηση του Τμήματος Δημόσιας Διοίκησης και Προσωπικού (σε επιστολή του ημερ. 17/05/2021), για τη μισθολογική αναβάθμιση 12 Λογιστικών Λειτουργών (Εργοδοτουμένων Αορίστου Χρόνου) (Κλ. Α4 και Κλ. Α7</w:t>
      </w:r>
      <w:r w:rsidR="0099009E" w:rsidRPr="003B5667">
        <w:rPr>
          <w:rFonts w:cs="Arial"/>
          <w:sz w:val="18"/>
          <w:szCs w:val="20"/>
          <w:vertAlign w:val="superscript"/>
        </w:rPr>
        <w:t>(ΙΙ)</w:t>
      </w:r>
      <w:r w:rsidR="0099009E" w:rsidRPr="003B5667">
        <w:rPr>
          <w:rFonts w:cs="Arial"/>
          <w:sz w:val="18"/>
          <w:szCs w:val="20"/>
        </w:rPr>
        <w:t>) του ΠΚ, οι οποίοι κατέχουν Πανεπιστημιακό Τίτλο Σπουδών σε συναφές θέμα ή/και Επαγγελματικά Προσόντα, στις Κλ. Α8, Α10 και Α11, κατ’ αναλογία της εφαρμογής αντίστοιχων ρυθμίσεων στη Δημοσία Υπηρεσία.</w:t>
      </w:r>
    </w:p>
    <w:p w14:paraId="20B4D140" w14:textId="77777777" w:rsidR="003B5667" w:rsidRPr="003B5667" w:rsidRDefault="003B5667" w:rsidP="003B5667">
      <w:pPr>
        <w:tabs>
          <w:tab w:val="left" w:pos="2790"/>
        </w:tabs>
        <w:ind w:left="284" w:hanging="284"/>
        <w:jc w:val="both"/>
        <w:rPr>
          <w:rFonts w:cs="Arial"/>
          <w:sz w:val="18"/>
          <w:szCs w:val="20"/>
        </w:rPr>
      </w:pPr>
    </w:p>
    <w:p w14:paraId="51C86E92" w14:textId="77777777" w:rsidR="003B5667" w:rsidRPr="003B5667" w:rsidRDefault="003B5667" w:rsidP="003B5667">
      <w:pPr>
        <w:tabs>
          <w:tab w:val="left" w:pos="2790"/>
        </w:tabs>
        <w:ind w:left="284" w:hanging="284"/>
        <w:jc w:val="both"/>
        <w:rPr>
          <w:rFonts w:cs="Arial"/>
          <w:sz w:val="18"/>
          <w:szCs w:val="20"/>
        </w:rPr>
      </w:pPr>
      <w:r w:rsidRPr="003B5667">
        <w:rPr>
          <w:rFonts w:cs="Arial"/>
          <w:sz w:val="18"/>
          <w:szCs w:val="20"/>
          <w:vertAlign w:val="superscript"/>
        </w:rPr>
        <w:t>[3]</w:t>
      </w:r>
      <w:r w:rsidRPr="003B5667">
        <w:rPr>
          <w:rFonts w:cs="Arial"/>
          <w:sz w:val="18"/>
          <w:szCs w:val="20"/>
        </w:rPr>
        <w:t xml:space="preserve"> </w:t>
      </w:r>
      <w:r w:rsidRPr="003B5667">
        <w:rPr>
          <w:rFonts w:cs="Arial"/>
          <w:sz w:val="18"/>
          <w:szCs w:val="20"/>
        </w:rPr>
        <w:tab/>
        <w:t xml:space="preserve">Το Πανεπιστήμιο Κύπρου έχει ζητήσει με σχετικές επιστολές προς τη Βουλή των Αντιπροσώπων (ημερ. 27/04/2009, 21/07/2009, 09/06/2009, 28/04/2010 και 22/09/2010) και έχει εξασφαλίσει από την Κοινοβουλευτική Επιτροπή Οικονομικών και Προϋπολογισμού (με επιστολή ημερ. 21/07/2009 και 01/12/2010), έγκριση για συνολικά διακόσιες δεκαέξι (216) μη μόνιμες θέσεις Διοικητικού Προσωπικού.  Το Πανεπιστήμιο Κύπρου έχει ήδη προβεί στην κατάργηση είκοσι έξι (26) θέσεων.  </w:t>
      </w:r>
    </w:p>
    <w:p w14:paraId="5FDFBAB4" w14:textId="77777777" w:rsidR="003B5667" w:rsidRPr="003B5667" w:rsidRDefault="003B5667" w:rsidP="003B5667">
      <w:pPr>
        <w:tabs>
          <w:tab w:val="left" w:pos="2790"/>
        </w:tabs>
        <w:ind w:left="284" w:hanging="284"/>
        <w:jc w:val="both"/>
        <w:rPr>
          <w:rFonts w:cs="Arial"/>
          <w:sz w:val="18"/>
          <w:szCs w:val="20"/>
        </w:rPr>
      </w:pPr>
    </w:p>
    <w:p w14:paraId="4F3D46F5" w14:textId="759EC923" w:rsidR="003B5667" w:rsidRPr="003B5667" w:rsidRDefault="003B5667" w:rsidP="003B5667">
      <w:pPr>
        <w:tabs>
          <w:tab w:val="left" w:pos="2790"/>
        </w:tabs>
        <w:ind w:left="284" w:hanging="284"/>
        <w:jc w:val="both"/>
        <w:rPr>
          <w:rFonts w:cs="Arial"/>
          <w:sz w:val="18"/>
          <w:szCs w:val="20"/>
        </w:rPr>
      </w:pPr>
      <w:r w:rsidRPr="003B5667">
        <w:rPr>
          <w:rFonts w:cs="Arial"/>
          <w:sz w:val="18"/>
          <w:szCs w:val="20"/>
        </w:rPr>
        <w:tab/>
        <w:t>Από τις υπόλοιπες εκατόν ενενήντα (190) εγκεκριμένες θέσεις, το Πανεπιστήμιο Κύπρου στο παρόν στάδιο πληροί τις εκατόν τριάντα τρεις (133) θέσεις, όπως καταγράφονται στον πιο πάνω αναλυτικό πίνακα.</w:t>
      </w:r>
    </w:p>
    <w:p w14:paraId="7CD8111F" w14:textId="77777777" w:rsidR="003B5667" w:rsidRPr="003B5667" w:rsidRDefault="003B5667" w:rsidP="003B5667">
      <w:pPr>
        <w:tabs>
          <w:tab w:val="left" w:pos="2790"/>
        </w:tabs>
        <w:ind w:left="284" w:hanging="284"/>
        <w:jc w:val="both"/>
        <w:rPr>
          <w:rFonts w:cs="Arial"/>
          <w:sz w:val="18"/>
          <w:szCs w:val="20"/>
        </w:rPr>
      </w:pPr>
    </w:p>
    <w:p w14:paraId="0815D697" w14:textId="70591148" w:rsidR="003B5667" w:rsidRPr="003B5667" w:rsidRDefault="003B5667" w:rsidP="003B5667">
      <w:pPr>
        <w:tabs>
          <w:tab w:val="left" w:pos="2790"/>
        </w:tabs>
        <w:ind w:left="568" w:hanging="284"/>
        <w:jc w:val="both"/>
        <w:rPr>
          <w:rFonts w:cs="Arial"/>
          <w:sz w:val="18"/>
          <w:szCs w:val="20"/>
        </w:rPr>
      </w:pPr>
      <w:r w:rsidRPr="003B5667">
        <w:rPr>
          <w:rFonts w:cs="Arial"/>
          <w:sz w:val="18"/>
          <w:szCs w:val="20"/>
        </w:rPr>
        <w:t xml:space="preserve">Διευκρινίζεται ότι, η πρόνοια του Άρθρο 12-108 «Πρόσθετες Βοηθητικές Υπηρεσίες» καλύπτει πρόσθετα: </w:t>
      </w:r>
    </w:p>
    <w:p w14:paraId="48D609F0" w14:textId="77777777" w:rsidR="003B5667" w:rsidRPr="003B5667" w:rsidRDefault="003B5667" w:rsidP="003B5667">
      <w:pPr>
        <w:tabs>
          <w:tab w:val="left" w:pos="2790"/>
        </w:tabs>
        <w:ind w:left="568" w:hanging="284"/>
        <w:jc w:val="both"/>
        <w:rPr>
          <w:rFonts w:cs="Arial"/>
          <w:sz w:val="18"/>
          <w:szCs w:val="20"/>
        </w:rPr>
      </w:pPr>
    </w:p>
    <w:p w14:paraId="56482709" w14:textId="01165B3D" w:rsidR="003B5667" w:rsidRPr="003B5667" w:rsidRDefault="003B5667" w:rsidP="003B5667">
      <w:pPr>
        <w:tabs>
          <w:tab w:val="left" w:pos="2790"/>
        </w:tabs>
        <w:ind w:left="568" w:hanging="284"/>
        <w:jc w:val="both"/>
        <w:rPr>
          <w:rFonts w:cs="Arial"/>
          <w:sz w:val="18"/>
          <w:szCs w:val="20"/>
        </w:rPr>
      </w:pPr>
      <w:r w:rsidRPr="003B5667">
        <w:rPr>
          <w:rFonts w:cs="Arial"/>
          <w:sz w:val="18"/>
          <w:szCs w:val="20"/>
        </w:rPr>
        <w:t>(α) το κόστος εργοδότη για τρεις (3) θέσεις Βοηθού Γραφείου με Σύμβαση (Σύντομης Διάρκειας) και οι οποίες με την ολοκλήρωση των τριάντα (30) μηνών είχαν μετατραπεί σε Αορίστου Χρόνου, καθώς και</w:t>
      </w:r>
    </w:p>
    <w:p w14:paraId="290E5EDC" w14:textId="51B6E416" w:rsidR="003B5667" w:rsidRPr="003B5667" w:rsidRDefault="003B5667" w:rsidP="003B5667">
      <w:pPr>
        <w:tabs>
          <w:tab w:val="left" w:pos="2790"/>
        </w:tabs>
        <w:ind w:left="568" w:hanging="284"/>
        <w:jc w:val="both"/>
        <w:rPr>
          <w:rFonts w:cs="Arial"/>
          <w:sz w:val="18"/>
          <w:szCs w:val="20"/>
        </w:rPr>
      </w:pPr>
      <w:r w:rsidRPr="003B5667">
        <w:rPr>
          <w:rFonts w:cs="Arial"/>
          <w:sz w:val="18"/>
          <w:szCs w:val="20"/>
        </w:rPr>
        <w:t>(β) δαπάνες του Νηπιαγωγείου και Βρεφοκομικού Σταθμού του Πανεπιστημίου Κύπρου από δικές του εισπράξεις,</w:t>
      </w:r>
    </w:p>
    <w:p w14:paraId="2759E88D" w14:textId="77777777" w:rsidR="003B5667" w:rsidRPr="003B5667" w:rsidRDefault="003B5667" w:rsidP="003B5667">
      <w:pPr>
        <w:tabs>
          <w:tab w:val="left" w:pos="2790"/>
        </w:tabs>
        <w:ind w:left="568" w:hanging="284"/>
        <w:jc w:val="both"/>
        <w:rPr>
          <w:rFonts w:cs="Arial"/>
          <w:sz w:val="18"/>
          <w:szCs w:val="20"/>
        </w:rPr>
      </w:pPr>
      <w:r w:rsidRPr="003B5667">
        <w:rPr>
          <w:rFonts w:cs="Arial"/>
          <w:sz w:val="18"/>
          <w:szCs w:val="20"/>
        </w:rPr>
        <w:tab/>
      </w:r>
    </w:p>
    <w:p w14:paraId="28967841" w14:textId="55E03A1C" w:rsidR="003B5667" w:rsidRPr="003B5667" w:rsidRDefault="003B5667" w:rsidP="003B5667">
      <w:pPr>
        <w:tabs>
          <w:tab w:val="left" w:pos="2790"/>
        </w:tabs>
        <w:ind w:left="568" w:hanging="284"/>
        <w:jc w:val="both"/>
        <w:rPr>
          <w:rFonts w:cs="Arial"/>
          <w:sz w:val="18"/>
          <w:szCs w:val="20"/>
        </w:rPr>
      </w:pPr>
      <w:r w:rsidRPr="003B5667">
        <w:rPr>
          <w:rFonts w:cs="Arial"/>
          <w:sz w:val="18"/>
          <w:szCs w:val="20"/>
        </w:rPr>
        <w:t>και οι οποίες δεν περιλαμβάνονται στις προαναφερόμενες εκατόν τριάντα τρεις (133) πληρωμένες θέσεις.</w:t>
      </w:r>
    </w:p>
    <w:sectPr w:rsidR="003B5667" w:rsidRPr="003B5667" w:rsidSect="001A5282">
      <w:footerReference w:type="even" r:id="rId11"/>
      <w:footerReference w:type="default" r:id="rId12"/>
      <w:footerReference w:type="first" r:id="rId13"/>
      <w:pgSz w:w="12240" w:h="15840" w:code="1"/>
      <w:pgMar w:top="1140" w:right="851" w:bottom="1140" w:left="851" w:header="720" w:footer="32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E248" w14:textId="77777777" w:rsidR="006A39F9" w:rsidRDefault="006A39F9" w:rsidP="0045563D">
      <w:r>
        <w:separator/>
      </w:r>
    </w:p>
  </w:endnote>
  <w:endnote w:type="continuationSeparator" w:id="0">
    <w:p w14:paraId="05BEF395" w14:textId="77777777" w:rsidR="006A39F9" w:rsidRDefault="006A39F9" w:rsidP="0045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PA-SansSerif">
    <w:altName w:val="Arial"/>
    <w:charset w:val="00"/>
    <w:family w:val="swiss"/>
    <w:pitch w:val="variable"/>
    <w:sig w:usb0="00000083" w:usb1="00000000" w:usb2="00000000" w:usb3="00000000" w:csb0="00000009"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1AD8" w14:textId="77777777" w:rsidR="006A39F9" w:rsidRDefault="006A39F9" w:rsidP="00CB3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595DB" w14:textId="77777777" w:rsidR="006A39F9" w:rsidRDefault="006A39F9" w:rsidP="00CB336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D29A" w14:textId="77777777" w:rsidR="006A39F9" w:rsidRDefault="006A39F9" w:rsidP="007422AB">
    <w:pPr>
      <w:pStyle w:val="Footer"/>
      <w:pBdr>
        <w:bottom w:val="single" w:sz="4" w:space="1" w:color="4F81BD" w:themeColor="accent1"/>
      </w:pBdr>
      <w:jc w:val="both"/>
      <w:rPr>
        <w:rFonts w:ascii="Arial" w:eastAsia="Arial" w:hAnsi="Arial" w:cs="Arial"/>
        <w:i/>
        <w:iCs/>
        <w:sz w:val="16"/>
        <w:szCs w:val="16"/>
      </w:rPr>
    </w:pPr>
  </w:p>
  <w:p w14:paraId="0D91EFE5" w14:textId="77777777" w:rsidR="006A39F9" w:rsidRDefault="006A39F9" w:rsidP="006E5981">
    <w:pPr>
      <w:pStyle w:val="Footer"/>
      <w:jc w:val="both"/>
      <w:rPr>
        <w:rFonts w:ascii="Arial" w:eastAsia="Arial" w:hAnsi="Arial" w:cs="Arial"/>
        <w:i/>
        <w:iCs/>
        <w:sz w:val="14"/>
      </w:rPr>
    </w:pPr>
    <w:r w:rsidRPr="006E5981">
      <w:rPr>
        <w:rFonts w:ascii="Arial" w:eastAsia="Arial" w:hAnsi="Arial" w:cs="Arial"/>
        <w:i/>
        <w:iCs/>
        <w:sz w:val="14"/>
      </w:rPr>
      <w:t xml:space="preserve">Επεξηγηματικό Μνημόνιο </w:t>
    </w:r>
  </w:p>
  <w:p w14:paraId="6CB12A5E" w14:textId="390BB6FC" w:rsidR="006A39F9" w:rsidRPr="007422AB" w:rsidRDefault="006A39F9" w:rsidP="006E5981">
    <w:pPr>
      <w:pStyle w:val="Footer"/>
      <w:jc w:val="both"/>
      <w:rPr>
        <w:rFonts w:ascii="Arial" w:eastAsia="Arial" w:hAnsi="Arial" w:cs="Arial"/>
        <w:i/>
        <w:iCs/>
        <w:sz w:val="14"/>
      </w:rPr>
    </w:pPr>
    <w:r w:rsidRPr="007422AB">
      <w:rPr>
        <w:rFonts w:ascii="Arial" w:eastAsia="Arial" w:hAnsi="Arial" w:cs="Arial"/>
        <w:i/>
        <w:iCs/>
        <w:sz w:val="14"/>
      </w:rPr>
      <w:t>Προϋπολογισμ</w:t>
    </w:r>
    <w:r>
      <w:rPr>
        <w:rFonts w:ascii="Arial" w:eastAsia="Arial" w:hAnsi="Arial" w:cs="Arial"/>
        <w:i/>
        <w:iCs/>
        <w:sz w:val="14"/>
      </w:rPr>
      <w:t>ού</w:t>
    </w:r>
    <w:r w:rsidRPr="007422AB">
      <w:rPr>
        <w:rFonts w:ascii="Arial" w:eastAsia="Arial" w:hAnsi="Arial" w:cs="Arial"/>
        <w:i/>
        <w:iCs/>
        <w:sz w:val="14"/>
      </w:rPr>
      <w:t xml:space="preserve"> Πανεπιστημίου Κύπρου </w:t>
    </w:r>
    <w:r>
      <w:rPr>
        <w:rFonts w:ascii="Arial" w:eastAsia="Arial" w:hAnsi="Arial" w:cs="Arial"/>
        <w:i/>
        <w:iCs/>
        <w:sz w:val="14"/>
      </w:rPr>
      <w:t xml:space="preserve">για το έτος </w:t>
    </w:r>
    <w:r w:rsidRPr="007422AB">
      <w:rPr>
        <w:rFonts w:ascii="Arial" w:eastAsia="Arial" w:hAnsi="Arial" w:cs="Arial"/>
        <w:i/>
        <w:iCs/>
        <w:sz w:val="14"/>
      </w:rPr>
      <w:t>2022</w:t>
    </w:r>
  </w:p>
  <w:p w14:paraId="564EE290" w14:textId="77777777" w:rsidR="006A39F9" w:rsidRPr="007422AB" w:rsidRDefault="006A39F9" w:rsidP="007422AB">
    <w:pPr>
      <w:tabs>
        <w:tab w:val="left" w:pos="3255"/>
      </w:tabs>
      <w:jc w:val="both"/>
      <w:rPr>
        <w:i/>
        <w:iCs/>
        <w:sz w:val="14"/>
        <w:szCs w:val="20"/>
      </w:rPr>
    </w:pPr>
  </w:p>
  <w:p w14:paraId="5FA6EEC1" w14:textId="4BF6CE23" w:rsidR="006A39F9" w:rsidRPr="007422AB" w:rsidRDefault="006A39F9" w:rsidP="007422AB">
    <w:pPr>
      <w:tabs>
        <w:tab w:val="left" w:pos="3255"/>
      </w:tabs>
      <w:jc w:val="right"/>
      <w:rPr>
        <w:rFonts w:cs="Arial"/>
        <w:sz w:val="20"/>
        <w:szCs w:val="20"/>
      </w:rPr>
    </w:pPr>
    <w:r w:rsidRPr="007422AB">
      <w:rPr>
        <w:rFonts w:cs="Arial"/>
        <w:sz w:val="20"/>
        <w:szCs w:val="20"/>
      </w:rPr>
      <w:fldChar w:fldCharType="begin"/>
    </w:r>
    <w:r w:rsidRPr="007422AB">
      <w:rPr>
        <w:rFonts w:cs="Arial"/>
        <w:sz w:val="20"/>
        <w:szCs w:val="20"/>
      </w:rPr>
      <w:instrText xml:space="preserve"> PAGE   \* MERGEFORMAT </w:instrText>
    </w:r>
    <w:r w:rsidRPr="007422AB">
      <w:rPr>
        <w:rFonts w:cs="Arial"/>
        <w:sz w:val="20"/>
        <w:szCs w:val="20"/>
      </w:rPr>
      <w:fldChar w:fldCharType="separate"/>
    </w:r>
    <w:r w:rsidRPr="007422AB">
      <w:rPr>
        <w:rFonts w:cs="Arial"/>
        <w:noProof/>
        <w:sz w:val="20"/>
        <w:szCs w:val="20"/>
      </w:rPr>
      <w:t>2</w:t>
    </w:r>
    <w:r w:rsidRPr="007422AB">
      <w:rPr>
        <w:rFonts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C89C" w14:textId="77777777" w:rsidR="006A39F9" w:rsidRDefault="006A39F9" w:rsidP="00EE03EB">
    <w:pPr>
      <w:pStyle w:val="Footer"/>
      <w:pBdr>
        <w:bottom w:val="single" w:sz="4" w:space="1" w:color="4F81BD" w:themeColor="accent1"/>
      </w:pBdr>
      <w:jc w:val="both"/>
      <w:rPr>
        <w:rFonts w:ascii="Arial" w:eastAsia="Arial" w:hAnsi="Arial" w:cs="Arial"/>
        <w:i/>
        <w:iCs/>
        <w:sz w:val="16"/>
        <w:szCs w:val="16"/>
      </w:rPr>
    </w:pPr>
  </w:p>
  <w:p w14:paraId="5351111E" w14:textId="77777777" w:rsidR="006A39F9" w:rsidRDefault="006A39F9" w:rsidP="00EE03EB">
    <w:pPr>
      <w:pStyle w:val="Footer"/>
      <w:jc w:val="both"/>
      <w:rPr>
        <w:rFonts w:ascii="Arial" w:eastAsia="Arial" w:hAnsi="Arial" w:cs="Arial"/>
        <w:i/>
        <w:iCs/>
        <w:sz w:val="14"/>
      </w:rPr>
    </w:pPr>
    <w:r w:rsidRPr="006E5981">
      <w:rPr>
        <w:rFonts w:ascii="Arial" w:eastAsia="Arial" w:hAnsi="Arial" w:cs="Arial"/>
        <w:i/>
        <w:iCs/>
        <w:sz w:val="14"/>
      </w:rPr>
      <w:t xml:space="preserve">Επεξηγηματικό Μνημόνιο </w:t>
    </w:r>
  </w:p>
  <w:p w14:paraId="1E27CDAC" w14:textId="6F62482B" w:rsidR="006A39F9" w:rsidRPr="00EE03EB" w:rsidRDefault="006A39F9" w:rsidP="00EE03EB">
    <w:pPr>
      <w:pStyle w:val="Footer"/>
      <w:jc w:val="both"/>
      <w:rPr>
        <w:rFonts w:ascii="Arial" w:eastAsia="Arial" w:hAnsi="Arial" w:cs="Arial"/>
        <w:i/>
        <w:iCs/>
        <w:sz w:val="14"/>
      </w:rPr>
    </w:pPr>
    <w:r w:rsidRPr="007422AB">
      <w:rPr>
        <w:rFonts w:ascii="Arial" w:eastAsia="Arial" w:hAnsi="Arial" w:cs="Arial"/>
        <w:i/>
        <w:iCs/>
        <w:sz w:val="14"/>
      </w:rPr>
      <w:t>Προϋπολογισμ</w:t>
    </w:r>
    <w:r>
      <w:rPr>
        <w:rFonts w:ascii="Arial" w:eastAsia="Arial" w:hAnsi="Arial" w:cs="Arial"/>
        <w:i/>
        <w:iCs/>
        <w:sz w:val="14"/>
      </w:rPr>
      <w:t>ού</w:t>
    </w:r>
    <w:r w:rsidRPr="007422AB">
      <w:rPr>
        <w:rFonts w:ascii="Arial" w:eastAsia="Arial" w:hAnsi="Arial" w:cs="Arial"/>
        <w:i/>
        <w:iCs/>
        <w:sz w:val="14"/>
      </w:rPr>
      <w:t xml:space="preserve"> Πανεπιστημίου Κύπρου </w:t>
    </w:r>
    <w:r>
      <w:rPr>
        <w:rFonts w:ascii="Arial" w:eastAsia="Arial" w:hAnsi="Arial" w:cs="Arial"/>
        <w:i/>
        <w:iCs/>
        <w:sz w:val="14"/>
      </w:rPr>
      <w:t xml:space="preserve">για το έτος </w:t>
    </w:r>
    <w:r w:rsidRPr="007422AB">
      <w:rPr>
        <w:rFonts w:ascii="Arial" w:eastAsia="Arial" w:hAnsi="Arial" w:cs="Arial"/>
        <w:i/>
        <w:iCs/>
        <w:sz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4BEF3" w14:textId="77777777" w:rsidR="006A39F9" w:rsidRDefault="006A39F9" w:rsidP="0045563D">
      <w:r>
        <w:separator/>
      </w:r>
    </w:p>
  </w:footnote>
  <w:footnote w:type="continuationSeparator" w:id="0">
    <w:p w14:paraId="7DE1846A" w14:textId="77777777" w:rsidR="006A39F9" w:rsidRDefault="006A39F9" w:rsidP="0045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572"/>
    <w:multiLevelType w:val="hybridMultilevel"/>
    <w:tmpl w:val="5E74F7B6"/>
    <w:lvl w:ilvl="0" w:tplc="454E476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D52D90"/>
    <w:multiLevelType w:val="hybridMultilevel"/>
    <w:tmpl w:val="5F908772"/>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0F4848"/>
    <w:multiLevelType w:val="hybridMultilevel"/>
    <w:tmpl w:val="7242B6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27F44DF"/>
    <w:multiLevelType w:val="hybridMultilevel"/>
    <w:tmpl w:val="B754BD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40C3F5E"/>
    <w:multiLevelType w:val="hybridMultilevel"/>
    <w:tmpl w:val="6052A29C"/>
    <w:lvl w:ilvl="0" w:tplc="454E476A">
      <w:start w:val="1"/>
      <w:numFmt w:val="bullet"/>
      <w:lvlText w:val="-"/>
      <w:lvlJc w:val="left"/>
      <w:pPr>
        <w:ind w:left="360" w:hanging="360"/>
      </w:pPr>
      <w:rPr>
        <w:rFonts w:ascii="Symbol" w:hAnsi="Symbol" w:hint="default"/>
        <w:sz w:val="24"/>
        <w:szCs w:val="24"/>
        <w:vertAlign w:val="baselin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4F369FB"/>
    <w:multiLevelType w:val="hybridMultilevel"/>
    <w:tmpl w:val="1BDE7F98"/>
    <w:lvl w:ilvl="0" w:tplc="1C369AF8">
      <w:start w:val="1"/>
      <w:numFmt w:val="bullet"/>
      <w:lvlText w:val="−"/>
      <w:lvlJc w:val="left"/>
      <w:pPr>
        <w:ind w:left="4014" w:hanging="360"/>
      </w:pPr>
      <w:rPr>
        <w:rFonts w:ascii="Arial" w:hAnsi="Aria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6" w15:restartNumberingAfterBreak="0">
    <w:nsid w:val="162670AD"/>
    <w:multiLevelType w:val="hybridMultilevel"/>
    <w:tmpl w:val="E24C19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75C5786"/>
    <w:multiLevelType w:val="hybridMultilevel"/>
    <w:tmpl w:val="E42CEFDE"/>
    <w:lvl w:ilvl="0" w:tplc="5980E230">
      <w:start w:val="1"/>
      <w:numFmt w:val="bullet"/>
      <w:lvlText w:val="–"/>
      <w:lvlJc w:val="left"/>
      <w:pPr>
        <w:ind w:left="1070" w:hanging="360"/>
      </w:pPr>
      <w:rPr>
        <w:rFonts w:ascii="Arial" w:eastAsia="Times New Roman" w:hAnsi="Arial" w:cs="Arial" w:hint="default"/>
        <w:sz w:val="24"/>
        <w:szCs w:val="24"/>
        <w:vertAlign w:val="baseline"/>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A5741D5"/>
    <w:multiLevelType w:val="hybridMultilevel"/>
    <w:tmpl w:val="84344FA4"/>
    <w:lvl w:ilvl="0" w:tplc="A69417FC">
      <w:start w:val="1"/>
      <w:numFmt w:val="bullet"/>
      <w:lvlText w:val=""/>
      <w:lvlJc w:val="left"/>
      <w:pPr>
        <w:ind w:left="720" w:hanging="72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1F4F5317"/>
    <w:multiLevelType w:val="hybridMultilevel"/>
    <w:tmpl w:val="A3986CB2"/>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5F2A8D"/>
    <w:multiLevelType w:val="hybridMultilevel"/>
    <w:tmpl w:val="5712E97C"/>
    <w:lvl w:ilvl="0" w:tplc="222A30E2">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26694C46"/>
    <w:multiLevelType w:val="hybridMultilevel"/>
    <w:tmpl w:val="18F6DF8C"/>
    <w:lvl w:ilvl="0" w:tplc="5980E230">
      <w:start w:val="1"/>
      <w:numFmt w:val="bullet"/>
      <w:lvlText w:val="–"/>
      <w:lvlJc w:val="left"/>
      <w:pPr>
        <w:ind w:left="360" w:hanging="360"/>
      </w:pPr>
      <w:rPr>
        <w:rFonts w:ascii="Arial" w:eastAsia="Times New Roman" w:hAnsi="Arial" w:cs="Arial" w:hint="default"/>
        <w:sz w:val="24"/>
        <w:szCs w:val="24"/>
        <w:vertAlign w:val="baseline"/>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99036A0"/>
    <w:multiLevelType w:val="hybridMultilevel"/>
    <w:tmpl w:val="994C8F82"/>
    <w:lvl w:ilvl="0" w:tplc="5980E230">
      <w:start w:val="1"/>
      <w:numFmt w:val="bullet"/>
      <w:lvlText w:val="–"/>
      <w:lvlJc w:val="left"/>
      <w:pPr>
        <w:tabs>
          <w:tab w:val="num" w:pos="720"/>
        </w:tabs>
        <w:ind w:left="720" w:hanging="360"/>
      </w:pPr>
      <w:rPr>
        <w:rFonts w:ascii="Arial" w:eastAsia="Times New Roman" w:hAnsi="Arial" w:cs="Arial" w:hint="default"/>
        <w:sz w:val="24"/>
        <w:szCs w:val="24"/>
        <w:vertAlign w:val="baseline"/>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A2099"/>
    <w:multiLevelType w:val="hybridMultilevel"/>
    <w:tmpl w:val="C0923E38"/>
    <w:lvl w:ilvl="0" w:tplc="7BB8BD2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A0F4ACB"/>
    <w:multiLevelType w:val="hybridMultilevel"/>
    <w:tmpl w:val="2B641A1A"/>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CBD0121"/>
    <w:multiLevelType w:val="hybridMultilevel"/>
    <w:tmpl w:val="0B0ADDBC"/>
    <w:lvl w:ilvl="0" w:tplc="AB464002">
      <w:start w:val="1"/>
      <w:numFmt w:val="lowerRoman"/>
      <w:lvlText w:val="(%1)"/>
      <w:lvlJc w:val="left"/>
      <w:pPr>
        <w:ind w:left="720" w:hanging="72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E4F5B45"/>
    <w:multiLevelType w:val="hybridMultilevel"/>
    <w:tmpl w:val="6D18D358"/>
    <w:lvl w:ilvl="0" w:tplc="222A30E2">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FAC260F"/>
    <w:multiLevelType w:val="hybridMultilevel"/>
    <w:tmpl w:val="653AE2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30C0302"/>
    <w:multiLevelType w:val="hybridMultilevel"/>
    <w:tmpl w:val="5BFC6924"/>
    <w:lvl w:ilvl="0" w:tplc="B2C487DA">
      <w:start w:val="5"/>
      <w:numFmt w:val="lowerRoman"/>
      <w:lvlText w:val="(%1)"/>
      <w:lvlJc w:val="left"/>
      <w:pPr>
        <w:ind w:left="720" w:hanging="72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D5A64F2"/>
    <w:multiLevelType w:val="hybridMultilevel"/>
    <w:tmpl w:val="D47A0E9C"/>
    <w:lvl w:ilvl="0" w:tplc="5980E230">
      <w:start w:val="1"/>
      <w:numFmt w:val="bullet"/>
      <w:lvlText w:val="–"/>
      <w:lvlJc w:val="left"/>
      <w:pPr>
        <w:ind w:left="720" w:hanging="360"/>
      </w:pPr>
      <w:rPr>
        <w:rFonts w:ascii="Arial" w:eastAsia="Times New Roman" w:hAnsi="Arial" w:cs="Arial" w:hint="default"/>
        <w:sz w:val="24"/>
        <w:szCs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142E4E"/>
    <w:multiLevelType w:val="hybridMultilevel"/>
    <w:tmpl w:val="446A1602"/>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A106BB"/>
    <w:multiLevelType w:val="hybridMultilevel"/>
    <w:tmpl w:val="B1D01BF4"/>
    <w:lvl w:ilvl="0" w:tplc="5980E230">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BC2845"/>
    <w:multiLevelType w:val="hybridMultilevel"/>
    <w:tmpl w:val="6CB0FB80"/>
    <w:lvl w:ilvl="0" w:tplc="454E476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8F47304"/>
    <w:multiLevelType w:val="hybridMultilevel"/>
    <w:tmpl w:val="85D01402"/>
    <w:lvl w:ilvl="0" w:tplc="AB464002">
      <w:start w:val="1"/>
      <w:numFmt w:val="lowerRoman"/>
      <w:lvlText w:val="(%1)"/>
      <w:lvlJc w:val="left"/>
      <w:pPr>
        <w:ind w:left="720" w:hanging="720"/>
      </w:pPr>
      <w:rPr>
        <w:rFonts w:hint="default"/>
      </w:rPr>
    </w:lvl>
    <w:lvl w:ilvl="1" w:tplc="454E476A">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4B4859F9"/>
    <w:multiLevelType w:val="hybridMultilevel"/>
    <w:tmpl w:val="95A0A5C4"/>
    <w:lvl w:ilvl="0" w:tplc="A6941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54A8D"/>
    <w:multiLevelType w:val="hybridMultilevel"/>
    <w:tmpl w:val="A90EEF28"/>
    <w:lvl w:ilvl="0" w:tplc="454E476A">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4D3B1E3A"/>
    <w:multiLevelType w:val="hybridMultilevel"/>
    <w:tmpl w:val="52C2503C"/>
    <w:lvl w:ilvl="0" w:tplc="8CC28112">
      <w:start w:val="1"/>
      <w:numFmt w:val="bullet"/>
      <w:lvlText w:val="–"/>
      <w:lvlJc w:val="left"/>
      <w:pPr>
        <w:ind w:left="720" w:hanging="360"/>
      </w:pPr>
      <w:rPr>
        <w:rFonts w:ascii="Arial Narrow" w:hAnsi="Arial Narrow"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DF3173C"/>
    <w:multiLevelType w:val="hybridMultilevel"/>
    <w:tmpl w:val="0150AA46"/>
    <w:lvl w:ilvl="0" w:tplc="454E476A">
      <w:start w:val="1"/>
      <w:numFmt w:val="bullet"/>
      <w:lvlText w:val="-"/>
      <w:lvlJc w:val="left"/>
      <w:pPr>
        <w:ind w:left="360" w:hanging="360"/>
      </w:pPr>
      <w:rPr>
        <w:rFonts w:ascii="Symbol" w:hAnsi="Symbol" w:hint="default"/>
        <w:sz w:val="24"/>
        <w:szCs w:val="24"/>
        <w:vertAlign w:val="baseline"/>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54A74076"/>
    <w:multiLevelType w:val="hybridMultilevel"/>
    <w:tmpl w:val="0E6A6B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77733A8"/>
    <w:multiLevelType w:val="hybridMultilevel"/>
    <w:tmpl w:val="C434BAD2"/>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375A16"/>
    <w:multiLevelType w:val="hybridMultilevel"/>
    <w:tmpl w:val="776C025E"/>
    <w:lvl w:ilvl="0" w:tplc="222A30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B5495D"/>
    <w:multiLevelType w:val="hybridMultilevel"/>
    <w:tmpl w:val="94DC26A0"/>
    <w:lvl w:ilvl="0" w:tplc="A69417F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D54171B"/>
    <w:multiLevelType w:val="hybridMultilevel"/>
    <w:tmpl w:val="247E48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D5E2623"/>
    <w:multiLevelType w:val="hybridMultilevel"/>
    <w:tmpl w:val="780870BC"/>
    <w:lvl w:ilvl="0" w:tplc="5980E230">
      <w:start w:val="1"/>
      <w:numFmt w:val="bullet"/>
      <w:lvlText w:val="–"/>
      <w:lvlJc w:val="left"/>
      <w:pPr>
        <w:ind w:left="360" w:hanging="360"/>
      </w:pPr>
      <w:rPr>
        <w:rFonts w:ascii="Arial" w:eastAsia="Times New Roman" w:hAnsi="Arial" w:cs="Arial" w:hint="default"/>
        <w:sz w:val="24"/>
        <w:szCs w:val="24"/>
        <w:vertAlign w:val="baselin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0171E82"/>
    <w:multiLevelType w:val="hybridMultilevel"/>
    <w:tmpl w:val="3BB4D2BC"/>
    <w:lvl w:ilvl="0" w:tplc="8CC28112">
      <w:start w:val="1"/>
      <w:numFmt w:val="bullet"/>
      <w:lvlText w:val="–"/>
      <w:lvlJc w:val="left"/>
      <w:pPr>
        <w:ind w:left="720" w:hanging="360"/>
      </w:pPr>
      <w:rPr>
        <w:rFonts w:ascii="Arial Narrow" w:hAnsi="Arial Narrow"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0B01D01"/>
    <w:multiLevelType w:val="hybridMultilevel"/>
    <w:tmpl w:val="E82C8C62"/>
    <w:lvl w:ilvl="0" w:tplc="5980E230">
      <w:start w:val="1"/>
      <w:numFmt w:val="bullet"/>
      <w:lvlText w:val="–"/>
      <w:lvlJc w:val="left"/>
      <w:pPr>
        <w:ind w:left="360" w:hanging="360"/>
      </w:pPr>
      <w:rPr>
        <w:rFonts w:ascii="Arial" w:eastAsia="Times New Roman" w:hAnsi="Arial" w:cs="Arial" w:hint="default"/>
        <w:sz w:val="24"/>
        <w:szCs w:val="24"/>
        <w:vertAlign w:val="baseline"/>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64B41F30"/>
    <w:multiLevelType w:val="hybridMultilevel"/>
    <w:tmpl w:val="627823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6103983"/>
    <w:multiLevelType w:val="hybridMultilevel"/>
    <w:tmpl w:val="586EF398"/>
    <w:lvl w:ilvl="0" w:tplc="E44E4682">
      <w:numFmt w:val="bullet"/>
      <w:lvlText w:val="-"/>
      <w:lvlJc w:val="left"/>
      <w:pPr>
        <w:ind w:left="360" w:hanging="360"/>
      </w:pPr>
      <w:rPr>
        <w:rFonts w:ascii="Arial" w:eastAsia="Times New Roman" w:hAnsi="Arial" w:cs="Aria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8BE7C4F"/>
    <w:multiLevelType w:val="hybridMultilevel"/>
    <w:tmpl w:val="649627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038680F"/>
    <w:multiLevelType w:val="hybridMultilevel"/>
    <w:tmpl w:val="DC7072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73CD3DEA"/>
    <w:multiLevelType w:val="hybridMultilevel"/>
    <w:tmpl w:val="1A34C56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15:restartNumberingAfterBreak="0">
    <w:nsid w:val="73E90B4A"/>
    <w:multiLevelType w:val="hybridMultilevel"/>
    <w:tmpl w:val="A4B43762"/>
    <w:lvl w:ilvl="0" w:tplc="1C369AF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63A5D22"/>
    <w:multiLevelType w:val="hybridMultilevel"/>
    <w:tmpl w:val="D3CE480C"/>
    <w:lvl w:ilvl="0" w:tplc="454E476A">
      <w:start w:val="1"/>
      <w:numFmt w:val="bullet"/>
      <w:lvlText w:val="-"/>
      <w:lvlJc w:val="left"/>
      <w:pPr>
        <w:ind w:left="720" w:hanging="360"/>
      </w:pPr>
      <w:rPr>
        <w:rFonts w:ascii="Symbol" w:hAnsi="Symbol" w:hint="default"/>
        <w:sz w:val="24"/>
        <w:szCs w:val="24"/>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B6950B9"/>
    <w:multiLevelType w:val="hybridMultilevel"/>
    <w:tmpl w:val="2BBE6A3A"/>
    <w:lvl w:ilvl="0" w:tplc="454E476A">
      <w:start w:val="1"/>
      <w:numFmt w:val="bullet"/>
      <w:lvlText w:val="-"/>
      <w:lvlJc w:val="left"/>
      <w:pPr>
        <w:tabs>
          <w:tab w:val="num" w:pos="720"/>
        </w:tabs>
        <w:ind w:left="720" w:hanging="360"/>
      </w:pPr>
      <w:rPr>
        <w:rFonts w:ascii="Symbol" w:hAnsi="Symbol" w:hint="default"/>
        <w:sz w:val="24"/>
        <w:szCs w:val="24"/>
        <w:vertAlign w:val="baseline"/>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C73578"/>
    <w:multiLevelType w:val="hybridMultilevel"/>
    <w:tmpl w:val="DBB4126C"/>
    <w:lvl w:ilvl="0" w:tplc="3B7698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DEA5B90"/>
    <w:multiLevelType w:val="hybridMultilevel"/>
    <w:tmpl w:val="D6EEDF58"/>
    <w:lvl w:ilvl="0" w:tplc="A69417FC">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6" w15:restartNumberingAfterBreak="0">
    <w:nsid w:val="7F640336"/>
    <w:multiLevelType w:val="hybridMultilevel"/>
    <w:tmpl w:val="A8E61604"/>
    <w:lvl w:ilvl="0" w:tplc="5980E230">
      <w:start w:val="1"/>
      <w:numFmt w:val="bullet"/>
      <w:lvlText w:val="–"/>
      <w:lvlJc w:val="left"/>
      <w:pPr>
        <w:ind w:left="-351" w:hanging="360"/>
      </w:pPr>
      <w:rPr>
        <w:rFonts w:ascii="Arial" w:eastAsia="Times New Roman" w:hAnsi="Arial" w:cs="Arial" w:hint="default"/>
        <w:sz w:val="24"/>
        <w:szCs w:val="24"/>
        <w:vertAlign w:val="baseline"/>
      </w:rPr>
    </w:lvl>
    <w:lvl w:ilvl="1" w:tplc="04080003" w:tentative="1">
      <w:start w:val="1"/>
      <w:numFmt w:val="bullet"/>
      <w:lvlText w:val="o"/>
      <w:lvlJc w:val="left"/>
      <w:pPr>
        <w:ind w:left="369" w:hanging="360"/>
      </w:pPr>
      <w:rPr>
        <w:rFonts w:ascii="Courier New" w:hAnsi="Courier New" w:cs="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cs="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cs="Courier New" w:hint="default"/>
      </w:rPr>
    </w:lvl>
    <w:lvl w:ilvl="8" w:tplc="04080005" w:tentative="1">
      <w:start w:val="1"/>
      <w:numFmt w:val="bullet"/>
      <w:lvlText w:val=""/>
      <w:lvlJc w:val="left"/>
      <w:pPr>
        <w:ind w:left="5409" w:hanging="360"/>
      </w:pPr>
      <w:rPr>
        <w:rFonts w:ascii="Wingdings" w:hAnsi="Wingdings" w:hint="default"/>
      </w:rPr>
    </w:lvl>
  </w:abstractNum>
  <w:num w:numId="1">
    <w:abstractNumId w:val="46"/>
  </w:num>
  <w:num w:numId="2">
    <w:abstractNumId w:val="21"/>
  </w:num>
  <w:num w:numId="3">
    <w:abstractNumId w:val="11"/>
  </w:num>
  <w:num w:numId="4">
    <w:abstractNumId w:val="12"/>
  </w:num>
  <w:num w:numId="5">
    <w:abstractNumId w:val="33"/>
  </w:num>
  <w:num w:numId="6">
    <w:abstractNumId w:val="35"/>
  </w:num>
  <w:num w:numId="7">
    <w:abstractNumId w:val="14"/>
  </w:num>
  <w:num w:numId="8">
    <w:abstractNumId w:val="9"/>
  </w:num>
  <w:num w:numId="9">
    <w:abstractNumId w:val="1"/>
  </w:num>
  <w:num w:numId="10">
    <w:abstractNumId w:val="7"/>
  </w:num>
  <w:num w:numId="11">
    <w:abstractNumId w:val="41"/>
  </w:num>
  <w:num w:numId="12">
    <w:abstractNumId w:val="37"/>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4"/>
  </w:num>
  <w:num w:numId="18">
    <w:abstractNumId w:val="26"/>
  </w:num>
  <w:num w:numId="19">
    <w:abstractNumId w:val="34"/>
  </w:num>
  <w:num w:numId="20">
    <w:abstractNumId w:val="13"/>
  </w:num>
  <w:num w:numId="21">
    <w:abstractNumId w:val="16"/>
  </w:num>
  <w:num w:numId="22">
    <w:abstractNumId w:val="6"/>
  </w:num>
  <w:num w:numId="23">
    <w:abstractNumId w:val="3"/>
  </w:num>
  <w:num w:numId="24">
    <w:abstractNumId w:val="17"/>
  </w:num>
  <w:num w:numId="25">
    <w:abstractNumId w:val="40"/>
  </w:num>
  <w:num w:numId="26">
    <w:abstractNumId w:val="2"/>
  </w:num>
  <w:num w:numId="27">
    <w:abstractNumId w:val="38"/>
  </w:num>
  <w:num w:numId="28">
    <w:abstractNumId w:val="36"/>
  </w:num>
  <w:num w:numId="29">
    <w:abstractNumId w:val="30"/>
  </w:num>
  <w:num w:numId="30">
    <w:abstractNumId w:val="28"/>
  </w:num>
  <w:num w:numId="31">
    <w:abstractNumId w:val="10"/>
  </w:num>
  <w:num w:numId="32">
    <w:abstractNumId w:val="8"/>
  </w:num>
  <w:num w:numId="33">
    <w:abstractNumId w:val="31"/>
  </w:num>
  <w:num w:numId="34">
    <w:abstractNumId w:val="45"/>
  </w:num>
  <w:num w:numId="35">
    <w:abstractNumId w:val="39"/>
  </w:num>
  <w:num w:numId="36">
    <w:abstractNumId w:val="32"/>
  </w:num>
  <w:num w:numId="37">
    <w:abstractNumId w:val="22"/>
  </w:num>
  <w:num w:numId="38">
    <w:abstractNumId w:val="23"/>
  </w:num>
  <w:num w:numId="39">
    <w:abstractNumId w:val="0"/>
  </w:num>
  <w:num w:numId="40">
    <w:abstractNumId w:val="18"/>
  </w:num>
  <w:num w:numId="41">
    <w:abstractNumId w:val="15"/>
  </w:num>
  <w:num w:numId="42">
    <w:abstractNumId w:val="27"/>
  </w:num>
  <w:num w:numId="43">
    <w:abstractNumId w:val="4"/>
  </w:num>
  <w:num w:numId="44">
    <w:abstractNumId w:val="43"/>
  </w:num>
  <w:num w:numId="45">
    <w:abstractNumId w:val="20"/>
  </w:num>
  <w:num w:numId="46">
    <w:abstractNumId w:val="25"/>
  </w:num>
  <w:num w:numId="4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20"/>
  <w:displayHorizontalDrawingGridEvery w:val="2"/>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3D"/>
    <w:rsid w:val="000004C0"/>
    <w:rsid w:val="00002193"/>
    <w:rsid w:val="00003450"/>
    <w:rsid w:val="00006162"/>
    <w:rsid w:val="00006213"/>
    <w:rsid w:val="000062F9"/>
    <w:rsid w:val="00006E9F"/>
    <w:rsid w:val="00010987"/>
    <w:rsid w:val="00010EBA"/>
    <w:rsid w:val="000110C6"/>
    <w:rsid w:val="0001172C"/>
    <w:rsid w:val="00011E21"/>
    <w:rsid w:val="00012CB1"/>
    <w:rsid w:val="00013E32"/>
    <w:rsid w:val="000143B2"/>
    <w:rsid w:val="00014797"/>
    <w:rsid w:val="00014D27"/>
    <w:rsid w:val="000150B5"/>
    <w:rsid w:val="0001524E"/>
    <w:rsid w:val="00015323"/>
    <w:rsid w:val="00015E56"/>
    <w:rsid w:val="000160CE"/>
    <w:rsid w:val="00016CA4"/>
    <w:rsid w:val="00017B52"/>
    <w:rsid w:val="00020196"/>
    <w:rsid w:val="0002075D"/>
    <w:rsid w:val="00020764"/>
    <w:rsid w:val="000217FB"/>
    <w:rsid w:val="00022CD6"/>
    <w:rsid w:val="00022EA7"/>
    <w:rsid w:val="0002352E"/>
    <w:rsid w:val="00023D1F"/>
    <w:rsid w:val="00023EDC"/>
    <w:rsid w:val="0002434C"/>
    <w:rsid w:val="00024668"/>
    <w:rsid w:val="00024B2B"/>
    <w:rsid w:val="00026ACB"/>
    <w:rsid w:val="000271B7"/>
    <w:rsid w:val="000318F7"/>
    <w:rsid w:val="00032202"/>
    <w:rsid w:val="000344C5"/>
    <w:rsid w:val="000349D4"/>
    <w:rsid w:val="00035661"/>
    <w:rsid w:val="00035687"/>
    <w:rsid w:val="00035A32"/>
    <w:rsid w:val="0003619C"/>
    <w:rsid w:val="00036604"/>
    <w:rsid w:val="00036ED5"/>
    <w:rsid w:val="0004037D"/>
    <w:rsid w:val="0004061C"/>
    <w:rsid w:val="000412F0"/>
    <w:rsid w:val="00043FDF"/>
    <w:rsid w:val="000455B3"/>
    <w:rsid w:val="0004681E"/>
    <w:rsid w:val="0004689F"/>
    <w:rsid w:val="00046A0D"/>
    <w:rsid w:val="00046B66"/>
    <w:rsid w:val="00046E3A"/>
    <w:rsid w:val="00047D6D"/>
    <w:rsid w:val="00047E19"/>
    <w:rsid w:val="0005084E"/>
    <w:rsid w:val="000508DC"/>
    <w:rsid w:val="00051F1F"/>
    <w:rsid w:val="000542BF"/>
    <w:rsid w:val="000543D5"/>
    <w:rsid w:val="0005545F"/>
    <w:rsid w:val="000561C6"/>
    <w:rsid w:val="00056CB5"/>
    <w:rsid w:val="00056F07"/>
    <w:rsid w:val="00057B19"/>
    <w:rsid w:val="00057E39"/>
    <w:rsid w:val="00060BFC"/>
    <w:rsid w:val="00061216"/>
    <w:rsid w:val="0006125E"/>
    <w:rsid w:val="00061636"/>
    <w:rsid w:val="00062064"/>
    <w:rsid w:val="000620D3"/>
    <w:rsid w:val="000621A5"/>
    <w:rsid w:val="0006285A"/>
    <w:rsid w:val="0006372D"/>
    <w:rsid w:val="00063BFD"/>
    <w:rsid w:val="00063D90"/>
    <w:rsid w:val="00063DEC"/>
    <w:rsid w:val="00063E6C"/>
    <w:rsid w:val="00064CE1"/>
    <w:rsid w:val="00064F5E"/>
    <w:rsid w:val="000650D1"/>
    <w:rsid w:val="00065AAE"/>
    <w:rsid w:val="00065C03"/>
    <w:rsid w:val="0006600B"/>
    <w:rsid w:val="000667BD"/>
    <w:rsid w:val="00067670"/>
    <w:rsid w:val="00067FCB"/>
    <w:rsid w:val="0007019C"/>
    <w:rsid w:val="00070587"/>
    <w:rsid w:val="00070D4C"/>
    <w:rsid w:val="00070F82"/>
    <w:rsid w:val="0007111E"/>
    <w:rsid w:val="000713EE"/>
    <w:rsid w:val="0007145B"/>
    <w:rsid w:val="00072766"/>
    <w:rsid w:val="00072D5B"/>
    <w:rsid w:val="00073044"/>
    <w:rsid w:val="000731F7"/>
    <w:rsid w:val="00073E08"/>
    <w:rsid w:val="000749A6"/>
    <w:rsid w:val="00075373"/>
    <w:rsid w:val="00075497"/>
    <w:rsid w:val="00076593"/>
    <w:rsid w:val="0007686E"/>
    <w:rsid w:val="00077323"/>
    <w:rsid w:val="00077845"/>
    <w:rsid w:val="00077B4E"/>
    <w:rsid w:val="00077DA5"/>
    <w:rsid w:val="00080A27"/>
    <w:rsid w:val="00080E7C"/>
    <w:rsid w:val="0008129D"/>
    <w:rsid w:val="000822B5"/>
    <w:rsid w:val="0008239D"/>
    <w:rsid w:val="00082672"/>
    <w:rsid w:val="00083260"/>
    <w:rsid w:val="0008360C"/>
    <w:rsid w:val="0008394D"/>
    <w:rsid w:val="000841EB"/>
    <w:rsid w:val="00085404"/>
    <w:rsid w:val="00085705"/>
    <w:rsid w:val="00085CB3"/>
    <w:rsid w:val="00086ADB"/>
    <w:rsid w:val="00087957"/>
    <w:rsid w:val="00090D74"/>
    <w:rsid w:val="00091392"/>
    <w:rsid w:val="0009162A"/>
    <w:rsid w:val="000923DB"/>
    <w:rsid w:val="00092FED"/>
    <w:rsid w:val="000931EE"/>
    <w:rsid w:val="00093E20"/>
    <w:rsid w:val="0009487E"/>
    <w:rsid w:val="00094EA3"/>
    <w:rsid w:val="00095253"/>
    <w:rsid w:val="000955B1"/>
    <w:rsid w:val="00096181"/>
    <w:rsid w:val="000962B4"/>
    <w:rsid w:val="00096591"/>
    <w:rsid w:val="00096F2E"/>
    <w:rsid w:val="0009708E"/>
    <w:rsid w:val="000975C0"/>
    <w:rsid w:val="000A013D"/>
    <w:rsid w:val="000A0F9C"/>
    <w:rsid w:val="000A237E"/>
    <w:rsid w:val="000A2457"/>
    <w:rsid w:val="000A3EAC"/>
    <w:rsid w:val="000A3F2C"/>
    <w:rsid w:val="000A51DD"/>
    <w:rsid w:val="000A5FD0"/>
    <w:rsid w:val="000A7CA0"/>
    <w:rsid w:val="000B117D"/>
    <w:rsid w:val="000B3479"/>
    <w:rsid w:val="000B3E83"/>
    <w:rsid w:val="000B4215"/>
    <w:rsid w:val="000B4738"/>
    <w:rsid w:val="000B550A"/>
    <w:rsid w:val="000B5515"/>
    <w:rsid w:val="000B592B"/>
    <w:rsid w:val="000B6EC6"/>
    <w:rsid w:val="000B76E6"/>
    <w:rsid w:val="000B7D35"/>
    <w:rsid w:val="000C0510"/>
    <w:rsid w:val="000C0560"/>
    <w:rsid w:val="000C086D"/>
    <w:rsid w:val="000C0908"/>
    <w:rsid w:val="000C1ECC"/>
    <w:rsid w:val="000C2386"/>
    <w:rsid w:val="000C284B"/>
    <w:rsid w:val="000C3A97"/>
    <w:rsid w:val="000C3FE7"/>
    <w:rsid w:val="000C47DE"/>
    <w:rsid w:val="000C49E2"/>
    <w:rsid w:val="000C682A"/>
    <w:rsid w:val="000C6AC3"/>
    <w:rsid w:val="000C73A2"/>
    <w:rsid w:val="000C768D"/>
    <w:rsid w:val="000C78A6"/>
    <w:rsid w:val="000D0041"/>
    <w:rsid w:val="000D0B5E"/>
    <w:rsid w:val="000D0ED0"/>
    <w:rsid w:val="000D19DC"/>
    <w:rsid w:val="000D2B62"/>
    <w:rsid w:val="000D31AC"/>
    <w:rsid w:val="000D3AC6"/>
    <w:rsid w:val="000D3E1F"/>
    <w:rsid w:val="000D4B95"/>
    <w:rsid w:val="000D5318"/>
    <w:rsid w:val="000D58ED"/>
    <w:rsid w:val="000D60C6"/>
    <w:rsid w:val="000D6C70"/>
    <w:rsid w:val="000D780E"/>
    <w:rsid w:val="000E0557"/>
    <w:rsid w:val="000E0A51"/>
    <w:rsid w:val="000E0B32"/>
    <w:rsid w:val="000E0CC1"/>
    <w:rsid w:val="000E1AFF"/>
    <w:rsid w:val="000E1CA5"/>
    <w:rsid w:val="000E1F09"/>
    <w:rsid w:val="000E206E"/>
    <w:rsid w:val="000E3274"/>
    <w:rsid w:val="000E3743"/>
    <w:rsid w:val="000E411D"/>
    <w:rsid w:val="000E4B9A"/>
    <w:rsid w:val="000E4D40"/>
    <w:rsid w:val="000E4EE7"/>
    <w:rsid w:val="000E5073"/>
    <w:rsid w:val="000E54C0"/>
    <w:rsid w:val="000E6357"/>
    <w:rsid w:val="000E6CC5"/>
    <w:rsid w:val="000E708C"/>
    <w:rsid w:val="000F1368"/>
    <w:rsid w:val="000F1619"/>
    <w:rsid w:val="000F275C"/>
    <w:rsid w:val="000F2A8F"/>
    <w:rsid w:val="000F2C6A"/>
    <w:rsid w:val="000F355D"/>
    <w:rsid w:val="000F4609"/>
    <w:rsid w:val="000F4A3B"/>
    <w:rsid w:val="000F5005"/>
    <w:rsid w:val="000F5893"/>
    <w:rsid w:val="000F6AF7"/>
    <w:rsid w:val="000F6D80"/>
    <w:rsid w:val="000F71BD"/>
    <w:rsid w:val="000F7284"/>
    <w:rsid w:val="000F7B2C"/>
    <w:rsid w:val="000F7C8C"/>
    <w:rsid w:val="00100AE0"/>
    <w:rsid w:val="001019B3"/>
    <w:rsid w:val="00101D6D"/>
    <w:rsid w:val="00101FF7"/>
    <w:rsid w:val="00102489"/>
    <w:rsid w:val="0010272A"/>
    <w:rsid w:val="001030B5"/>
    <w:rsid w:val="00104B7C"/>
    <w:rsid w:val="00105347"/>
    <w:rsid w:val="00106A51"/>
    <w:rsid w:val="001071C9"/>
    <w:rsid w:val="00112525"/>
    <w:rsid w:val="00112B6F"/>
    <w:rsid w:val="001130B8"/>
    <w:rsid w:val="001139E1"/>
    <w:rsid w:val="0011401E"/>
    <w:rsid w:val="001141A2"/>
    <w:rsid w:val="001149C7"/>
    <w:rsid w:val="00114FF6"/>
    <w:rsid w:val="001150C5"/>
    <w:rsid w:val="00115D88"/>
    <w:rsid w:val="0011675F"/>
    <w:rsid w:val="00117C9F"/>
    <w:rsid w:val="0012048B"/>
    <w:rsid w:val="00120B57"/>
    <w:rsid w:val="001220B6"/>
    <w:rsid w:val="00123509"/>
    <w:rsid w:val="001238AD"/>
    <w:rsid w:val="00123F88"/>
    <w:rsid w:val="00124D99"/>
    <w:rsid w:val="00124E6C"/>
    <w:rsid w:val="00126D6A"/>
    <w:rsid w:val="00127837"/>
    <w:rsid w:val="00130787"/>
    <w:rsid w:val="00131039"/>
    <w:rsid w:val="00131325"/>
    <w:rsid w:val="00131BBD"/>
    <w:rsid w:val="00132D40"/>
    <w:rsid w:val="001332D8"/>
    <w:rsid w:val="00133714"/>
    <w:rsid w:val="00134385"/>
    <w:rsid w:val="001353B5"/>
    <w:rsid w:val="001361E4"/>
    <w:rsid w:val="00137546"/>
    <w:rsid w:val="00137679"/>
    <w:rsid w:val="00137AD9"/>
    <w:rsid w:val="00137B57"/>
    <w:rsid w:val="00140826"/>
    <w:rsid w:val="00140F16"/>
    <w:rsid w:val="00141376"/>
    <w:rsid w:val="001417F6"/>
    <w:rsid w:val="00141BA0"/>
    <w:rsid w:val="00142590"/>
    <w:rsid w:val="00142A06"/>
    <w:rsid w:val="00143A1A"/>
    <w:rsid w:val="00143ADA"/>
    <w:rsid w:val="00143E65"/>
    <w:rsid w:val="001449B2"/>
    <w:rsid w:val="001449E8"/>
    <w:rsid w:val="001452B2"/>
    <w:rsid w:val="0014572B"/>
    <w:rsid w:val="00147869"/>
    <w:rsid w:val="00147FA2"/>
    <w:rsid w:val="00147FE2"/>
    <w:rsid w:val="00150E89"/>
    <w:rsid w:val="00151092"/>
    <w:rsid w:val="001512AA"/>
    <w:rsid w:val="0015133A"/>
    <w:rsid w:val="00153512"/>
    <w:rsid w:val="001536F4"/>
    <w:rsid w:val="0015375B"/>
    <w:rsid w:val="00153E36"/>
    <w:rsid w:val="00154A61"/>
    <w:rsid w:val="00155B5B"/>
    <w:rsid w:val="00155FB5"/>
    <w:rsid w:val="00156A6F"/>
    <w:rsid w:val="00156DAE"/>
    <w:rsid w:val="00157BB3"/>
    <w:rsid w:val="0016067D"/>
    <w:rsid w:val="00160727"/>
    <w:rsid w:val="00160872"/>
    <w:rsid w:val="00160AB7"/>
    <w:rsid w:val="0016117B"/>
    <w:rsid w:val="001618C5"/>
    <w:rsid w:val="00162122"/>
    <w:rsid w:val="001621C4"/>
    <w:rsid w:val="001623F2"/>
    <w:rsid w:val="00162BD5"/>
    <w:rsid w:val="00163FEA"/>
    <w:rsid w:val="001649EE"/>
    <w:rsid w:val="00165FBD"/>
    <w:rsid w:val="00166712"/>
    <w:rsid w:val="00167792"/>
    <w:rsid w:val="00167B45"/>
    <w:rsid w:val="00167B61"/>
    <w:rsid w:val="00167EDC"/>
    <w:rsid w:val="00170AA3"/>
    <w:rsid w:val="00170EE0"/>
    <w:rsid w:val="0017106A"/>
    <w:rsid w:val="00173133"/>
    <w:rsid w:val="00173CD0"/>
    <w:rsid w:val="00173F74"/>
    <w:rsid w:val="00174CC1"/>
    <w:rsid w:val="00174FEF"/>
    <w:rsid w:val="00175167"/>
    <w:rsid w:val="0017639E"/>
    <w:rsid w:val="00176DD5"/>
    <w:rsid w:val="00177084"/>
    <w:rsid w:val="00177D28"/>
    <w:rsid w:val="001807ED"/>
    <w:rsid w:val="00180B06"/>
    <w:rsid w:val="001819BE"/>
    <w:rsid w:val="00181DB7"/>
    <w:rsid w:val="00181EF4"/>
    <w:rsid w:val="001822CE"/>
    <w:rsid w:val="001827DA"/>
    <w:rsid w:val="00183768"/>
    <w:rsid w:val="00183828"/>
    <w:rsid w:val="00183AA5"/>
    <w:rsid w:val="001851A0"/>
    <w:rsid w:val="001852C6"/>
    <w:rsid w:val="00185616"/>
    <w:rsid w:val="00185AFE"/>
    <w:rsid w:val="001869FA"/>
    <w:rsid w:val="00187B72"/>
    <w:rsid w:val="00187DAB"/>
    <w:rsid w:val="00190015"/>
    <w:rsid w:val="0019004C"/>
    <w:rsid w:val="001916D4"/>
    <w:rsid w:val="00191884"/>
    <w:rsid w:val="00191FD6"/>
    <w:rsid w:val="001929FD"/>
    <w:rsid w:val="00192C88"/>
    <w:rsid w:val="00193A8B"/>
    <w:rsid w:val="00194AAB"/>
    <w:rsid w:val="00194C82"/>
    <w:rsid w:val="00195074"/>
    <w:rsid w:val="00195405"/>
    <w:rsid w:val="00195624"/>
    <w:rsid w:val="00195DBA"/>
    <w:rsid w:val="001963B8"/>
    <w:rsid w:val="001964D5"/>
    <w:rsid w:val="001A0592"/>
    <w:rsid w:val="001A07FA"/>
    <w:rsid w:val="001A0801"/>
    <w:rsid w:val="001A086E"/>
    <w:rsid w:val="001A0891"/>
    <w:rsid w:val="001A0B51"/>
    <w:rsid w:val="001A0FAB"/>
    <w:rsid w:val="001A1998"/>
    <w:rsid w:val="001A1ED0"/>
    <w:rsid w:val="001A206A"/>
    <w:rsid w:val="001A2388"/>
    <w:rsid w:val="001A2541"/>
    <w:rsid w:val="001A27DD"/>
    <w:rsid w:val="001A2F7F"/>
    <w:rsid w:val="001A346B"/>
    <w:rsid w:val="001A35F9"/>
    <w:rsid w:val="001A364E"/>
    <w:rsid w:val="001A3FE1"/>
    <w:rsid w:val="001A412B"/>
    <w:rsid w:val="001A46BF"/>
    <w:rsid w:val="001A4711"/>
    <w:rsid w:val="001A5099"/>
    <w:rsid w:val="001A5282"/>
    <w:rsid w:val="001A5D17"/>
    <w:rsid w:val="001A62EF"/>
    <w:rsid w:val="001A66CD"/>
    <w:rsid w:val="001A67F0"/>
    <w:rsid w:val="001A76FD"/>
    <w:rsid w:val="001A7E5F"/>
    <w:rsid w:val="001B0C03"/>
    <w:rsid w:val="001B14E3"/>
    <w:rsid w:val="001B1E76"/>
    <w:rsid w:val="001B2230"/>
    <w:rsid w:val="001B271E"/>
    <w:rsid w:val="001B2B3A"/>
    <w:rsid w:val="001B3516"/>
    <w:rsid w:val="001B400B"/>
    <w:rsid w:val="001B541B"/>
    <w:rsid w:val="001B560C"/>
    <w:rsid w:val="001B5CAF"/>
    <w:rsid w:val="001B5E09"/>
    <w:rsid w:val="001B5E13"/>
    <w:rsid w:val="001B6482"/>
    <w:rsid w:val="001B77D8"/>
    <w:rsid w:val="001B7B5D"/>
    <w:rsid w:val="001C01D5"/>
    <w:rsid w:val="001C1792"/>
    <w:rsid w:val="001C1975"/>
    <w:rsid w:val="001C231B"/>
    <w:rsid w:val="001C23A6"/>
    <w:rsid w:val="001C249F"/>
    <w:rsid w:val="001C28F5"/>
    <w:rsid w:val="001C379B"/>
    <w:rsid w:val="001C3F3C"/>
    <w:rsid w:val="001C4312"/>
    <w:rsid w:val="001C48FF"/>
    <w:rsid w:val="001C7053"/>
    <w:rsid w:val="001C77E9"/>
    <w:rsid w:val="001D07F2"/>
    <w:rsid w:val="001D1E36"/>
    <w:rsid w:val="001D2B21"/>
    <w:rsid w:val="001D2D9E"/>
    <w:rsid w:val="001D32BD"/>
    <w:rsid w:val="001D426A"/>
    <w:rsid w:val="001D47A4"/>
    <w:rsid w:val="001D4BD4"/>
    <w:rsid w:val="001D5996"/>
    <w:rsid w:val="001D59FB"/>
    <w:rsid w:val="001D7373"/>
    <w:rsid w:val="001D78EC"/>
    <w:rsid w:val="001E034F"/>
    <w:rsid w:val="001E0AF0"/>
    <w:rsid w:val="001E0E50"/>
    <w:rsid w:val="001E10EB"/>
    <w:rsid w:val="001E1298"/>
    <w:rsid w:val="001E2957"/>
    <w:rsid w:val="001E2FEA"/>
    <w:rsid w:val="001E3199"/>
    <w:rsid w:val="001E3CC1"/>
    <w:rsid w:val="001E4107"/>
    <w:rsid w:val="001E4533"/>
    <w:rsid w:val="001E4D9A"/>
    <w:rsid w:val="001E5A63"/>
    <w:rsid w:val="001E6ED2"/>
    <w:rsid w:val="001E7CA8"/>
    <w:rsid w:val="001E7CB9"/>
    <w:rsid w:val="001F012F"/>
    <w:rsid w:val="001F01A5"/>
    <w:rsid w:val="001F04E8"/>
    <w:rsid w:val="001F1E60"/>
    <w:rsid w:val="001F2A9D"/>
    <w:rsid w:val="001F30E9"/>
    <w:rsid w:val="001F3B20"/>
    <w:rsid w:val="001F4251"/>
    <w:rsid w:val="001F4FF3"/>
    <w:rsid w:val="001F58E4"/>
    <w:rsid w:val="001F5C49"/>
    <w:rsid w:val="001F633D"/>
    <w:rsid w:val="001F6777"/>
    <w:rsid w:val="001F67B9"/>
    <w:rsid w:val="001F67BD"/>
    <w:rsid w:val="001F6BC2"/>
    <w:rsid w:val="001F7526"/>
    <w:rsid w:val="001F7669"/>
    <w:rsid w:val="001F794B"/>
    <w:rsid w:val="001F7D58"/>
    <w:rsid w:val="002000AD"/>
    <w:rsid w:val="00200CFE"/>
    <w:rsid w:val="00200DB6"/>
    <w:rsid w:val="002013E5"/>
    <w:rsid w:val="002017F7"/>
    <w:rsid w:val="00201A5B"/>
    <w:rsid w:val="00201B02"/>
    <w:rsid w:val="002025B0"/>
    <w:rsid w:val="00202FB2"/>
    <w:rsid w:val="00203845"/>
    <w:rsid w:val="00203CC0"/>
    <w:rsid w:val="002046C7"/>
    <w:rsid w:val="002056F3"/>
    <w:rsid w:val="00205704"/>
    <w:rsid w:val="00205D1F"/>
    <w:rsid w:val="00205F6C"/>
    <w:rsid w:val="002069F2"/>
    <w:rsid w:val="002071BA"/>
    <w:rsid w:val="00207651"/>
    <w:rsid w:val="00207C8B"/>
    <w:rsid w:val="00210105"/>
    <w:rsid w:val="00210762"/>
    <w:rsid w:val="00210EEC"/>
    <w:rsid w:val="00210F57"/>
    <w:rsid w:val="00211386"/>
    <w:rsid w:val="0021243B"/>
    <w:rsid w:val="00213470"/>
    <w:rsid w:val="00213549"/>
    <w:rsid w:val="0021481D"/>
    <w:rsid w:val="00215DB5"/>
    <w:rsid w:val="00216294"/>
    <w:rsid w:val="002164F2"/>
    <w:rsid w:val="00216689"/>
    <w:rsid w:val="00216CAD"/>
    <w:rsid w:val="00216CCF"/>
    <w:rsid w:val="002173C8"/>
    <w:rsid w:val="0021776B"/>
    <w:rsid w:val="002205BD"/>
    <w:rsid w:val="00221413"/>
    <w:rsid w:val="002220CE"/>
    <w:rsid w:val="00223117"/>
    <w:rsid w:val="00223644"/>
    <w:rsid w:val="00224FDC"/>
    <w:rsid w:val="00225105"/>
    <w:rsid w:val="002254EC"/>
    <w:rsid w:val="00225E46"/>
    <w:rsid w:val="002266B0"/>
    <w:rsid w:val="00226DA1"/>
    <w:rsid w:val="0023183C"/>
    <w:rsid w:val="0023190E"/>
    <w:rsid w:val="00231DE5"/>
    <w:rsid w:val="0023258C"/>
    <w:rsid w:val="002329F9"/>
    <w:rsid w:val="00232E14"/>
    <w:rsid w:val="00233F5C"/>
    <w:rsid w:val="00234A7C"/>
    <w:rsid w:val="00235FC1"/>
    <w:rsid w:val="0023612A"/>
    <w:rsid w:val="0023642D"/>
    <w:rsid w:val="00236697"/>
    <w:rsid w:val="002369E4"/>
    <w:rsid w:val="00236C74"/>
    <w:rsid w:val="0023755B"/>
    <w:rsid w:val="00237877"/>
    <w:rsid w:val="002417AA"/>
    <w:rsid w:val="002419B5"/>
    <w:rsid w:val="00242663"/>
    <w:rsid w:val="00242A21"/>
    <w:rsid w:val="0024340A"/>
    <w:rsid w:val="00243C89"/>
    <w:rsid w:val="00243FF8"/>
    <w:rsid w:val="002445E0"/>
    <w:rsid w:val="002448EE"/>
    <w:rsid w:val="00244E34"/>
    <w:rsid w:val="00245E78"/>
    <w:rsid w:val="002466BC"/>
    <w:rsid w:val="00246CD7"/>
    <w:rsid w:val="00246E15"/>
    <w:rsid w:val="00246EFD"/>
    <w:rsid w:val="0024704C"/>
    <w:rsid w:val="002478C3"/>
    <w:rsid w:val="002518A5"/>
    <w:rsid w:val="00252B3B"/>
    <w:rsid w:val="00252ECA"/>
    <w:rsid w:val="0025367B"/>
    <w:rsid w:val="00253E60"/>
    <w:rsid w:val="00254136"/>
    <w:rsid w:val="00254690"/>
    <w:rsid w:val="002548B6"/>
    <w:rsid w:val="002555EC"/>
    <w:rsid w:val="00256750"/>
    <w:rsid w:val="0025693A"/>
    <w:rsid w:val="00257776"/>
    <w:rsid w:val="00257910"/>
    <w:rsid w:val="002579AA"/>
    <w:rsid w:val="00257B6C"/>
    <w:rsid w:val="00260448"/>
    <w:rsid w:val="00262C9E"/>
    <w:rsid w:val="00263318"/>
    <w:rsid w:val="00263617"/>
    <w:rsid w:val="00263AB3"/>
    <w:rsid w:val="0026473B"/>
    <w:rsid w:val="00264923"/>
    <w:rsid w:val="00264AA4"/>
    <w:rsid w:val="00264B39"/>
    <w:rsid w:val="00267B55"/>
    <w:rsid w:val="00270114"/>
    <w:rsid w:val="00271253"/>
    <w:rsid w:val="00271580"/>
    <w:rsid w:val="00271941"/>
    <w:rsid w:val="00272354"/>
    <w:rsid w:val="00272795"/>
    <w:rsid w:val="00273762"/>
    <w:rsid w:val="0027416C"/>
    <w:rsid w:val="002742BC"/>
    <w:rsid w:val="0027482A"/>
    <w:rsid w:val="00274BDF"/>
    <w:rsid w:val="002764D4"/>
    <w:rsid w:val="002769BF"/>
    <w:rsid w:val="00276A26"/>
    <w:rsid w:val="00277006"/>
    <w:rsid w:val="002770D8"/>
    <w:rsid w:val="002772A3"/>
    <w:rsid w:val="0027766B"/>
    <w:rsid w:val="0027770B"/>
    <w:rsid w:val="00280342"/>
    <w:rsid w:val="00281C01"/>
    <w:rsid w:val="00281FCC"/>
    <w:rsid w:val="00282019"/>
    <w:rsid w:val="00282407"/>
    <w:rsid w:val="00282AB6"/>
    <w:rsid w:val="002843BE"/>
    <w:rsid w:val="00284F20"/>
    <w:rsid w:val="00285396"/>
    <w:rsid w:val="00285E1B"/>
    <w:rsid w:val="0028616F"/>
    <w:rsid w:val="00286B65"/>
    <w:rsid w:val="00290825"/>
    <w:rsid w:val="002910B7"/>
    <w:rsid w:val="002923BF"/>
    <w:rsid w:val="00293274"/>
    <w:rsid w:val="002939D4"/>
    <w:rsid w:val="00293AA1"/>
    <w:rsid w:val="00295047"/>
    <w:rsid w:val="0029523F"/>
    <w:rsid w:val="002953F0"/>
    <w:rsid w:val="00295C47"/>
    <w:rsid w:val="00296988"/>
    <w:rsid w:val="002971EB"/>
    <w:rsid w:val="00297FA5"/>
    <w:rsid w:val="002A008C"/>
    <w:rsid w:val="002A0165"/>
    <w:rsid w:val="002A086F"/>
    <w:rsid w:val="002A0D39"/>
    <w:rsid w:val="002A2B18"/>
    <w:rsid w:val="002A2C27"/>
    <w:rsid w:val="002A2DC1"/>
    <w:rsid w:val="002A32B5"/>
    <w:rsid w:val="002A4B3B"/>
    <w:rsid w:val="002A4F00"/>
    <w:rsid w:val="002A58FB"/>
    <w:rsid w:val="002A59CE"/>
    <w:rsid w:val="002A5AC6"/>
    <w:rsid w:val="002B1019"/>
    <w:rsid w:val="002B228C"/>
    <w:rsid w:val="002B2895"/>
    <w:rsid w:val="002B2A37"/>
    <w:rsid w:val="002B3D6C"/>
    <w:rsid w:val="002B493A"/>
    <w:rsid w:val="002B5023"/>
    <w:rsid w:val="002B65EA"/>
    <w:rsid w:val="002B6B25"/>
    <w:rsid w:val="002B6E98"/>
    <w:rsid w:val="002B725A"/>
    <w:rsid w:val="002B777D"/>
    <w:rsid w:val="002B7EE1"/>
    <w:rsid w:val="002C01FE"/>
    <w:rsid w:val="002C0817"/>
    <w:rsid w:val="002C1D98"/>
    <w:rsid w:val="002C27EC"/>
    <w:rsid w:val="002C437B"/>
    <w:rsid w:val="002C492E"/>
    <w:rsid w:val="002C49BD"/>
    <w:rsid w:val="002C4A7D"/>
    <w:rsid w:val="002C4D96"/>
    <w:rsid w:val="002C4EAF"/>
    <w:rsid w:val="002C52D0"/>
    <w:rsid w:val="002C5368"/>
    <w:rsid w:val="002D020B"/>
    <w:rsid w:val="002D0E51"/>
    <w:rsid w:val="002D1608"/>
    <w:rsid w:val="002D38DB"/>
    <w:rsid w:val="002D3E14"/>
    <w:rsid w:val="002D43E4"/>
    <w:rsid w:val="002D465F"/>
    <w:rsid w:val="002D48F9"/>
    <w:rsid w:val="002D53B7"/>
    <w:rsid w:val="002D595D"/>
    <w:rsid w:val="002D6A3D"/>
    <w:rsid w:val="002D7039"/>
    <w:rsid w:val="002D7517"/>
    <w:rsid w:val="002D7624"/>
    <w:rsid w:val="002D771C"/>
    <w:rsid w:val="002D7752"/>
    <w:rsid w:val="002E06DD"/>
    <w:rsid w:val="002E0E33"/>
    <w:rsid w:val="002E0EE8"/>
    <w:rsid w:val="002E14BB"/>
    <w:rsid w:val="002E1D67"/>
    <w:rsid w:val="002E34FB"/>
    <w:rsid w:val="002E3652"/>
    <w:rsid w:val="002E53CF"/>
    <w:rsid w:val="002E5674"/>
    <w:rsid w:val="002E59DD"/>
    <w:rsid w:val="002E6063"/>
    <w:rsid w:val="002E616E"/>
    <w:rsid w:val="002E6D33"/>
    <w:rsid w:val="002E768A"/>
    <w:rsid w:val="002F04AB"/>
    <w:rsid w:val="002F12D0"/>
    <w:rsid w:val="002F2639"/>
    <w:rsid w:val="002F27F5"/>
    <w:rsid w:val="002F294F"/>
    <w:rsid w:val="002F2D5B"/>
    <w:rsid w:val="002F4126"/>
    <w:rsid w:val="002F4183"/>
    <w:rsid w:val="002F48EF"/>
    <w:rsid w:val="002F4A0F"/>
    <w:rsid w:val="002F4A27"/>
    <w:rsid w:val="002F5313"/>
    <w:rsid w:val="002F5D5B"/>
    <w:rsid w:val="002F5EA4"/>
    <w:rsid w:val="002F6595"/>
    <w:rsid w:val="002F7741"/>
    <w:rsid w:val="00300A3F"/>
    <w:rsid w:val="003010BC"/>
    <w:rsid w:val="00301107"/>
    <w:rsid w:val="00301A26"/>
    <w:rsid w:val="003028F2"/>
    <w:rsid w:val="00302B5E"/>
    <w:rsid w:val="00302C94"/>
    <w:rsid w:val="003031E9"/>
    <w:rsid w:val="00303C8C"/>
    <w:rsid w:val="00304159"/>
    <w:rsid w:val="00304D4B"/>
    <w:rsid w:val="0030629A"/>
    <w:rsid w:val="00306B22"/>
    <w:rsid w:val="00307EE9"/>
    <w:rsid w:val="003109BC"/>
    <w:rsid w:val="003129F8"/>
    <w:rsid w:val="00312E66"/>
    <w:rsid w:val="00312FEE"/>
    <w:rsid w:val="00313126"/>
    <w:rsid w:val="003159FA"/>
    <w:rsid w:val="003169E4"/>
    <w:rsid w:val="003205D9"/>
    <w:rsid w:val="003207A8"/>
    <w:rsid w:val="003209EF"/>
    <w:rsid w:val="00320F9A"/>
    <w:rsid w:val="00321992"/>
    <w:rsid w:val="00321C9B"/>
    <w:rsid w:val="0032280E"/>
    <w:rsid w:val="00322B49"/>
    <w:rsid w:val="00322BFB"/>
    <w:rsid w:val="00323364"/>
    <w:rsid w:val="003235B1"/>
    <w:rsid w:val="00323788"/>
    <w:rsid w:val="003249E2"/>
    <w:rsid w:val="00324CAA"/>
    <w:rsid w:val="00324CD2"/>
    <w:rsid w:val="00325300"/>
    <w:rsid w:val="003265AF"/>
    <w:rsid w:val="003273B5"/>
    <w:rsid w:val="00327D44"/>
    <w:rsid w:val="003303AF"/>
    <w:rsid w:val="003311DA"/>
    <w:rsid w:val="0033185D"/>
    <w:rsid w:val="00332071"/>
    <w:rsid w:val="00332802"/>
    <w:rsid w:val="00332CD9"/>
    <w:rsid w:val="00332DC6"/>
    <w:rsid w:val="00333915"/>
    <w:rsid w:val="00333989"/>
    <w:rsid w:val="003347D4"/>
    <w:rsid w:val="00334DF0"/>
    <w:rsid w:val="00334F8C"/>
    <w:rsid w:val="00335D2B"/>
    <w:rsid w:val="003364B1"/>
    <w:rsid w:val="0033719E"/>
    <w:rsid w:val="003378C6"/>
    <w:rsid w:val="0034118F"/>
    <w:rsid w:val="003415DE"/>
    <w:rsid w:val="00341DA2"/>
    <w:rsid w:val="00341E3B"/>
    <w:rsid w:val="00342359"/>
    <w:rsid w:val="00342B14"/>
    <w:rsid w:val="00342D7F"/>
    <w:rsid w:val="003433F5"/>
    <w:rsid w:val="00343714"/>
    <w:rsid w:val="00343A55"/>
    <w:rsid w:val="00343DE5"/>
    <w:rsid w:val="00343EF9"/>
    <w:rsid w:val="0034407F"/>
    <w:rsid w:val="0034452B"/>
    <w:rsid w:val="00344864"/>
    <w:rsid w:val="00346013"/>
    <w:rsid w:val="003463B2"/>
    <w:rsid w:val="00346547"/>
    <w:rsid w:val="00347E54"/>
    <w:rsid w:val="00350911"/>
    <w:rsid w:val="00352BA1"/>
    <w:rsid w:val="00352F5B"/>
    <w:rsid w:val="003538F8"/>
    <w:rsid w:val="00354054"/>
    <w:rsid w:val="00354694"/>
    <w:rsid w:val="00354731"/>
    <w:rsid w:val="0035531A"/>
    <w:rsid w:val="003557A1"/>
    <w:rsid w:val="003562A0"/>
    <w:rsid w:val="0036054D"/>
    <w:rsid w:val="00360DC4"/>
    <w:rsid w:val="00360E2B"/>
    <w:rsid w:val="00361CA0"/>
    <w:rsid w:val="00362E1C"/>
    <w:rsid w:val="00363756"/>
    <w:rsid w:val="00363C3A"/>
    <w:rsid w:val="003646A3"/>
    <w:rsid w:val="003647A4"/>
    <w:rsid w:val="0036484B"/>
    <w:rsid w:val="0036554C"/>
    <w:rsid w:val="0036556A"/>
    <w:rsid w:val="003664EB"/>
    <w:rsid w:val="0036684A"/>
    <w:rsid w:val="00366ACA"/>
    <w:rsid w:val="00367077"/>
    <w:rsid w:val="00371397"/>
    <w:rsid w:val="00371783"/>
    <w:rsid w:val="00371A1F"/>
    <w:rsid w:val="00371AF6"/>
    <w:rsid w:val="00371B53"/>
    <w:rsid w:val="00372BCF"/>
    <w:rsid w:val="00373A4A"/>
    <w:rsid w:val="0037408B"/>
    <w:rsid w:val="00375024"/>
    <w:rsid w:val="003772F0"/>
    <w:rsid w:val="00377498"/>
    <w:rsid w:val="00380365"/>
    <w:rsid w:val="00380448"/>
    <w:rsid w:val="003809FD"/>
    <w:rsid w:val="00380B9E"/>
    <w:rsid w:val="00382BFA"/>
    <w:rsid w:val="00382D2F"/>
    <w:rsid w:val="0038355E"/>
    <w:rsid w:val="00385121"/>
    <w:rsid w:val="00385BE8"/>
    <w:rsid w:val="00385EE2"/>
    <w:rsid w:val="003869FC"/>
    <w:rsid w:val="00386BDD"/>
    <w:rsid w:val="00386EBE"/>
    <w:rsid w:val="00386F9E"/>
    <w:rsid w:val="003873FE"/>
    <w:rsid w:val="00390069"/>
    <w:rsid w:val="00390719"/>
    <w:rsid w:val="00390800"/>
    <w:rsid w:val="00390D21"/>
    <w:rsid w:val="00390DD0"/>
    <w:rsid w:val="0039122C"/>
    <w:rsid w:val="00391426"/>
    <w:rsid w:val="003923C3"/>
    <w:rsid w:val="0039291A"/>
    <w:rsid w:val="00392C20"/>
    <w:rsid w:val="00393131"/>
    <w:rsid w:val="00393C1D"/>
    <w:rsid w:val="00395B1E"/>
    <w:rsid w:val="00397D21"/>
    <w:rsid w:val="003A0210"/>
    <w:rsid w:val="003A0899"/>
    <w:rsid w:val="003A108C"/>
    <w:rsid w:val="003A19D9"/>
    <w:rsid w:val="003A227B"/>
    <w:rsid w:val="003A37D0"/>
    <w:rsid w:val="003A4AE1"/>
    <w:rsid w:val="003A526A"/>
    <w:rsid w:val="003A5A60"/>
    <w:rsid w:val="003A5CBA"/>
    <w:rsid w:val="003A5E18"/>
    <w:rsid w:val="003A6177"/>
    <w:rsid w:val="003A6E80"/>
    <w:rsid w:val="003A6E9B"/>
    <w:rsid w:val="003A757B"/>
    <w:rsid w:val="003A76D3"/>
    <w:rsid w:val="003A7926"/>
    <w:rsid w:val="003A7AF1"/>
    <w:rsid w:val="003B05A7"/>
    <w:rsid w:val="003B1740"/>
    <w:rsid w:val="003B1D5D"/>
    <w:rsid w:val="003B29C8"/>
    <w:rsid w:val="003B34EF"/>
    <w:rsid w:val="003B3554"/>
    <w:rsid w:val="003B48CD"/>
    <w:rsid w:val="003B4A2D"/>
    <w:rsid w:val="003B5667"/>
    <w:rsid w:val="003B5AB2"/>
    <w:rsid w:val="003B7ED5"/>
    <w:rsid w:val="003C022C"/>
    <w:rsid w:val="003C0710"/>
    <w:rsid w:val="003C0AE1"/>
    <w:rsid w:val="003C0DE1"/>
    <w:rsid w:val="003C0EDF"/>
    <w:rsid w:val="003C0FC8"/>
    <w:rsid w:val="003C113B"/>
    <w:rsid w:val="003C1B6D"/>
    <w:rsid w:val="003C29AE"/>
    <w:rsid w:val="003C2B1D"/>
    <w:rsid w:val="003C2DD3"/>
    <w:rsid w:val="003C3615"/>
    <w:rsid w:val="003C5363"/>
    <w:rsid w:val="003C5B91"/>
    <w:rsid w:val="003C7292"/>
    <w:rsid w:val="003C7BC4"/>
    <w:rsid w:val="003C7E66"/>
    <w:rsid w:val="003D0075"/>
    <w:rsid w:val="003D0B23"/>
    <w:rsid w:val="003D2450"/>
    <w:rsid w:val="003D2F85"/>
    <w:rsid w:val="003D3066"/>
    <w:rsid w:val="003D325C"/>
    <w:rsid w:val="003D3E1F"/>
    <w:rsid w:val="003D4BE3"/>
    <w:rsid w:val="003D4DD8"/>
    <w:rsid w:val="003D539C"/>
    <w:rsid w:val="003D54F4"/>
    <w:rsid w:val="003D5B94"/>
    <w:rsid w:val="003D6560"/>
    <w:rsid w:val="003D65D6"/>
    <w:rsid w:val="003D7352"/>
    <w:rsid w:val="003D7A95"/>
    <w:rsid w:val="003E1A91"/>
    <w:rsid w:val="003E1DEE"/>
    <w:rsid w:val="003E23E3"/>
    <w:rsid w:val="003E28C6"/>
    <w:rsid w:val="003E29CA"/>
    <w:rsid w:val="003E2BEF"/>
    <w:rsid w:val="003E32E4"/>
    <w:rsid w:val="003E3AF8"/>
    <w:rsid w:val="003E3B70"/>
    <w:rsid w:val="003E442D"/>
    <w:rsid w:val="003E4DFD"/>
    <w:rsid w:val="003E5F36"/>
    <w:rsid w:val="003E68AD"/>
    <w:rsid w:val="003E6BCC"/>
    <w:rsid w:val="003E6C41"/>
    <w:rsid w:val="003E7155"/>
    <w:rsid w:val="003F00D2"/>
    <w:rsid w:val="003F08E1"/>
    <w:rsid w:val="003F1868"/>
    <w:rsid w:val="003F1CEA"/>
    <w:rsid w:val="003F24D8"/>
    <w:rsid w:val="003F3032"/>
    <w:rsid w:val="003F34CF"/>
    <w:rsid w:val="003F39DB"/>
    <w:rsid w:val="003F3A1C"/>
    <w:rsid w:val="003F3A74"/>
    <w:rsid w:val="0040001B"/>
    <w:rsid w:val="004008F1"/>
    <w:rsid w:val="00401442"/>
    <w:rsid w:val="00401C0D"/>
    <w:rsid w:val="004020B2"/>
    <w:rsid w:val="004020E6"/>
    <w:rsid w:val="00402609"/>
    <w:rsid w:val="00403E12"/>
    <w:rsid w:val="00404486"/>
    <w:rsid w:val="00404881"/>
    <w:rsid w:val="00404A92"/>
    <w:rsid w:val="00404F37"/>
    <w:rsid w:val="00405B8B"/>
    <w:rsid w:val="00405C4B"/>
    <w:rsid w:val="0040699C"/>
    <w:rsid w:val="004108B5"/>
    <w:rsid w:val="00410E45"/>
    <w:rsid w:val="00411E78"/>
    <w:rsid w:val="0041229C"/>
    <w:rsid w:val="004123EB"/>
    <w:rsid w:val="00412EFC"/>
    <w:rsid w:val="0041309F"/>
    <w:rsid w:val="00413B4B"/>
    <w:rsid w:val="004142D7"/>
    <w:rsid w:val="0041483A"/>
    <w:rsid w:val="00414C93"/>
    <w:rsid w:val="00414D9A"/>
    <w:rsid w:val="004153EE"/>
    <w:rsid w:val="0042014F"/>
    <w:rsid w:val="00420DC1"/>
    <w:rsid w:val="00421744"/>
    <w:rsid w:val="00421A71"/>
    <w:rsid w:val="00422045"/>
    <w:rsid w:val="004225AC"/>
    <w:rsid w:val="00422B08"/>
    <w:rsid w:val="00423D1B"/>
    <w:rsid w:val="00424D94"/>
    <w:rsid w:val="00424DDA"/>
    <w:rsid w:val="00425C96"/>
    <w:rsid w:val="00425E97"/>
    <w:rsid w:val="00427383"/>
    <w:rsid w:val="00427E8B"/>
    <w:rsid w:val="0043012B"/>
    <w:rsid w:val="00431411"/>
    <w:rsid w:val="004320AC"/>
    <w:rsid w:val="00432614"/>
    <w:rsid w:val="0043331F"/>
    <w:rsid w:val="00433E55"/>
    <w:rsid w:val="0043524E"/>
    <w:rsid w:val="00435812"/>
    <w:rsid w:val="004364E6"/>
    <w:rsid w:val="004364FD"/>
    <w:rsid w:val="00436D99"/>
    <w:rsid w:val="0043706A"/>
    <w:rsid w:val="00437226"/>
    <w:rsid w:val="00437450"/>
    <w:rsid w:val="004420E1"/>
    <w:rsid w:val="00442979"/>
    <w:rsid w:val="004433DC"/>
    <w:rsid w:val="004434DE"/>
    <w:rsid w:val="00443B66"/>
    <w:rsid w:val="00444B28"/>
    <w:rsid w:val="00444EA5"/>
    <w:rsid w:val="0044592C"/>
    <w:rsid w:val="00445A65"/>
    <w:rsid w:val="00446970"/>
    <w:rsid w:val="00446CEF"/>
    <w:rsid w:val="0045078D"/>
    <w:rsid w:val="00450BE4"/>
    <w:rsid w:val="00450F82"/>
    <w:rsid w:val="004512C6"/>
    <w:rsid w:val="004514BC"/>
    <w:rsid w:val="0045151F"/>
    <w:rsid w:val="00451984"/>
    <w:rsid w:val="00452782"/>
    <w:rsid w:val="004530E7"/>
    <w:rsid w:val="00453702"/>
    <w:rsid w:val="00453A80"/>
    <w:rsid w:val="00453DF2"/>
    <w:rsid w:val="004544C3"/>
    <w:rsid w:val="00454E7E"/>
    <w:rsid w:val="0045563D"/>
    <w:rsid w:val="004556C7"/>
    <w:rsid w:val="004557E6"/>
    <w:rsid w:val="004559DA"/>
    <w:rsid w:val="00455ACC"/>
    <w:rsid w:val="00455D97"/>
    <w:rsid w:val="004577BE"/>
    <w:rsid w:val="00457BB6"/>
    <w:rsid w:val="00457D46"/>
    <w:rsid w:val="004608E5"/>
    <w:rsid w:val="00461343"/>
    <w:rsid w:val="00461367"/>
    <w:rsid w:val="004629D1"/>
    <w:rsid w:val="00462C6A"/>
    <w:rsid w:val="00463346"/>
    <w:rsid w:val="0046337C"/>
    <w:rsid w:val="0046354F"/>
    <w:rsid w:val="00463EB9"/>
    <w:rsid w:val="004644B0"/>
    <w:rsid w:val="004659DC"/>
    <w:rsid w:val="00465E40"/>
    <w:rsid w:val="00466785"/>
    <w:rsid w:val="0047018B"/>
    <w:rsid w:val="0047086D"/>
    <w:rsid w:val="0047093A"/>
    <w:rsid w:val="00472C78"/>
    <w:rsid w:val="00474B55"/>
    <w:rsid w:val="0047552E"/>
    <w:rsid w:val="004771DC"/>
    <w:rsid w:val="004774D5"/>
    <w:rsid w:val="00477655"/>
    <w:rsid w:val="0048005C"/>
    <w:rsid w:val="0048057A"/>
    <w:rsid w:val="00480CC2"/>
    <w:rsid w:val="00482184"/>
    <w:rsid w:val="004848A6"/>
    <w:rsid w:val="00485574"/>
    <w:rsid w:val="004855AE"/>
    <w:rsid w:val="004857A4"/>
    <w:rsid w:val="00485824"/>
    <w:rsid w:val="0048681A"/>
    <w:rsid w:val="00486DF4"/>
    <w:rsid w:val="0048744B"/>
    <w:rsid w:val="004878DD"/>
    <w:rsid w:val="004878EF"/>
    <w:rsid w:val="00487D2A"/>
    <w:rsid w:val="00487F9A"/>
    <w:rsid w:val="004903DA"/>
    <w:rsid w:val="00491C95"/>
    <w:rsid w:val="00492B85"/>
    <w:rsid w:val="00493E76"/>
    <w:rsid w:val="00494184"/>
    <w:rsid w:val="00494AB0"/>
    <w:rsid w:val="00494E5D"/>
    <w:rsid w:val="00495C28"/>
    <w:rsid w:val="004963EC"/>
    <w:rsid w:val="00496939"/>
    <w:rsid w:val="00497585"/>
    <w:rsid w:val="0049767D"/>
    <w:rsid w:val="00497887"/>
    <w:rsid w:val="004A0E7E"/>
    <w:rsid w:val="004A11C9"/>
    <w:rsid w:val="004A2557"/>
    <w:rsid w:val="004A2CC1"/>
    <w:rsid w:val="004A2FE3"/>
    <w:rsid w:val="004A4967"/>
    <w:rsid w:val="004A49A5"/>
    <w:rsid w:val="004A50DF"/>
    <w:rsid w:val="004A5167"/>
    <w:rsid w:val="004A517F"/>
    <w:rsid w:val="004A5229"/>
    <w:rsid w:val="004A5613"/>
    <w:rsid w:val="004A5858"/>
    <w:rsid w:val="004A5A97"/>
    <w:rsid w:val="004A5BA1"/>
    <w:rsid w:val="004A6F95"/>
    <w:rsid w:val="004A74A0"/>
    <w:rsid w:val="004A7891"/>
    <w:rsid w:val="004B047F"/>
    <w:rsid w:val="004B0BC2"/>
    <w:rsid w:val="004B1A6B"/>
    <w:rsid w:val="004B24F4"/>
    <w:rsid w:val="004B33FC"/>
    <w:rsid w:val="004B4828"/>
    <w:rsid w:val="004B5038"/>
    <w:rsid w:val="004B57C9"/>
    <w:rsid w:val="004B5CBB"/>
    <w:rsid w:val="004B63E5"/>
    <w:rsid w:val="004B6840"/>
    <w:rsid w:val="004B7E72"/>
    <w:rsid w:val="004C0F47"/>
    <w:rsid w:val="004C1720"/>
    <w:rsid w:val="004C3017"/>
    <w:rsid w:val="004C3575"/>
    <w:rsid w:val="004C3CC6"/>
    <w:rsid w:val="004C43BD"/>
    <w:rsid w:val="004C44E1"/>
    <w:rsid w:val="004C4858"/>
    <w:rsid w:val="004C56E7"/>
    <w:rsid w:val="004C5B40"/>
    <w:rsid w:val="004C5E57"/>
    <w:rsid w:val="004C6657"/>
    <w:rsid w:val="004C71BF"/>
    <w:rsid w:val="004C79BD"/>
    <w:rsid w:val="004C7D10"/>
    <w:rsid w:val="004D0005"/>
    <w:rsid w:val="004D0435"/>
    <w:rsid w:val="004D0943"/>
    <w:rsid w:val="004D196F"/>
    <w:rsid w:val="004D36BF"/>
    <w:rsid w:val="004D3B17"/>
    <w:rsid w:val="004D4EA1"/>
    <w:rsid w:val="004D51CC"/>
    <w:rsid w:val="004D5A61"/>
    <w:rsid w:val="004D60B9"/>
    <w:rsid w:val="004D618B"/>
    <w:rsid w:val="004D651B"/>
    <w:rsid w:val="004D65DB"/>
    <w:rsid w:val="004D69C0"/>
    <w:rsid w:val="004D7C75"/>
    <w:rsid w:val="004D7E7D"/>
    <w:rsid w:val="004E120A"/>
    <w:rsid w:val="004E1BBE"/>
    <w:rsid w:val="004E1D84"/>
    <w:rsid w:val="004E22FB"/>
    <w:rsid w:val="004E334E"/>
    <w:rsid w:val="004E3353"/>
    <w:rsid w:val="004E43B0"/>
    <w:rsid w:val="004E51C1"/>
    <w:rsid w:val="004E5782"/>
    <w:rsid w:val="004E64C6"/>
    <w:rsid w:val="004E6B70"/>
    <w:rsid w:val="004E6FAE"/>
    <w:rsid w:val="004E74F0"/>
    <w:rsid w:val="004E75D7"/>
    <w:rsid w:val="004F0164"/>
    <w:rsid w:val="004F020B"/>
    <w:rsid w:val="004F17F1"/>
    <w:rsid w:val="004F1C6B"/>
    <w:rsid w:val="004F2D7B"/>
    <w:rsid w:val="004F2F2E"/>
    <w:rsid w:val="004F305C"/>
    <w:rsid w:val="004F36A1"/>
    <w:rsid w:val="004F376D"/>
    <w:rsid w:val="004F4323"/>
    <w:rsid w:val="004F4B97"/>
    <w:rsid w:val="004F520E"/>
    <w:rsid w:val="004F532B"/>
    <w:rsid w:val="004F53E6"/>
    <w:rsid w:val="004F555F"/>
    <w:rsid w:val="004F68D5"/>
    <w:rsid w:val="004F7A9A"/>
    <w:rsid w:val="005006D3"/>
    <w:rsid w:val="00500E29"/>
    <w:rsid w:val="00501FC8"/>
    <w:rsid w:val="00503A73"/>
    <w:rsid w:val="00504120"/>
    <w:rsid w:val="0050449E"/>
    <w:rsid w:val="005045F3"/>
    <w:rsid w:val="00504793"/>
    <w:rsid w:val="0050509D"/>
    <w:rsid w:val="00510E1F"/>
    <w:rsid w:val="00510EED"/>
    <w:rsid w:val="00512792"/>
    <w:rsid w:val="0051421D"/>
    <w:rsid w:val="005157A3"/>
    <w:rsid w:val="005178A6"/>
    <w:rsid w:val="0052085A"/>
    <w:rsid w:val="00520D5F"/>
    <w:rsid w:val="005216AB"/>
    <w:rsid w:val="00521823"/>
    <w:rsid w:val="00521C47"/>
    <w:rsid w:val="005237BE"/>
    <w:rsid w:val="00524745"/>
    <w:rsid w:val="005258EA"/>
    <w:rsid w:val="00525C88"/>
    <w:rsid w:val="00526BFA"/>
    <w:rsid w:val="0052761D"/>
    <w:rsid w:val="00527C66"/>
    <w:rsid w:val="00530BB0"/>
    <w:rsid w:val="0053182F"/>
    <w:rsid w:val="00531D9F"/>
    <w:rsid w:val="00533F19"/>
    <w:rsid w:val="005347C4"/>
    <w:rsid w:val="00534BA3"/>
    <w:rsid w:val="00535A5F"/>
    <w:rsid w:val="00536321"/>
    <w:rsid w:val="00536A42"/>
    <w:rsid w:val="00536B15"/>
    <w:rsid w:val="00537A8B"/>
    <w:rsid w:val="00537B2D"/>
    <w:rsid w:val="00540909"/>
    <w:rsid w:val="00541234"/>
    <w:rsid w:val="0054183E"/>
    <w:rsid w:val="005425C8"/>
    <w:rsid w:val="005428F3"/>
    <w:rsid w:val="00542CEC"/>
    <w:rsid w:val="005431F8"/>
    <w:rsid w:val="005445AD"/>
    <w:rsid w:val="00544646"/>
    <w:rsid w:val="00544784"/>
    <w:rsid w:val="00544E3D"/>
    <w:rsid w:val="00545E54"/>
    <w:rsid w:val="005462B7"/>
    <w:rsid w:val="00546D4D"/>
    <w:rsid w:val="00546EA7"/>
    <w:rsid w:val="00546F47"/>
    <w:rsid w:val="00547AA6"/>
    <w:rsid w:val="00547BA9"/>
    <w:rsid w:val="00550601"/>
    <w:rsid w:val="00551BAE"/>
    <w:rsid w:val="00551D2D"/>
    <w:rsid w:val="0055257B"/>
    <w:rsid w:val="00552F41"/>
    <w:rsid w:val="00553E8C"/>
    <w:rsid w:val="00553ED4"/>
    <w:rsid w:val="00554CF4"/>
    <w:rsid w:val="00555A39"/>
    <w:rsid w:val="00555D9B"/>
    <w:rsid w:val="00555EBB"/>
    <w:rsid w:val="00555F81"/>
    <w:rsid w:val="0055619F"/>
    <w:rsid w:val="00556E87"/>
    <w:rsid w:val="0056032B"/>
    <w:rsid w:val="005615C8"/>
    <w:rsid w:val="00562056"/>
    <w:rsid w:val="005622EE"/>
    <w:rsid w:val="00562544"/>
    <w:rsid w:val="00562BBF"/>
    <w:rsid w:val="005638FF"/>
    <w:rsid w:val="00563DBC"/>
    <w:rsid w:val="005642E4"/>
    <w:rsid w:val="00564404"/>
    <w:rsid w:val="0056474A"/>
    <w:rsid w:val="00564AAA"/>
    <w:rsid w:val="00564C20"/>
    <w:rsid w:val="00565189"/>
    <w:rsid w:val="0056538A"/>
    <w:rsid w:val="0056684B"/>
    <w:rsid w:val="00566F78"/>
    <w:rsid w:val="005679CB"/>
    <w:rsid w:val="00567CDD"/>
    <w:rsid w:val="00567E2C"/>
    <w:rsid w:val="00570435"/>
    <w:rsid w:val="00570EA5"/>
    <w:rsid w:val="00570F16"/>
    <w:rsid w:val="00571C11"/>
    <w:rsid w:val="00572C92"/>
    <w:rsid w:val="0057338D"/>
    <w:rsid w:val="00574778"/>
    <w:rsid w:val="00574C58"/>
    <w:rsid w:val="00574F67"/>
    <w:rsid w:val="00575343"/>
    <w:rsid w:val="00575490"/>
    <w:rsid w:val="0057629A"/>
    <w:rsid w:val="005769E7"/>
    <w:rsid w:val="0057747B"/>
    <w:rsid w:val="00577492"/>
    <w:rsid w:val="00577907"/>
    <w:rsid w:val="005807A4"/>
    <w:rsid w:val="00580BC0"/>
    <w:rsid w:val="00580F99"/>
    <w:rsid w:val="005815D9"/>
    <w:rsid w:val="0058163B"/>
    <w:rsid w:val="00581740"/>
    <w:rsid w:val="00581E09"/>
    <w:rsid w:val="0058322A"/>
    <w:rsid w:val="00583240"/>
    <w:rsid w:val="00583748"/>
    <w:rsid w:val="00583E1A"/>
    <w:rsid w:val="00584ACF"/>
    <w:rsid w:val="00585346"/>
    <w:rsid w:val="00586B19"/>
    <w:rsid w:val="00587C11"/>
    <w:rsid w:val="00587EDD"/>
    <w:rsid w:val="005907C0"/>
    <w:rsid w:val="005915EC"/>
    <w:rsid w:val="00591F3B"/>
    <w:rsid w:val="005924E8"/>
    <w:rsid w:val="00592979"/>
    <w:rsid w:val="00592F44"/>
    <w:rsid w:val="0059621D"/>
    <w:rsid w:val="005972C4"/>
    <w:rsid w:val="005973EE"/>
    <w:rsid w:val="00597870"/>
    <w:rsid w:val="005A057B"/>
    <w:rsid w:val="005A0867"/>
    <w:rsid w:val="005A1260"/>
    <w:rsid w:val="005A2875"/>
    <w:rsid w:val="005A2F34"/>
    <w:rsid w:val="005A35EF"/>
    <w:rsid w:val="005A4465"/>
    <w:rsid w:val="005A4E18"/>
    <w:rsid w:val="005A5138"/>
    <w:rsid w:val="005A5204"/>
    <w:rsid w:val="005A5FC4"/>
    <w:rsid w:val="005A6D48"/>
    <w:rsid w:val="005A6E94"/>
    <w:rsid w:val="005A7507"/>
    <w:rsid w:val="005A78F7"/>
    <w:rsid w:val="005A7DC8"/>
    <w:rsid w:val="005A7F44"/>
    <w:rsid w:val="005B00B9"/>
    <w:rsid w:val="005B11DA"/>
    <w:rsid w:val="005B1548"/>
    <w:rsid w:val="005B1BE7"/>
    <w:rsid w:val="005B1F46"/>
    <w:rsid w:val="005B2283"/>
    <w:rsid w:val="005B2C7E"/>
    <w:rsid w:val="005B2F24"/>
    <w:rsid w:val="005B3B0D"/>
    <w:rsid w:val="005B43D2"/>
    <w:rsid w:val="005B4759"/>
    <w:rsid w:val="005B4C3A"/>
    <w:rsid w:val="005B50E1"/>
    <w:rsid w:val="005B55D9"/>
    <w:rsid w:val="005B62FB"/>
    <w:rsid w:val="005B70C8"/>
    <w:rsid w:val="005B7964"/>
    <w:rsid w:val="005B7C26"/>
    <w:rsid w:val="005B7C28"/>
    <w:rsid w:val="005C02BB"/>
    <w:rsid w:val="005C04E8"/>
    <w:rsid w:val="005C0E51"/>
    <w:rsid w:val="005C0F34"/>
    <w:rsid w:val="005C1744"/>
    <w:rsid w:val="005C1E50"/>
    <w:rsid w:val="005C2059"/>
    <w:rsid w:val="005C2A20"/>
    <w:rsid w:val="005C307B"/>
    <w:rsid w:val="005C3544"/>
    <w:rsid w:val="005C4E40"/>
    <w:rsid w:val="005C4F13"/>
    <w:rsid w:val="005C5033"/>
    <w:rsid w:val="005C5400"/>
    <w:rsid w:val="005C5886"/>
    <w:rsid w:val="005C5B80"/>
    <w:rsid w:val="005C6343"/>
    <w:rsid w:val="005C64C1"/>
    <w:rsid w:val="005C694C"/>
    <w:rsid w:val="005C6B1C"/>
    <w:rsid w:val="005C6D2B"/>
    <w:rsid w:val="005C72C2"/>
    <w:rsid w:val="005C7A50"/>
    <w:rsid w:val="005D1A2D"/>
    <w:rsid w:val="005D2497"/>
    <w:rsid w:val="005D2AC5"/>
    <w:rsid w:val="005D2C0E"/>
    <w:rsid w:val="005D2FE0"/>
    <w:rsid w:val="005D5159"/>
    <w:rsid w:val="005D66E1"/>
    <w:rsid w:val="005D6A7F"/>
    <w:rsid w:val="005D74EE"/>
    <w:rsid w:val="005D76C5"/>
    <w:rsid w:val="005E0925"/>
    <w:rsid w:val="005E0C13"/>
    <w:rsid w:val="005E0EC6"/>
    <w:rsid w:val="005E0FEE"/>
    <w:rsid w:val="005E1F65"/>
    <w:rsid w:val="005E2247"/>
    <w:rsid w:val="005E25B7"/>
    <w:rsid w:val="005E3F84"/>
    <w:rsid w:val="005E42F3"/>
    <w:rsid w:val="005E4680"/>
    <w:rsid w:val="005E46C6"/>
    <w:rsid w:val="005E48CE"/>
    <w:rsid w:val="005E5AA1"/>
    <w:rsid w:val="005E6947"/>
    <w:rsid w:val="005E6972"/>
    <w:rsid w:val="005E6A2F"/>
    <w:rsid w:val="005E725F"/>
    <w:rsid w:val="005E75DF"/>
    <w:rsid w:val="005E7AC7"/>
    <w:rsid w:val="005E7E55"/>
    <w:rsid w:val="005F045F"/>
    <w:rsid w:val="005F1111"/>
    <w:rsid w:val="005F1A2D"/>
    <w:rsid w:val="005F1DBA"/>
    <w:rsid w:val="005F2A44"/>
    <w:rsid w:val="005F3366"/>
    <w:rsid w:val="005F4BE0"/>
    <w:rsid w:val="005F4E45"/>
    <w:rsid w:val="005F523C"/>
    <w:rsid w:val="005F5507"/>
    <w:rsid w:val="005F6219"/>
    <w:rsid w:val="005F63D5"/>
    <w:rsid w:val="005F710D"/>
    <w:rsid w:val="005F71DF"/>
    <w:rsid w:val="005F76DE"/>
    <w:rsid w:val="0060007B"/>
    <w:rsid w:val="00600391"/>
    <w:rsid w:val="00600596"/>
    <w:rsid w:val="006012E7"/>
    <w:rsid w:val="00602F21"/>
    <w:rsid w:val="00603B58"/>
    <w:rsid w:val="00603D38"/>
    <w:rsid w:val="0060467F"/>
    <w:rsid w:val="00604777"/>
    <w:rsid w:val="00604ABC"/>
    <w:rsid w:val="00604DD5"/>
    <w:rsid w:val="00605162"/>
    <w:rsid w:val="0060516A"/>
    <w:rsid w:val="00605882"/>
    <w:rsid w:val="00605EBA"/>
    <w:rsid w:val="00607F29"/>
    <w:rsid w:val="0061005C"/>
    <w:rsid w:val="006104B2"/>
    <w:rsid w:val="006118DA"/>
    <w:rsid w:val="00612FC9"/>
    <w:rsid w:val="00613682"/>
    <w:rsid w:val="00613FC5"/>
    <w:rsid w:val="0061459B"/>
    <w:rsid w:val="00614B7B"/>
    <w:rsid w:val="00615854"/>
    <w:rsid w:val="006158E6"/>
    <w:rsid w:val="00616368"/>
    <w:rsid w:val="0061646D"/>
    <w:rsid w:val="0061653A"/>
    <w:rsid w:val="006165E1"/>
    <w:rsid w:val="006174E0"/>
    <w:rsid w:val="006177F1"/>
    <w:rsid w:val="00620628"/>
    <w:rsid w:val="00620704"/>
    <w:rsid w:val="006220ED"/>
    <w:rsid w:val="00622113"/>
    <w:rsid w:val="00623103"/>
    <w:rsid w:val="006237BA"/>
    <w:rsid w:val="00623D17"/>
    <w:rsid w:val="00623F1A"/>
    <w:rsid w:val="00624FBD"/>
    <w:rsid w:val="00625340"/>
    <w:rsid w:val="006253A0"/>
    <w:rsid w:val="00625867"/>
    <w:rsid w:val="00625AE5"/>
    <w:rsid w:val="0062720C"/>
    <w:rsid w:val="00627301"/>
    <w:rsid w:val="00627538"/>
    <w:rsid w:val="006275AE"/>
    <w:rsid w:val="006305CC"/>
    <w:rsid w:val="006307AE"/>
    <w:rsid w:val="00631E53"/>
    <w:rsid w:val="00633B25"/>
    <w:rsid w:val="00634040"/>
    <w:rsid w:val="0063460D"/>
    <w:rsid w:val="00634EA0"/>
    <w:rsid w:val="006351AF"/>
    <w:rsid w:val="00635539"/>
    <w:rsid w:val="006358AB"/>
    <w:rsid w:val="006361B6"/>
    <w:rsid w:val="00636DE1"/>
    <w:rsid w:val="00637395"/>
    <w:rsid w:val="006373AB"/>
    <w:rsid w:val="00637FB9"/>
    <w:rsid w:val="00640DB6"/>
    <w:rsid w:val="00640DE7"/>
    <w:rsid w:val="00641602"/>
    <w:rsid w:val="00641970"/>
    <w:rsid w:val="006427CF"/>
    <w:rsid w:val="00644F4A"/>
    <w:rsid w:val="0064549D"/>
    <w:rsid w:val="00645BB5"/>
    <w:rsid w:val="00646238"/>
    <w:rsid w:val="00646489"/>
    <w:rsid w:val="006507D9"/>
    <w:rsid w:val="00650E30"/>
    <w:rsid w:val="00651C7B"/>
    <w:rsid w:val="00651D74"/>
    <w:rsid w:val="00652A41"/>
    <w:rsid w:val="00653893"/>
    <w:rsid w:val="00653A44"/>
    <w:rsid w:val="00654D07"/>
    <w:rsid w:val="006576EC"/>
    <w:rsid w:val="006578F3"/>
    <w:rsid w:val="00657BB0"/>
    <w:rsid w:val="00657D7F"/>
    <w:rsid w:val="00657DFB"/>
    <w:rsid w:val="006608FA"/>
    <w:rsid w:val="006610B9"/>
    <w:rsid w:val="0066160C"/>
    <w:rsid w:val="00661BA3"/>
    <w:rsid w:val="00662012"/>
    <w:rsid w:val="00662500"/>
    <w:rsid w:val="00662839"/>
    <w:rsid w:val="00662A63"/>
    <w:rsid w:val="00662E65"/>
    <w:rsid w:val="00663684"/>
    <w:rsid w:val="006644EC"/>
    <w:rsid w:val="00664920"/>
    <w:rsid w:val="00665095"/>
    <w:rsid w:val="006650E6"/>
    <w:rsid w:val="00665C03"/>
    <w:rsid w:val="0066717B"/>
    <w:rsid w:val="0067009D"/>
    <w:rsid w:val="0067046D"/>
    <w:rsid w:val="0067074D"/>
    <w:rsid w:val="006714F8"/>
    <w:rsid w:val="00671903"/>
    <w:rsid w:val="00671DE0"/>
    <w:rsid w:val="00672EB8"/>
    <w:rsid w:val="00673263"/>
    <w:rsid w:val="00673413"/>
    <w:rsid w:val="00673662"/>
    <w:rsid w:val="0067373F"/>
    <w:rsid w:val="00673AD5"/>
    <w:rsid w:val="00673B84"/>
    <w:rsid w:val="006759BB"/>
    <w:rsid w:val="00675DEC"/>
    <w:rsid w:val="00676887"/>
    <w:rsid w:val="00677ECE"/>
    <w:rsid w:val="0068023E"/>
    <w:rsid w:val="00681000"/>
    <w:rsid w:val="006818AA"/>
    <w:rsid w:val="00681DC6"/>
    <w:rsid w:val="006821BF"/>
    <w:rsid w:val="00682259"/>
    <w:rsid w:val="00682425"/>
    <w:rsid w:val="00684162"/>
    <w:rsid w:val="00684AD3"/>
    <w:rsid w:val="0068512D"/>
    <w:rsid w:val="00685525"/>
    <w:rsid w:val="00685ADF"/>
    <w:rsid w:val="00686014"/>
    <w:rsid w:val="006862EE"/>
    <w:rsid w:val="00687771"/>
    <w:rsid w:val="0068780A"/>
    <w:rsid w:val="00691675"/>
    <w:rsid w:val="006917E2"/>
    <w:rsid w:val="00691889"/>
    <w:rsid w:val="00692B5E"/>
    <w:rsid w:val="00693040"/>
    <w:rsid w:val="00693281"/>
    <w:rsid w:val="006937C1"/>
    <w:rsid w:val="0069385D"/>
    <w:rsid w:val="00693D96"/>
    <w:rsid w:val="0069455D"/>
    <w:rsid w:val="00694EE0"/>
    <w:rsid w:val="00695174"/>
    <w:rsid w:val="006951FD"/>
    <w:rsid w:val="00695518"/>
    <w:rsid w:val="006956AF"/>
    <w:rsid w:val="00695F8A"/>
    <w:rsid w:val="0069652E"/>
    <w:rsid w:val="006971D4"/>
    <w:rsid w:val="006A05F5"/>
    <w:rsid w:val="006A0645"/>
    <w:rsid w:val="006A1A3F"/>
    <w:rsid w:val="006A287C"/>
    <w:rsid w:val="006A2C1C"/>
    <w:rsid w:val="006A3113"/>
    <w:rsid w:val="006A3865"/>
    <w:rsid w:val="006A39F9"/>
    <w:rsid w:val="006A3BC4"/>
    <w:rsid w:val="006A54B6"/>
    <w:rsid w:val="006A55C0"/>
    <w:rsid w:val="006A5C41"/>
    <w:rsid w:val="006A5EFF"/>
    <w:rsid w:val="006A6971"/>
    <w:rsid w:val="006A6D06"/>
    <w:rsid w:val="006A7272"/>
    <w:rsid w:val="006A7921"/>
    <w:rsid w:val="006B0424"/>
    <w:rsid w:val="006B04CB"/>
    <w:rsid w:val="006B0A27"/>
    <w:rsid w:val="006B23AE"/>
    <w:rsid w:val="006B271C"/>
    <w:rsid w:val="006B2960"/>
    <w:rsid w:val="006B2D8A"/>
    <w:rsid w:val="006B33EC"/>
    <w:rsid w:val="006B3A86"/>
    <w:rsid w:val="006B3CBF"/>
    <w:rsid w:val="006B4C38"/>
    <w:rsid w:val="006B57F3"/>
    <w:rsid w:val="006B588E"/>
    <w:rsid w:val="006B6193"/>
    <w:rsid w:val="006B6AD9"/>
    <w:rsid w:val="006B6E9F"/>
    <w:rsid w:val="006B7577"/>
    <w:rsid w:val="006B75E7"/>
    <w:rsid w:val="006B78D3"/>
    <w:rsid w:val="006B7AB4"/>
    <w:rsid w:val="006B7FA8"/>
    <w:rsid w:val="006C0096"/>
    <w:rsid w:val="006C1177"/>
    <w:rsid w:val="006C1994"/>
    <w:rsid w:val="006C19E3"/>
    <w:rsid w:val="006C27E4"/>
    <w:rsid w:val="006C3101"/>
    <w:rsid w:val="006C3772"/>
    <w:rsid w:val="006C470F"/>
    <w:rsid w:val="006C5D28"/>
    <w:rsid w:val="006C6483"/>
    <w:rsid w:val="006C6D39"/>
    <w:rsid w:val="006C7D3B"/>
    <w:rsid w:val="006D013E"/>
    <w:rsid w:val="006D0B66"/>
    <w:rsid w:val="006D135F"/>
    <w:rsid w:val="006D27E1"/>
    <w:rsid w:val="006D2963"/>
    <w:rsid w:val="006D2FB8"/>
    <w:rsid w:val="006D34F5"/>
    <w:rsid w:val="006D3501"/>
    <w:rsid w:val="006D39D6"/>
    <w:rsid w:val="006D440F"/>
    <w:rsid w:val="006D5EE4"/>
    <w:rsid w:val="006D6A50"/>
    <w:rsid w:val="006D71B6"/>
    <w:rsid w:val="006D77D5"/>
    <w:rsid w:val="006E037C"/>
    <w:rsid w:val="006E13EF"/>
    <w:rsid w:val="006E1A5C"/>
    <w:rsid w:val="006E2310"/>
    <w:rsid w:val="006E2C6C"/>
    <w:rsid w:val="006E301F"/>
    <w:rsid w:val="006E374F"/>
    <w:rsid w:val="006E3F60"/>
    <w:rsid w:val="006E4326"/>
    <w:rsid w:val="006E4565"/>
    <w:rsid w:val="006E4C2D"/>
    <w:rsid w:val="006E4C35"/>
    <w:rsid w:val="006E4C79"/>
    <w:rsid w:val="006E5351"/>
    <w:rsid w:val="006E5981"/>
    <w:rsid w:val="006E5B48"/>
    <w:rsid w:val="006E6E89"/>
    <w:rsid w:val="006F0696"/>
    <w:rsid w:val="006F0CE3"/>
    <w:rsid w:val="006F1215"/>
    <w:rsid w:val="006F12C9"/>
    <w:rsid w:val="006F18DB"/>
    <w:rsid w:val="006F2B87"/>
    <w:rsid w:val="006F308A"/>
    <w:rsid w:val="006F401B"/>
    <w:rsid w:val="006F47AC"/>
    <w:rsid w:val="006F4AF5"/>
    <w:rsid w:val="006F4B67"/>
    <w:rsid w:val="006F5699"/>
    <w:rsid w:val="006F5D47"/>
    <w:rsid w:val="006F5EB6"/>
    <w:rsid w:val="006F7FB9"/>
    <w:rsid w:val="007008DE"/>
    <w:rsid w:val="00700C09"/>
    <w:rsid w:val="00700E2B"/>
    <w:rsid w:val="0070107A"/>
    <w:rsid w:val="00701647"/>
    <w:rsid w:val="00701D86"/>
    <w:rsid w:val="007027FF"/>
    <w:rsid w:val="0070289D"/>
    <w:rsid w:val="007040A6"/>
    <w:rsid w:val="00704962"/>
    <w:rsid w:val="007050A0"/>
    <w:rsid w:val="00706136"/>
    <w:rsid w:val="00706CEA"/>
    <w:rsid w:val="00710061"/>
    <w:rsid w:val="007104BF"/>
    <w:rsid w:val="007122D1"/>
    <w:rsid w:val="007125E1"/>
    <w:rsid w:val="00712E2F"/>
    <w:rsid w:val="00713015"/>
    <w:rsid w:val="00713A39"/>
    <w:rsid w:val="00713EFE"/>
    <w:rsid w:val="00713F18"/>
    <w:rsid w:val="00714961"/>
    <w:rsid w:val="00714CC5"/>
    <w:rsid w:val="00714F0A"/>
    <w:rsid w:val="00715112"/>
    <w:rsid w:val="00715BD4"/>
    <w:rsid w:val="00717FD4"/>
    <w:rsid w:val="007208CB"/>
    <w:rsid w:val="00720FDB"/>
    <w:rsid w:val="007211D8"/>
    <w:rsid w:val="0072164A"/>
    <w:rsid w:val="00721C63"/>
    <w:rsid w:val="007220C2"/>
    <w:rsid w:val="0072231B"/>
    <w:rsid w:val="00722596"/>
    <w:rsid w:val="00722F26"/>
    <w:rsid w:val="00724BD7"/>
    <w:rsid w:val="00725256"/>
    <w:rsid w:val="007254A4"/>
    <w:rsid w:val="00726436"/>
    <w:rsid w:val="00727219"/>
    <w:rsid w:val="007300B2"/>
    <w:rsid w:val="007304E1"/>
    <w:rsid w:val="007307C6"/>
    <w:rsid w:val="00731362"/>
    <w:rsid w:val="007317DA"/>
    <w:rsid w:val="007319CC"/>
    <w:rsid w:val="00731EEB"/>
    <w:rsid w:val="007324F5"/>
    <w:rsid w:val="00734425"/>
    <w:rsid w:val="00734C1A"/>
    <w:rsid w:val="007353AA"/>
    <w:rsid w:val="007357F2"/>
    <w:rsid w:val="00735E34"/>
    <w:rsid w:val="007361BC"/>
    <w:rsid w:val="00737910"/>
    <w:rsid w:val="00737ADA"/>
    <w:rsid w:val="00737DC7"/>
    <w:rsid w:val="007400FB"/>
    <w:rsid w:val="00740D75"/>
    <w:rsid w:val="0074164D"/>
    <w:rsid w:val="0074177F"/>
    <w:rsid w:val="0074224E"/>
    <w:rsid w:val="007422AB"/>
    <w:rsid w:val="0074248C"/>
    <w:rsid w:val="00742B59"/>
    <w:rsid w:val="0074317A"/>
    <w:rsid w:val="007433B5"/>
    <w:rsid w:val="00743860"/>
    <w:rsid w:val="00743F9B"/>
    <w:rsid w:val="00744444"/>
    <w:rsid w:val="00745681"/>
    <w:rsid w:val="00745CDB"/>
    <w:rsid w:val="00745D40"/>
    <w:rsid w:val="00746985"/>
    <w:rsid w:val="00747728"/>
    <w:rsid w:val="007477EA"/>
    <w:rsid w:val="00747B5A"/>
    <w:rsid w:val="00747BC9"/>
    <w:rsid w:val="007507AD"/>
    <w:rsid w:val="00750801"/>
    <w:rsid w:val="00750C48"/>
    <w:rsid w:val="00752707"/>
    <w:rsid w:val="00752EEC"/>
    <w:rsid w:val="007536A0"/>
    <w:rsid w:val="0075439D"/>
    <w:rsid w:val="00754657"/>
    <w:rsid w:val="007555CD"/>
    <w:rsid w:val="00755BE8"/>
    <w:rsid w:val="007565ED"/>
    <w:rsid w:val="0075779F"/>
    <w:rsid w:val="00757994"/>
    <w:rsid w:val="00757F8E"/>
    <w:rsid w:val="007600AE"/>
    <w:rsid w:val="00760854"/>
    <w:rsid w:val="00760A3B"/>
    <w:rsid w:val="00761804"/>
    <w:rsid w:val="00762141"/>
    <w:rsid w:val="00763392"/>
    <w:rsid w:val="00763B45"/>
    <w:rsid w:val="00764482"/>
    <w:rsid w:val="00764BFD"/>
    <w:rsid w:val="00766C0D"/>
    <w:rsid w:val="00767A0F"/>
    <w:rsid w:val="00770BFD"/>
    <w:rsid w:val="0077162E"/>
    <w:rsid w:val="007717B0"/>
    <w:rsid w:val="007728EF"/>
    <w:rsid w:val="00773E08"/>
    <w:rsid w:val="00773ED3"/>
    <w:rsid w:val="00775ABC"/>
    <w:rsid w:val="0077635B"/>
    <w:rsid w:val="00776721"/>
    <w:rsid w:val="0078045D"/>
    <w:rsid w:val="00780835"/>
    <w:rsid w:val="0078112D"/>
    <w:rsid w:val="0078114F"/>
    <w:rsid w:val="00781A28"/>
    <w:rsid w:val="007823BA"/>
    <w:rsid w:val="00782520"/>
    <w:rsid w:val="00782BB3"/>
    <w:rsid w:val="0078412E"/>
    <w:rsid w:val="0078465C"/>
    <w:rsid w:val="00786B9D"/>
    <w:rsid w:val="00787438"/>
    <w:rsid w:val="007879F8"/>
    <w:rsid w:val="00787F70"/>
    <w:rsid w:val="00790827"/>
    <w:rsid w:val="007915D3"/>
    <w:rsid w:val="00791A14"/>
    <w:rsid w:val="00792E56"/>
    <w:rsid w:val="00793B6D"/>
    <w:rsid w:val="0079529F"/>
    <w:rsid w:val="00795313"/>
    <w:rsid w:val="007956EF"/>
    <w:rsid w:val="00795701"/>
    <w:rsid w:val="00795AC3"/>
    <w:rsid w:val="00795B97"/>
    <w:rsid w:val="00795D13"/>
    <w:rsid w:val="00795D1B"/>
    <w:rsid w:val="00797DAC"/>
    <w:rsid w:val="00797FD5"/>
    <w:rsid w:val="007A0E78"/>
    <w:rsid w:val="007A18C5"/>
    <w:rsid w:val="007A1DF6"/>
    <w:rsid w:val="007A2625"/>
    <w:rsid w:val="007A2A44"/>
    <w:rsid w:val="007A3228"/>
    <w:rsid w:val="007A35A2"/>
    <w:rsid w:val="007A44AE"/>
    <w:rsid w:val="007A4950"/>
    <w:rsid w:val="007A4CD9"/>
    <w:rsid w:val="007A530C"/>
    <w:rsid w:val="007A607B"/>
    <w:rsid w:val="007A6146"/>
    <w:rsid w:val="007A7470"/>
    <w:rsid w:val="007A7563"/>
    <w:rsid w:val="007A7687"/>
    <w:rsid w:val="007B016F"/>
    <w:rsid w:val="007B0A3A"/>
    <w:rsid w:val="007B16E9"/>
    <w:rsid w:val="007B173E"/>
    <w:rsid w:val="007B1D0C"/>
    <w:rsid w:val="007B2716"/>
    <w:rsid w:val="007B2E91"/>
    <w:rsid w:val="007B47A8"/>
    <w:rsid w:val="007B49D8"/>
    <w:rsid w:val="007B5D27"/>
    <w:rsid w:val="007B69BB"/>
    <w:rsid w:val="007B6C99"/>
    <w:rsid w:val="007B7648"/>
    <w:rsid w:val="007C07AD"/>
    <w:rsid w:val="007C1085"/>
    <w:rsid w:val="007C1A27"/>
    <w:rsid w:val="007C24B7"/>
    <w:rsid w:val="007C36A1"/>
    <w:rsid w:val="007C4E94"/>
    <w:rsid w:val="007C550A"/>
    <w:rsid w:val="007D0024"/>
    <w:rsid w:val="007D0299"/>
    <w:rsid w:val="007D059A"/>
    <w:rsid w:val="007D0DA1"/>
    <w:rsid w:val="007D0E06"/>
    <w:rsid w:val="007D14BD"/>
    <w:rsid w:val="007D1A29"/>
    <w:rsid w:val="007D239C"/>
    <w:rsid w:val="007D2566"/>
    <w:rsid w:val="007D319E"/>
    <w:rsid w:val="007D3CF5"/>
    <w:rsid w:val="007D6056"/>
    <w:rsid w:val="007D613D"/>
    <w:rsid w:val="007D6182"/>
    <w:rsid w:val="007D686F"/>
    <w:rsid w:val="007D6D03"/>
    <w:rsid w:val="007E1F88"/>
    <w:rsid w:val="007E2659"/>
    <w:rsid w:val="007E386F"/>
    <w:rsid w:val="007E441A"/>
    <w:rsid w:val="007E483F"/>
    <w:rsid w:val="007E4D98"/>
    <w:rsid w:val="007E582A"/>
    <w:rsid w:val="007E63C3"/>
    <w:rsid w:val="007E67DA"/>
    <w:rsid w:val="007E6A6E"/>
    <w:rsid w:val="007E6C89"/>
    <w:rsid w:val="007E7ABA"/>
    <w:rsid w:val="007F0BC3"/>
    <w:rsid w:val="007F13C2"/>
    <w:rsid w:val="007F27C4"/>
    <w:rsid w:val="007F3A0E"/>
    <w:rsid w:val="007F471D"/>
    <w:rsid w:val="007F4AE5"/>
    <w:rsid w:val="007F4F96"/>
    <w:rsid w:val="007F5288"/>
    <w:rsid w:val="007F6015"/>
    <w:rsid w:val="007F76E6"/>
    <w:rsid w:val="0080104E"/>
    <w:rsid w:val="00801095"/>
    <w:rsid w:val="0080248F"/>
    <w:rsid w:val="008033FB"/>
    <w:rsid w:val="0080435D"/>
    <w:rsid w:val="00805E87"/>
    <w:rsid w:val="00806045"/>
    <w:rsid w:val="0080619A"/>
    <w:rsid w:val="00806D7D"/>
    <w:rsid w:val="00806F82"/>
    <w:rsid w:val="00810AE6"/>
    <w:rsid w:val="00812793"/>
    <w:rsid w:val="00813479"/>
    <w:rsid w:val="00814065"/>
    <w:rsid w:val="0081447F"/>
    <w:rsid w:val="008163D4"/>
    <w:rsid w:val="00816488"/>
    <w:rsid w:val="008167B5"/>
    <w:rsid w:val="00816BBB"/>
    <w:rsid w:val="00817C2D"/>
    <w:rsid w:val="00820EEC"/>
    <w:rsid w:val="00821BE4"/>
    <w:rsid w:val="00822038"/>
    <w:rsid w:val="00822100"/>
    <w:rsid w:val="008227D4"/>
    <w:rsid w:val="00822BC0"/>
    <w:rsid w:val="008230C1"/>
    <w:rsid w:val="0082387B"/>
    <w:rsid w:val="0082387C"/>
    <w:rsid w:val="00823B8F"/>
    <w:rsid w:val="00823DCD"/>
    <w:rsid w:val="00823E5B"/>
    <w:rsid w:val="00824190"/>
    <w:rsid w:val="008243C5"/>
    <w:rsid w:val="00824708"/>
    <w:rsid w:val="008248DE"/>
    <w:rsid w:val="00824DF8"/>
    <w:rsid w:val="00825387"/>
    <w:rsid w:val="008253F7"/>
    <w:rsid w:val="00825BB2"/>
    <w:rsid w:val="008260F1"/>
    <w:rsid w:val="00826605"/>
    <w:rsid w:val="0082665F"/>
    <w:rsid w:val="00826B8F"/>
    <w:rsid w:val="00826C69"/>
    <w:rsid w:val="00827081"/>
    <w:rsid w:val="00827C0E"/>
    <w:rsid w:val="0083177B"/>
    <w:rsid w:val="00831953"/>
    <w:rsid w:val="0083226F"/>
    <w:rsid w:val="00833551"/>
    <w:rsid w:val="00833637"/>
    <w:rsid w:val="00833CFD"/>
    <w:rsid w:val="00836731"/>
    <w:rsid w:val="00836A33"/>
    <w:rsid w:val="00836CB2"/>
    <w:rsid w:val="00836D98"/>
    <w:rsid w:val="00836ECF"/>
    <w:rsid w:val="00837508"/>
    <w:rsid w:val="0083793C"/>
    <w:rsid w:val="00840E36"/>
    <w:rsid w:val="008410EF"/>
    <w:rsid w:val="008434B7"/>
    <w:rsid w:val="00843786"/>
    <w:rsid w:val="008439F1"/>
    <w:rsid w:val="00843BC7"/>
    <w:rsid w:val="00843C0C"/>
    <w:rsid w:val="00843F1A"/>
    <w:rsid w:val="00844AFB"/>
    <w:rsid w:val="00845999"/>
    <w:rsid w:val="00845CE5"/>
    <w:rsid w:val="0084738F"/>
    <w:rsid w:val="008514B0"/>
    <w:rsid w:val="00853614"/>
    <w:rsid w:val="00853F8A"/>
    <w:rsid w:val="008542D2"/>
    <w:rsid w:val="00854CD1"/>
    <w:rsid w:val="00855267"/>
    <w:rsid w:val="0085557B"/>
    <w:rsid w:val="00855C89"/>
    <w:rsid w:val="00856499"/>
    <w:rsid w:val="00856926"/>
    <w:rsid w:val="00856C2B"/>
    <w:rsid w:val="00856DD7"/>
    <w:rsid w:val="00856F07"/>
    <w:rsid w:val="0085708A"/>
    <w:rsid w:val="00857553"/>
    <w:rsid w:val="008578DF"/>
    <w:rsid w:val="008607AB"/>
    <w:rsid w:val="00861007"/>
    <w:rsid w:val="008621FE"/>
    <w:rsid w:val="00862818"/>
    <w:rsid w:val="00864338"/>
    <w:rsid w:val="00864ECA"/>
    <w:rsid w:val="008660A9"/>
    <w:rsid w:val="00866D1A"/>
    <w:rsid w:val="00866F47"/>
    <w:rsid w:val="00866FE0"/>
    <w:rsid w:val="008679F1"/>
    <w:rsid w:val="00871846"/>
    <w:rsid w:val="00871B7F"/>
    <w:rsid w:val="00871C9A"/>
    <w:rsid w:val="008722C9"/>
    <w:rsid w:val="00872670"/>
    <w:rsid w:val="0087281A"/>
    <w:rsid w:val="00872B53"/>
    <w:rsid w:val="008749C6"/>
    <w:rsid w:val="00875127"/>
    <w:rsid w:val="0087542C"/>
    <w:rsid w:val="00876770"/>
    <w:rsid w:val="00876852"/>
    <w:rsid w:val="0087749C"/>
    <w:rsid w:val="00880ABE"/>
    <w:rsid w:val="00880E7C"/>
    <w:rsid w:val="00881565"/>
    <w:rsid w:val="00881864"/>
    <w:rsid w:val="00882068"/>
    <w:rsid w:val="008827F9"/>
    <w:rsid w:val="00882800"/>
    <w:rsid w:val="0088307A"/>
    <w:rsid w:val="008830C0"/>
    <w:rsid w:val="008831E9"/>
    <w:rsid w:val="00883370"/>
    <w:rsid w:val="00883E2C"/>
    <w:rsid w:val="008845BE"/>
    <w:rsid w:val="00885DF8"/>
    <w:rsid w:val="008860FF"/>
    <w:rsid w:val="00886AAF"/>
    <w:rsid w:val="00886D00"/>
    <w:rsid w:val="008871D7"/>
    <w:rsid w:val="00887325"/>
    <w:rsid w:val="00890348"/>
    <w:rsid w:val="008912F5"/>
    <w:rsid w:val="00891D75"/>
    <w:rsid w:val="00891F79"/>
    <w:rsid w:val="00892239"/>
    <w:rsid w:val="0089333A"/>
    <w:rsid w:val="00893481"/>
    <w:rsid w:val="00894072"/>
    <w:rsid w:val="00894085"/>
    <w:rsid w:val="0089447A"/>
    <w:rsid w:val="008946DB"/>
    <w:rsid w:val="00895276"/>
    <w:rsid w:val="008953BE"/>
    <w:rsid w:val="008955D6"/>
    <w:rsid w:val="00895852"/>
    <w:rsid w:val="008960E0"/>
    <w:rsid w:val="008963A5"/>
    <w:rsid w:val="0089679C"/>
    <w:rsid w:val="008969DA"/>
    <w:rsid w:val="008973EC"/>
    <w:rsid w:val="0089750F"/>
    <w:rsid w:val="0089797E"/>
    <w:rsid w:val="008A0ED9"/>
    <w:rsid w:val="008A18A4"/>
    <w:rsid w:val="008A2085"/>
    <w:rsid w:val="008A2FAF"/>
    <w:rsid w:val="008A4371"/>
    <w:rsid w:val="008A477A"/>
    <w:rsid w:val="008A47F6"/>
    <w:rsid w:val="008A636B"/>
    <w:rsid w:val="008A63B0"/>
    <w:rsid w:val="008A7323"/>
    <w:rsid w:val="008A7EBB"/>
    <w:rsid w:val="008B1515"/>
    <w:rsid w:val="008B18FE"/>
    <w:rsid w:val="008B1B03"/>
    <w:rsid w:val="008B1BBD"/>
    <w:rsid w:val="008B2EAB"/>
    <w:rsid w:val="008B3235"/>
    <w:rsid w:val="008B3CA1"/>
    <w:rsid w:val="008B3E67"/>
    <w:rsid w:val="008B4020"/>
    <w:rsid w:val="008B4A28"/>
    <w:rsid w:val="008B61F1"/>
    <w:rsid w:val="008B62A0"/>
    <w:rsid w:val="008B6FD5"/>
    <w:rsid w:val="008C15CF"/>
    <w:rsid w:val="008C18EA"/>
    <w:rsid w:val="008C3180"/>
    <w:rsid w:val="008C3B5E"/>
    <w:rsid w:val="008C50CB"/>
    <w:rsid w:val="008C518F"/>
    <w:rsid w:val="008C560C"/>
    <w:rsid w:val="008C617D"/>
    <w:rsid w:val="008C64CC"/>
    <w:rsid w:val="008C6517"/>
    <w:rsid w:val="008C66B1"/>
    <w:rsid w:val="008C6969"/>
    <w:rsid w:val="008C6A4E"/>
    <w:rsid w:val="008C71D7"/>
    <w:rsid w:val="008C7C7E"/>
    <w:rsid w:val="008C7DC1"/>
    <w:rsid w:val="008C7F5A"/>
    <w:rsid w:val="008D007A"/>
    <w:rsid w:val="008D0551"/>
    <w:rsid w:val="008D0DC3"/>
    <w:rsid w:val="008D18A2"/>
    <w:rsid w:val="008D1E2A"/>
    <w:rsid w:val="008D1F11"/>
    <w:rsid w:val="008D25CB"/>
    <w:rsid w:val="008D2FE1"/>
    <w:rsid w:val="008D3C97"/>
    <w:rsid w:val="008D3F08"/>
    <w:rsid w:val="008D43ED"/>
    <w:rsid w:val="008D49DB"/>
    <w:rsid w:val="008D6AAE"/>
    <w:rsid w:val="008D7734"/>
    <w:rsid w:val="008E1033"/>
    <w:rsid w:val="008E106F"/>
    <w:rsid w:val="008E195A"/>
    <w:rsid w:val="008E295C"/>
    <w:rsid w:val="008E4B08"/>
    <w:rsid w:val="008E5870"/>
    <w:rsid w:val="008E6185"/>
    <w:rsid w:val="008E65BF"/>
    <w:rsid w:val="008E6AF5"/>
    <w:rsid w:val="008E6F13"/>
    <w:rsid w:val="008E6FD4"/>
    <w:rsid w:val="008E7B65"/>
    <w:rsid w:val="008E7BB7"/>
    <w:rsid w:val="008F14B3"/>
    <w:rsid w:val="008F15B5"/>
    <w:rsid w:val="008F26E9"/>
    <w:rsid w:val="008F3544"/>
    <w:rsid w:val="008F3A54"/>
    <w:rsid w:val="008F45FE"/>
    <w:rsid w:val="008F49C7"/>
    <w:rsid w:val="008F5648"/>
    <w:rsid w:val="008F6B06"/>
    <w:rsid w:val="008F6EB6"/>
    <w:rsid w:val="008F73C1"/>
    <w:rsid w:val="008F763E"/>
    <w:rsid w:val="008F7C3F"/>
    <w:rsid w:val="008F7CC4"/>
    <w:rsid w:val="009004B1"/>
    <w:rsid w:val="00900562"/>
    <w:rsid w:val="00900590"/>
    <w:rsid w:val="00900C4D"/>
    <w:rsid w:val="00900CC7"/>
    <w:rsid w:val="0090197F"/>
    <w:rsid w:val="00902A44"/>
    <w:rsid w:val="00902E73"/>
    <w:rsid w:val="00903190"/>
    <w:rsid w:val="00903B0F"/>
    <w:rsid w:val="00903E04"/>
    <w:rsid w:val="00903F89"/>
    <w:rsid w:val="009042E5"/>
    <w:rsid w:val="00906494"/>
    <w:rsid w:val="009067FE"/>
    <w:rsid w:val="00906DF8"/>
    <w:rsid w:val="00907757"/>
    <w:rsid w:val="00907833"/>
    <w:rsid w:val="00910B24"/>
    <w:rsid w:val="0091220B"/>
    <w:rsid w:val="00912D51"/>
    <w:rsid w:val="00912E71"/>
    <w:rsid w:val="00912FCA"/>
    <w:rsid w:val="00913547"/>
    <w:rsid w:val="009142F9"/>
    <w:rsid w:val="009145FE"/>
    <w:rsid w:val="0091532A"/>
    <w:rsid w:val="009160C4"/>
    <w:rsid w:val="00916B7B"/>
    <w:rsid w:val="00917152"/>
    <w:rsid w:val="0091715B"/>
    <w:rsid w:val="00917BC4"/>
    <w:rsid w:val="00917C48"/>
    <w:rsid w:val="00917FA8"/>
    <w:rsid w:val="00917FB3"/>
    <w:rsid w:val="0092016D"/>
    <w:rsid w:val="00920DF7"/>
    <w:rsid w:val="009213B8"/>
    <w:rsid w:val="009214DB"/>
    <w:rsid w:val="00922141"/>
    <w:rsid w:val="00922255"/>
    <w:rsid w:val="00922A0D"/>
    <w:rsid w:val="00922F4E"/>
    <w:rsid w:val="009232CA"/>
    <w:rsid w:val="009234CD"/>
    <w:rsid w:val="00923AC5"/>
    <w:rsid w:val="0092428A"/>
    <w:rsid w:val="00924D48"/>
    <w:rsid w:val="00926349"/>
    <w:rsid w:val="009269D1"/>
    <w:rsid w:val="009304E4"/>
    <w:rsid w:val="009313E7"/>
    <w:rsid w:val="0093345D"/>
    <w:rsid w:val="00934277"/>
    <w:rsid w:val="0093442F"/>
    <w:rsid w:val="00934571"/>
    <w:rsid w:val="00934615"/>
    <w:rsid w:val="00934D64"/>
    <w:rsid w:val="009355AE"/>
    <w:rsid w:val="00935A4F"/>
    <w:rsid w:val="00935BEC"/>
    <w:rsid w:val="00935EBE"/>
    <w:rsid w:val="009363BA"/>
    <w:rsid w:val="009363FE"/>
    <w:rsid w:val="0094076F"/>
    <w:rsid w:val="00940F02"/>
    <w:rsid w:val="00941935"/>
    <w:rsid w:val="00941D04"/>
    <w:rsid w:val="00943369"/>
    <w:rsid w:val="00943ABE"/>
    <w:rsid w:val="00944D66"/>
    <w:rsid w:val="009456F2"/>
    <w:rsid w:val="00946669"/>
    <w:rsid w:val="0094674C"/>
    <w:rsid w:val="00946B6A"/>
    <w:rsid w:val="00947B61"/>
    <w:rsid w:val="00951A59"/>
    <w:rsid w:val="00951B95"/>
    <w:rsid w:val="009521D3"/>
    <w:rsid w:val="00952627"/>
    <w:rsid w:val="00953FD6"/>
    <w:rsid w:val="009544FA"/>
    <w:rsid w:val="00955073"/>
    <w:rsid w:val="009554C0"/>
    <w:rsid w:val="00955950"/>
    <w:rsid w:val="0095653B"/>
    <w:rsid w:val="009568C6"/>
    <w:rsid w:val="00956E46"/>
    <w:rsid w:val="009574DE"/>
    <w:rsid w:val="009576AC"/>
    <w:rsid w:val="00957E7F"/>
    <w:rsid w:val="009605CF"/>
    <w:rsid w:val="0096145C"/>
    <w:rsid w:val="009621A7"/>
    <w:rsid w:val="0096249D"/>
    <w:rsid w:val="00962671"/>
    <w:rsid w:val="0096286B"/>
    <w:rsid w:val="00962D43"/>
    <w:rsid w:val="00965399"/>
    <w:rsid w:val="00965E81"/>
    <w:rsid w:val="00966467"/>
    <w:rsid w:val="0096688C"/>
    <w:rsid w:val="009669D4"/>
    <w:rsid w:val="0096769A"/>
    <w:rsid w:val="00967B6E"/>
    <w:rsid w:val="00970163"/>
    <w:rsid w:val="00970479"/>
    <w:rsid w:val="009714DF"/>
    <w:rsid w:val="00972449"/>
    <w:rsid w:val="00972BB7"/>
    <w:rsid w:val="00973BB6"/>
    <w:rsid w:val="00974B16"/>
    <w:rsid w:val="00974C18"/>
    <w:rsid w:val="00975E00"/>
    <w:rsid w:val="009767AA"/>
    <w:rsid w:val="00976A76"/>
    <w:rsid w:val="009773E5"/>
    <w:rsid w:val="009779DF"/>
    <w:rsid w:val="00977F42"/>
    <w:rsid w:val="00980080"/>
    <w:rsid w:val="009802E0"/>
    <w:rsid w:val="0098077E"/>
    <w:rsid w:val="00981071"/>
    <w:rsid w:val="0098165B"/>
    <w:rsid w:val="00982F28"/>
    <w:rsid w:val="00983579"/>
    <w:rsid w:val="009839F9"/>
    <w:rsid w:val="00983D4A"/>
    <w:rsid w:val="00985A7C"/>
    <w:rsid w:val="00986534"/>
    <w:rsid w:val="00986554"/>
    <w:rsid w:val="009865E7"/>
    <w:rsid w:val="0098754E"/>
    <w:rsid w:val="009875CF"/>
    <w:rsid w:val="0099009E"/>
    <w:rsid w:val="009901A1"/>
    <w:rsid w:val="009902B7"/>
    <w:rsid w:val="0099046A"/>
    <w:rsid w:val="009908BB"/>
    <w:rsid w:val="009909FF"/>
    <w:rsid w:val="009915FB"/>
    <w:rsid w:val="00991965"/>
    <w:rsid w:val="00991E71"/>
    <w:rsid w:val="00993217"/>
    <w:rsid w:val="00994931"/>
    <w:rsid w:val="00996D51"/>
    <w:rsid w:val="00997B91"/>
    <w:rsid w:val="009A0138"/>
    <w:rsid w:val="009A0FAD"/>
    <w:rsid w:val="009A10E1"/>
    <w:rsid w:val="009A4334"/>
    <w:rsid w:val="009A5D7B"/>
    <w:rsid w:val="009A708D"/>
    <w:rsid w:val="009A728C"/>
    <w:rsid w:val="009A7911"/>
    <w:rsid w:val="009A7D53"/>
    <w:rsid w:val="009A7FE3"/>
    <w:rsid w:val="009B0114"/>
    <w:rsid w:val="009B0B2D"/>
    <w:rsid w:val="009B1329"/>
    <w:rsid w:val="009B1561"/>
    <w:rsid w:val="009B163C"/>
    <w:rsid w:val="009B22FF"/>
    <w:rsid w:val="009B3EF8"/>
    <w:rsid w:val="009B425A"/>
    <w:rsid w:val="009B42E9"/>
    <w:rsid w:val="009B4531"/>
    <w:rsid w:val="009B5113"/>
    <w:rsid w:val="009B540E"/>
    <w:rsid w:val="009B55A4"/>
    <w:rsid w:val="009B5E2D"/>
    <w:rsid w:val="009B605C"/>
    <w:rsid w:val="009B68D7"/>
    <w:rsid w:val="009B7397"/>
    <w:rsid w:val="009B79ED"/>
    <w:rsid w:val="009B7BFA"/>
    <w:rsid w:val="009C03A0"/>
    <w:rsid w:val="009C04F9"/>
    <w:rsid w:val="009C0BDB"/>
    <w:rsid w:val="009C0EC0"/>
    <w:rsid w:val="009C0F08"/>
    <w:rsid w:val="009C11CA"/>
    <w:rsid w:val="009C1E17"/>
    <w:rsid w:val="009C34E9"/>
    <w:rsid w:val="009C4525"/>
    <w:rsid w:val="009C45A8"/>
    <w:rsid w:val="009C46FB"/>
    <w:rsid w:val="009C4E89"/>
    <w:rsid w:val="009C5117"/>
    <w:rsid w:val="009C52E2"/>
    <w:rsid w:val="009C5987"/>
    <w:rsid w:val="009C69B0"/>
    <w:rsid w:val="009C6C4E"/>
    <w:rsid w:val="009C703E"/>
    <w:rsid w:val="009C7CD0"/>
    <w:rsid w:val="009C7DE7"/>
    <w:rsid w:val="009D03CE"/>
    <w:rsid w:val="009D07B4"/>
    <w:rsid w:val="009D07D2"/>
    <w:rsid w:val="009D1021"/>
    <w:rsid w:val="009D197C"/>
    <w:rsid w:val="009D29C2"/>
    <w:rsid w:val="009D2AC8"/>
    <w:rsid w:val="009D45CE"/>
    <w:rsid w:val="009D4704"/>
    <w:rsid w:val="009D47B7"/>
    <w:rsid w:val="009D4C2A"/>
    <w:rsid w:val="009D5584"/>
    <w:rsid w:val="009D5FD3"/>
    <w:rsid w:val="009D7774"/>
    <w:rsid w:val="009D793F"/>
    <w:rsid w:val="009D7A88"/>
    <w:rsid w:val="009D7DCA"/>
    <w:rsid w:val="009E0199"/>
    <w:rsid w:val="009E01A7"/>
    <w:rsid w:val="009E0D31"/>
    <w:rsid w:val="009E14CC"/>
    <w:rsid w:val="009E24B7"/>
    <w:rsid w:val="009E28C7"/>
    <w:rsid w:val="009E2928"/>
    <w:rsid w:val="009E29AD"/>
    <w:rsid w:val="009E2A13"/>
    <w:rsid w:val="009E2A75"/>
    <w:rsid w:val="009E360D"/>
    <w:rsid w:val="009E394A"/>
    <w:rsid w:val="009E3F7C"/>
    <w:rsid w:val="009E4972"/>
    <w:rsid w:val="009E5182"/>
    <w:rsid w:val="009E5ACE"/>
    <w:rsid w:val="009E6E56"/>
    <w:rsid w:val="009E71AB"/>
    <w:rsid w:val="009E7228"/>
    <w:rsid w:val="009E7F1C"/>
    <w:rsid w:val="009F000C"/>
    <w:rsid w:val="009F08C3"/>
    <w:rsid w:val="009F1723"/>
    <w:rsid w:val="009F19FF"/>
    <w:rsid w:val="009F1DFD"/>
    <w:rsid w:val="009F2754"/>
    <w:rsid w:val="009F3001"/>
    <w:rsid w:val="009F3915"/>
    <w:rsid w:val="009F3A5A"/>
    <w:rsid w:val="009F3DAE"/>
    <w:rsid w:val="009F4571"/>
    <w:rsid w:val="009F467E"/>
    <w:rsid w:val="009F4DD7"/>
    <w:rsid w:val="009F5093"/>
    <w:rsid w:val="009F6118"/>
    <w:rsid w:val="009F6A84"/>
    <w:rsid w:val="009F6BE1"/>
    <w:rsid w:val="009F6E87"/>
    <w:rsid w:val="009F72A8"/>
    <w:rsid w:val="009F75E6"/>
    <w:rsid w:val="009F793E"/>
    <w:rsid w:val="00A00975"/>
    <w:rsid w:val="00A00D2B"/>
    <w:rsid w:val="00A00E73"/>
    <w:rsid w:val="00A010A6"/>
    <w:rsid w:val="00A012F7"/>
    <w:rsid w:val="00A01A35"/>
    <w:rsid w:val="00A01A8C"/>
    <w:rsid w:val="00A02A2D"/>
    <w:rsid w:val="00A032A1"/>
    <w:rsid w:val="00A04066"/>
    <w:rsid w:val="00A04272"/>
    <w:rsid w:val="00A04D97"/>
    <w:rsid w:val="00A0535B"/>
    <w:rsid w:val="00A05A8A"/>
    <w:rsid w:val="00A05DEE"/>
    <w:rsid w:val="00A069F2"/>
    <w:rsid w:val="00A07262"/>
    <w:rsid w:val="00A07B80"/>
    <w:rsid w:val="00A07C31"/>
    <w:rsid w:val="00A10086"/>
    <w:rsid w:val="00A1047E"/>
    <w:rsid w:val="00A1064B"/>
    <w:rsid w:val="00A109DA"/>
    <w:rsid w:val="00A1186A"/>
    <w:rsid w:val="00A1241E"/>
    <w:rsid w:val="00A13C73"/>
    <w:rsid w:val="00A14973"/>
    <w:rsid w:val="00A15F63"/>
    <w:rsid w:val="00A16308"/>
    <w:rsid w:val="00A1635E"/>
    <w:rsid w:val="00A17D43"/>
    <w:rsid w:val="00A17DFC"/>
    <w:rsid w:val="00A17E36"/>
    <w:rsid w:val="00A2049E"/>
    <w:rsid w:val="00A21A1F"/>
    <w:rsid w:val="00A22B85"/>
    <w:rsid w:val="00A2322F"/>
    <w:rsid w:val="00A23865"/>
    <w:rsid w:val="00A23877"/>
    <w:rsid w:val="00A23EC0"/>
    <w:rsid w:val="00A24898"/>
    <w:rsid w:val="00A2528D"/>
    <w:rsid w:val="00A25DB9"/>
    <w:rsid w:val="00A25EFD"/>
    <w:rsid w:val="00A262BD"/>
    <w:rsid w:val="00A26A7F"/>
    <w:rsid w:val="00A26CC5"/>
    <w:rsid w:val="00A27E74"/>
    <w:rsid w:val="00A30295"/>
    <w:rsid w:val="00A309F8"/>
    <w:rsid w:val="00A30B95"/>
    <w:rsid w:val="00A30F97"/>
    <w:rsid w:val="00A31EBB"/>
    <w:rsid w:val="00A3206C"/>
    <w:rsid w:val="00A32A28"/>
    <w:rsid w:val="00A33141"/>
    <w:rsid w:val="00A334B5"/>
    <w:rsid w:val="00A338C3"/>
    <w:rsid w:val="00A34999"/>
    <w:rsid w:val="00A34D10"/>
    <w:rsid w:val="00A35236"/>
    <w:rsid w:val="00A354AF"/>
    <w:rsid w:val="00A35AFB"/>
    <w:rsid w:val="00A365C1"/>
    <w:rsid w:val="00A37485"/>
    <w:rsid w:val="00A37B20"/>
    <w:rsid w:val="00A4015B"/>
    <w:rsid w:val="00A4103D"/>
    <w:rsid w:val="00A414AE"/>
    <w:rsid w:val="00A41E72"/>
    <w:rsid w:val="00A41F26"/>
    <w:rsid w:val="00A42406"/>
    <w:rsid w:val="00A426FF"/>
    <w:rsid w:val="00A42A35"/>
    <w:rsid w:val="00A42DE6"/>
    <w:rsid w:val="00A447BC"/>
    <w:rsid w:val="00A4539F"/>
    <w:rsid w:val="00A46305"/>
    <w:rsid w:val="00A466FE"/>
    <w:rsid w:val="00A50326"/>
    <w:rsid w:val="00A50740"/>
    <w:rsid w:val="00A5076B"/>
    <w:rsid w:val="00A50AE1"/>
    <w:rsid w:val="00A50D99"/>
    <w:rsid w:val="00A51CCB"/>
    <w:rsid w:val="00A5236B"/>
    <w:rsid w:val="00A52865"/>
    <w:rsid w:val="00A52BF8"/>
    <w:rsid w:val="00A535B3"/>
    <w:rsid w:val="00A53EAA"/>
    <w:rsid w:val="00A54258"/>
    <w:rsid w:val="00A54A6D"/>
    <w:rsid w:val="00A54B34"/>
    <w:rsid w:val="00A565D1"/>
    <w:rsid w:val="00A56A41"/>
    <w:rsid w:val="00A56BF7"/>
    <w:rsid w:val="00A56DA2"/>
    <w:rsid w:val="00A571ED"/>
    <w:rsid w:val="00A57444"/>
    <w:rsid w:val="00A60E84"/>
    <w:rsid w:val="00A60ED9"/>
    <w:rsid w:val="00A6119C"/>
    <w:rsid w:val="00A61528"/>
    <w:rsid w:val="00A62E69"/>
    <w:rsid w:val="00A634B8"/>
    <w:rsid w:val="00A63561"/>
    <w:rsid w:val="00A63AC5"/>
    <w:rsid w:val="00A63BC1"/>
    <w:rsid w:val="00A6428F"/>
    <w:rsid w:val="00A64933"/>
    <w:rsid w:val="00A65293"/>
    <w:rsid w:val="00A6529D"/>
    <w:rsid w:val="00A667FE"/>
    <w:rsid w:val="00A669FD"/>
    <w:rsid w:val="00A67498"/>
    <w:rsid w:val="00A7049F"/>
    <w:rsid w:val="00A72613"/>
    <w:rsid w:val="00A72AED"/>
    <w:rsid w:val="00A733AB"/>
    <w:rsid w:val="00A740E5"/>
    <w:rsid w:val="00A7413E"/>
    <w:rsid w:val="00A74516"/>
    <w:rsid w:val="00A75196"/>
    <w:rsid w:val="00A759A6"/>
    <w:rsid w:val="00A769EB"/>
    <w:rsid w:val="00A76F76"/>
    <w:rsid w:val="00A770E6"/>
    <w:rsid w:val="00A77763"/>
    <w:rsid w:val="00A778E1"/>
    <w:rsid w:val="00A808E1"/>
    <w:rsid w:val="00A81336"/>
    <w:rsid w:val="00A81B86"/>
    <w:rsid w:val="00A82120"/>
    <w:rsid w:val="00A83613"/>
    <w:rsid w:val="00A83CDF"/>
    <w:rsid w:val="00A847C6"/>
    <w:rsid w:val="00A847CA"/>
    <w:rsid w:val="00A8498D"/>
    <w:rsid w:val="00A84E1C"/>
    <w:rsid w:val="00A85735"/>
    <w:rsid w:val="00A85AF3"/>
    <w:rsid w:val="00A85BAE"/>
    <w:rsid w:val="00A85C8F"/>
    <w:rsid w:val="00A86933"/>
    <w:rsid w:val="00A86A7B"/>
    <w:rsid w:val="00A872AD"/>
    <w:rsid w:val="00A87564"/>
    <w:rsid w:val="00A877EE"/>
    <w:rsid w:val="00A87826"/>
    <w:rsid w:val="00A90019"/>
    <w:rsid w:val="00A90101"/>
    <w:rsid w:val="00A90277"/>
    <w:rsid w:val="00A90332"/>
    <w:rsid w:val="00A90CAB"/>
    <w:rsid w:val="00A911CF"/>
    <w:rsid w:val="00A917BC"/>
    <w:rsid w:val="00A9192E"/>
    <w:rsid w:val="00A92C8F"/>
    <w:rsid w:val="00A92D8A"/>
    <w:rsid w:val="00A937BB"/>
    <w:rsid w:val="00A948AF"/>
    <w:rsid w:val="00A953FF"/>
    <w:rsid w:val="00A95C34"/>
    <w:rsid w:val="00A9628F"/>
    <w:rsid w:val="00A96924"/>
    <w:rsid w:val="00A97E5F"/>
    <w:rsid w:val="00A97F49"/>
    <w:rsid w:val="00AA0632"/>
    <w:rsid w:val="00AA10DE"/>
    <w:rsid w:val="00AA114E"/>
    <w:rsid w:val="00AA17B2"/>
    <w:rsid w:val="00AA1885"/>
    <w:rsid w:val="00AA1A4A"/>
    <w:rsid w:val="00AA1D04"/>
    <w:rsid w:val="00AA29B7"/>
    <w:rsid w:val="00AA34D8"/>
    <w:rsid w:val="00AA37DE"/>
    <w:rsid w:val="00AA43BE"/>
    <w:rsid w:val="00AA43D0"/>
    <w:rsid w:val="00AA5275"/>
    <w:rsid w:val="00AA5828"/>
    <w:rsid w:val="00AA587C"/>
    <w:rsid w:val="00AA5A15"/>
    <w:rsid w:val="00AA6595"/>
    <w:rsid w:val="00AA6E0D"/>
    <w:rsid w:val="00AB0634"/>
    <w:rsid w:val="00AB0641"/>
    <w:rsid w:val="00AB1FCE"/>
    <w:rsid w:val="00AB2593"/>
    <w:rsid w:val="00AB3CEB"/>
    <w:rsid w:val="00AB4121"/>
    <w:rsid w:val="00AB44B3"/>
    <w:rsid w:val="00AB4DE7"/>
    <w:rsid w:val="00AB5925"/>
    <w:rsid w:val="00AB5C0C"/>
    <w:rsid w:val="00AB6331"/>
    <w:rsid w:val="00AB695D"/>
    <w:rsid w:val="00AB6E2F"/>
    <w:rsid w:val="00AB7246"/>
    <w:rsid w:val="00AB76BE"/>
    <w:rsid w:val="00AC0354"/>
    <w:rsid w:val="00AC1B83"/>
    <w:rsid w:val="00AC23AC"/>
    <w:rsid w:val="00AC3076"/>
    <w:rsid w:val="00AC4AB3"/>
    <w:rsid w:val="00AC4EA1"/>
    <w:rsid w:val="00AC5DB5"/>
    <w:rsid w:val="00AC614E"/>
    <w:rsid w:val="00AC6D0C"/>
    <w:rsid w:val="00AC7435"/>
    <w:rsid w:val="00AC75F0"/>
    <w:rsid w:val="00AC7841"/>
    <w:rsid w:val="00AC7EFC"/>
    <w:rsid w:val="00AD0071"/>
    <w:rsid w:val="00AD0DA6"/>
    <w:rsid w:val="00AD11E0"/>
    <w:rsid w:val="00AD1EEF"/>
    <w:rsid w:val="00AD229D"/>
    <w:rsid w:val="00AD271A"/>
    <w:rsid w:val="00AD2ACD"/>
    <w:rsid w:val="00AD340F"/>
    <w:rsid w:val="00AD3485"/>
    <w:rsid w:val="00AD37D3"/>
    <w:rsid w:val="00AD5278"/>
    <w:rsid w:val="00AD5715"/>
    <w:rsid w:val="00AD5931"/>
    <w:rsid w:val="00AD6C08"/>
    <w:rsid w:val="00AD6C86"/>
    <w:rsid w:val="00AD7109"/>
    <w:rsid w:val="00AD7205"/>
    <w:rsid w:val="00AE03B6"/>
    <w:rsid w:val="00AE040F"/>
    <w:rsid w:val="00AE0769"/>
    <w:rsid w:val="00AE39D6"/>
    <w:rsid w:val="00AE4152"/>
    <w:rsid w:val="00AE41A8"/>
    <w:rsid w:val="00AE56A0"/>
    <w:rsid w:val="00AE58A1"/>
    <w:rsid w:val="00AE617C"/>
    <w:rsid w:val="00AE7C3D"/>
    <w:rsid w:val="00AE7D32"/>
    <w:rsid w:val="00AF151F"/>
    <w:rsid w:val="00AF1617"/>
    <w:rsid w:val="00AF1A51"/>
    <w:rsid w:val="00AF2394"/>
    <w:rsid w:val="00AF28C9"/>
    <w:rsid w:val="00AF3F8C"/>
    <w:rsid w:val="00AF5067"/>
    <w:rsid w:val="00AF6634"/>
    <w:rsid w:val="00AF6896"/>
    <w:rsid w:val="00AF7D2A"/>
    <w:rsid w:val="00B00A77"/>
    <w:rsid w:val="00B017CD"/>
    <w:rsid w:val="00B01E19"/>
    <w:rsid w:val="00B02882"/>
    <w:rsid w:val="00B03C36"/>
    <w:rsid w:val="00B04693"/>
    <w:rsid w:val="00B04B2E"/>
    <w:rsid w:val="00B068D8"/>
    <w:rsid w:val="00B06B49"/>
    <w:rsid w:val="00B075CE"/>
    <w:rsid w:val="00B07B5E"/>
    <w:rsid w:val="00B1063A"/>
    <w:rsid w:val="00B111EB"/>
    <w:rsid w:val="00B1212B"/>
    <w:rsid w:val="00B1240A"/>
    <w:rsid w:val="00B12599"/>
    <w:rsid w:val="00B128E0"/>
    <w:rsid w:val="00B13B95"/>
    <w:rsid w:val="00B14060"/>
    <w:rsid w:val="00B1460E"/>
    <w:rsid w:val="00B151FE"/>
    <w:rsid w:val="00B15FE8"/>
    <w:rsid w:val="00B1720E"/>
    <w:rsid w:val="00B209E7"/>
    <w:rsid w:val="00B216B5"/>
    <w:rsid w:val="00B21C57"/>
    <w:rsid w:val="00B22B68"/>
    <w:rsid w:val="00B23958"/>
    <w:rsid w:val="00B24206"/>
    <w:rsid w:val="00B2435D"/>
    <w:rsid w:val="00B245DA"/>
    <w:rsid w:val="00B24B90"/>
    <w:rsid w:val="00B25215"/>
    <w:rsid w:val="00B253AB"/>
    <w:rsid w:val="00B25AAD"/>
    <w:rsid w:val="00B26044"/>
    <w:rsid w:val="00B27BDA"/>
    <w:rsid w:val="00B27BE3"/>
    <w:rsid w:val="00B31633"/>
    <w:rsid w:val="00B3205D"/>
    <w:rsid w:val="00B32781"/>
    <w:rsid w:val="00B32D75"/>
    <w:rsid w:val="00B3386C"/>
    <w:rsid w:val="00B34892"/>
    <w:rsid w:val="00B35943"/>
    <w:rsid w:val="00B362A7"/>
    <w:rsid w:val="00B402DF"/>
    <w:rsid w:val="00B407CE"/>
    <w:rsid w:val="00B40F58"/>
    <w:rsid w:val="00B41F5F"/>
    <w:rsid w:val="00B4392A"/>
    <w:rsid w:val="00B43A43"/>
    <w:rsid w:val="00B43D94"/>
    <w:rsid w:val="00B4494D"/>
    <w:rsid w:val="00B44E99"/>
    <w:rsid w:val="00B45133"/>
    <w:rsid w:val="00B45343"/>
    <w:rsid w:val="00B45439"/>
    <w:rsid w:val="00B45AB0"/>
    <w:rsid w:val="00B45BB7"/>
    <w:rsid w:val="00B460EF"/>
    <w:rsid w:val="00B461A2"/>
    <w:rsid w:val="00B46F27"/>
    <w:rsid w:val="00B4739E"/>
    <w:rsid w:val="00B47485"/>
    <w:rsid w:val="00B47763"/>
    <w:rsid w:val="00B4785B"/>
    <w:rsid w:val="00B47D50"/>
    <w:rsid w:val="00B47E52"/>
    <w:rsid w:val="00B504E1"/>
    <w:rsid w:val="00B51241"/>
    <w:rsid w:val="00B513DA"/>
    <w:rsid w:val="00B51AF9"/>
    <w:rsid w:val="00B52695"/>
    <w:rsid w:val="00B53598"/>
    <w:rsid w:val="00B54A64"/>
    <w:rsid w:val="00B54CA3"/>
    <w:rsid w:val="00B54DC6"/>
    <w:rsid w:val="00B55347"/>
    <w:rsid w:val="00B55366"/>
    <w:rsid w:val="00B557C7"/>
    <w:rsid w:val="00B5615E"/>
    <w:rsid w:val="00B564FC"/>
    <w:rsid w:val="00B5744E"/>
    <w:rsid w:val="00B57837"/>
    <w:rsid w:val="00B57FED"/>
    <w:rsid w:val="00B600D1"/>
    <w:rsid w:val="00B60E2F"/>
    <w:rsid w:val="00B61141"/>
    <w:rsid w:val="00B613A0"/>
    <w:rsid w:val="00B614CD"/>
    <w:rsid w:val="00B623DF"/>
    <w:rsid w:val="00B63C97"/>
    <w:rsid w:val="00B64187"/>
    <w:rsid w:val="00B645EC"/>
    <w:rsid w:val="00B64AF1"/>
    <w:rsid w:val="00B6547E"/>
    <w:rsid w:val="00B65EA8"/>
    <w:rsid w:val="00B66385"/>
    <w:rsid w:val="00B66FD1"/>
    <w:rsid w:val="00B67C07"/>
    <w:rsid w:val="00B67C2A"/>
    <w:rsid w:val="00B70EB4"/>
    <w:rsid w:val="00B710E4"/>
    <w:rsid w:val="00B713E8"/>
    <w:rsid w:val="00B71853"/>
    <w:rsid w:val="00B721F7"/>
    <w:rsid w:val="00B74721"/>
    <w:rsid w:val="00B74A66"/>
    <w:rsid w:val="00B753D6"/>
    <w:rsid w:val="00B75808"/>
    <w:rsid w:val="00B75EC4"/>
    <w:rsid w:val="00B761FB"/>
    <w:rsid w:val="00B76DFE"/>
    <w:rsid w:val="00B773E1"/>
    <w:rsid w:val="00B776AD"/>
    <w:rsid w:val="00B77AB0"/>
    <w:rsid w:val="00B77AE1"/>
    <w:rsid w:val="00B807A2"/>
    <w:rsid w:val="00B80853"/>
    <w:rsid w:val="00B80C45"/>
    <w:rsid w:val="00B81465"/>
    <w:rsid w:val="00B821CC"/>
    <w:rsid w:val="00B846E3"/>
    <w:rsid w:val="00B84FE5"/>
    <w:rsid w:val="00B861F2"/>
    <w:rsid w:val="00B872D2"/>
    <w:rsid w:val="00B87CEC"/>
    <w:rsid w:val="00B909E3"/>
    <w:rsid w:val="00B90F85"/>
    <w:rsid w:val="00B91124"/>
    <w:rsid w:val="00B912D6"/>
    <w:rsid w:val="00B912FB"/>
    <w:rsid w:val="00B94983"/>
    <w:rsid w:val="00B9589D"/>
    <w:rsid w:val="00BA01A0"/>
    <w:rsid w:val="00BA0453"/>
    <w:rsid w:val="00BA100E"/>
    <w:rsid w:val="00BA12DD"/>
    <w:rsid w:val="00BA258D"/>
    <w:rsid w:val="00BA2A7F"/>
    <w:rsid w:val="00BA2E07"/>
    <w:rsid w:val="00BA34F0"/>
    <w:rsid w:val="00BA3BFB"/>
    <w:rsid w:val="00BA3E5E"/>
    <w:rsid w:val="00BA4FC6"/>
    <w:rsid w:val="00BA6824"/>
    <w:rsid w:val="00BA6ADE"/>
    <w:rsid w:val="00BA6DB4"/>
    <w:rsid w:val="00BA7E40"/>
    <w:rsid w:val="00BB073E"/>
    <w:rsid w:val="00BB1216"/>
    <w:rsid w:val="00BB256E"/>
    <w:rsid w:val="00BB274B"/>
    <w:rsid w:val="00BB2D85"/>
    <w:rsid w:val="00BB2E1C"/>
    <w:rsid w:val="00BB31B9"/>
    <w:rsid w:val="00BB34CA"/>
    <w:rsid w:val="00BB40F7"/>
    <w:rsid w:val="00BB4AF1"/>
    <w:rsid w:val="00BB5453"/>
    <w:rsid w:val="00BB5514"/>
    <w:rsid w:val="00BB60A7"/>
    <w:rsid w:val="00BB68B5"/>
    <w:rsid w:val="00BB6941"/>
    <w:rsid w:val="00BB739D"/>
    <w:rsid w:val="00BB7C78"/>
    <w:rsid w:val="00BB7FB4"/>
    <w:rsid w:val="00BC0D00"/>
    <w:rsid w:val="00BC3B16"/>
    <w:rsid w:val="00BC3B7B"/>
    <w:rsid w:val="00BC400C"/>
    <w:rsid w:val="00BC423C"/>
    <w:rsid w:val="00BC46CA"/>
    <w:rsid w:val="00BC4718"/>
    <w:rsid w:val="00BC4A86"/>
    <w:rsid w:val="00BC4D3E"/>
    <w:rsid w:val="00BC685B"/>
    <w:rsid w:val="00BC6E7E"/>
    <w:rsid w:val="00BD14E4"/>
    <w:rsid w:val="00BD1701"/>
    <w:rsid w:val="00BD1B36"/>
    <w:rsid w:val="00BD1FB3"/>
    <w:rsid w:val="00BD3139"/>
    <w:rsid w:val="00BD3B60"/>
    <w:rsid w:val="00BD3BD1"/>
    <w:rsid w:val="00BD4613"/>
    <w:rsid w:val="00BD5A21"/>
    <w:rsid w:val="00BD6002"/>
    <w:rsid w:val="00BD6303"/>
    <w:rsid w:val="00BD662A"/>
    <w:rsid w:val="00BD6A15"/>
    <w:rsid w:val="00BD6E24"/>
    <w:rsid w:val="00BD71EC"/>
    <w:rsid w:val="00BD7E8C"/>
    <w:rsid w:val="00BE0847"/>
    <w:rsid w:val="00BE1994"/>
    <w:rsid w:val="00BE2ADB"/>
    <w:rsid w:val="00BE597A"/>
    <w:rsid w:val="00BE5F47"/>
    <w:rsid w:val="00BE7168"/>
    <w:rsid w:val="00BE77F9"/>
    <w:rsid w:val="00BF101E"/>
    <w:rsid w:val="00BF14BD"/>
    <w:rsid w:val="00BF1B68"/>
    <w:rsid w:val="00BF210B"/>
    <w:rsid w:val="00BF29B2"/>
    <w:rsid w:val="00BF359D"/>
    <w:rsid w:val="00BF4DDB"/>
    <w:rsid w:val="00BF5E38"/>
    <w:rsid w:val="00BF5E4D"/>
    <w:rsid w:val="00BF5EB1"/>
    <w:rsid w:val="00BF6E27"/>
    <w:rsid w:val="00BF7AA7"/>
    <w:rsid w:val="00BF7B0F"/>
    <w:rsid w:val="00BF7F92"/>
    <w:rsid w:val="00C0070B"/>
    <w:rsid w:val="00C00885"/>
    <w:rsid w:val="00C00ED2"/>
    <w:rsid w:val="00C012AA"/>
    <w:rsid w:val="00C01D74"/>
    <w:rsid w:val="00C025D0"/>
    <w:rsid w:val="00C0365E"/>
    <w:rsid w:val="00C0382A"/>
    <w:rsid w:val="00C03FBC"/>
    <w:rsid w:val="00C04BC3"/>
    <w:rsid w:val="00C05BD7"/>
    <w:rsid w:val="00C06398"/>
    <w:rsid w:val="00C06ECF"/>
    <w:rsid w:val="00C113CF"/>
    <w:rsid w:val="00C1256A"/>
    <w:rsid w:val="00C12D46"/>
    <w:rsid w:val="00C13239"/>
    <w:rsid w:val="00C134E4"/>
    <w:rsid w:val="00C157B4"/>
    <w:rsid w:val="00C15CE1"/>
    <w:rsid w:val="00C15FB8"/>
    <w:rsid w:val="00C162CF"/>
    <w:rsid w:val="00C16351"/>
    <w:rsid w:val="00C16CCD"/>
    <w:rsid w:val="00C16D7E"/>
    <w:rsid w:val="00C20B42"/>
    <w:rsid w:val="00C21B78"/>
    <w:rsid w:val="00C23461"/>
    <w:rsid w:val="00C235BB"/>
    <w:rsid w:val="00C23C84"/>
    <w:rsid w:val="00C23CC9"/>
    <w:rsid w:val="00C24789"/>
    <w:rsid w:val="00C25666"/>
    <w:rsid w:val="00C25A03"/>
    <w:rsid w:val="00C25D19"/>
    <w:rsid w:val="00C25FAB"/>
    <w:rsid w:val="00C262F3"/>
    <w:rsid w:val="00C266B1"/>
    <w:rsid w:val="00C26751"/>
    <w:rsid w:val="00C276DF"/>
    <w:rsid w:val="00C27D8B"/>
    <w:rsid w:val="00C30012"/>
    <w:rsid w:val="00C30762"/>
    <w:rsid w:val="00C3239B"/>
    <w:rsid w:val="00C32A45"/>
    <w:rsid w:val="00C3381E"/>
    <w:rsid w:val="00C349AB"/>
    <w:rsid w:val="00C35091"/>
    <w:rsid w:val="00C3638C"/>
    <w:rsid w:val="00C36472"/>
    <w:rsid w:val="00C40263"/>
    <w:rsid w:val="00C40736"/>
    <w:rsid w:val="00C418BF"/>
    <w:rsid w:val="00C41A5E"/>
    <w:rsid w:val="00C41DCA"/>
    <w:rsid w:val="00C4215C"/>
    <w:rsid w:val="00C42D38"/>
    <w:rsid w:val="00C43082"/>
    <w:rsid w:val="00C43CB7"/>
    <w:rsid w:val="00C44023"/>
    <w:rsid w:val="00C440BE"/>
    <w:rsid w:val="00C443C1"/>
    <w:rsid w:val="00C44D33"/>
    <w:rsid w:val="00C459AD"/>
    <w:rsid w:val="00C46069"/>
    <w:rsid w:val="00C46290"/>
    <w:rsid w:val="00C4675F"/>
    <w:rsid w:val="00C471C6"/>
    <w:rsid w:val="00C4729D"/>
    <w:rsid w:val="00C4737C"/>
    <w:rsid w:val="00C47554"/>
    <w:rsid w:val="00C50105"/>
    <w:rsid w:val="00C50566"/>
    <w:rsid w:val="00C515A9"/>
    <w:rsid w:val="00C51A8F"/>
    <w:rsid w:val="00C52081"/>
    <w:rsid w:val="00C5225F"/>
    <w:rsid w:val="00C5242D"/>
    <w:rsid w:val="00C52864"/>
    <w:rsid w:val="00C530A2"/>
    <w:rsid w:val="00C531F2"/>
    <w:rsid w:val="00C54C89"/>
    <w:rsid w:val="00C54E96"/>
    <w:rsid w:val="00C5547C"/>
    <w:rsid w:val="00C55AED"/>
    <w:rsid w:val="00C55F0C"/>
    <w:rsid w:val="00C57640"/>
    <w:rsid w:val="00C57D05"/>
    <w:rsid w:val="00C57F36"/>
    <w:rsid w:val="00C60001"/>
    <w:rsid w:val="00C607AD"/>
    <w:rsid w:val="00C60C87"/>
    <w:rsid w:val="00C611BF"/>
    <w:rsid w:val="00C61AF7"/>
    <w:rsid w:val="00C61D41"/>
    <w:rsid w:val="00C620C0"/>
    <w:rsid w:val="00C62189"/>
    <w:rsid w:val="00C62605"/>
    <w:rsid w:val="00C63105"/>
    <w:rsid w:val="00C63248"/>
    <w:rsid w:val="00C65777"/>
    <w:rsid w:val="00C65B66"/>
    <w:rsid w:val="00C6698B"/>
    <w:rsid w:val="00C674B3"/>
    <w:rsid w:val="00C67DD8"/>
    <w:rsid w:val="00C7005D"/>
    <w:rsid w:val="00C703D7"/>
    <w:rsid w:val="00C713EB"/>
    <w:rsid w:val="00C71591"/>
    <w:rsid w:val="00C718BF"/>
    <w:rsid w:val="00C7199C"/>
    <w:rsid w:val="00C71CAE"/>
    <w:rsid w:val="00C71CC2"/>
    <w:rsid w:val="00C71E63"/>
    <w:rsid w:val="00C7252F"/>
    <w:rsid w:val="00C7334F"/>
    <w:rsid w:val="00C7373C"/>
    <w:rsid w:val="00C7404B"/>
    <w:rsid w:val="00C74DCC"/>
    <w:rsid w:val="00C74E60"/>
    <w:rsid w:val="00C74F6D"/>
    <w:rsid w:val="00C75516"/>
    <w:rsid w:val="00C76079"/>
    <w:rsid w:val="00C765C6"/>
    <w:rsid w:val="00C768E7"/>
    <w:rsid w:val="00C76ADE"/>
    <w:rsid w:val="00C778AB"/>
    <w:rsid w:val="00C77DA6"/>
    <w:rsid w:val="00C77FC4"/>
    <w:rsid w:val="00C802BA"/>
    <w:rsid w:val="00C80B2A"/>
    <w:rsid w:val="00C81A2D"/>
    <w:rsid w:val="00C81F4A"/>
    <w:rsid w:val="00C82928"/>
    <w:rsid w:val="00C82F7B"/>
    <w:rsid w:val="00C834E9"/>
    <w:rsid w:val="00C83B9A"/>
    <w:rsid w:val="00C8463F"/>
    <w:rsid w:val="00C84EBD"/>
    <w:rsid w:val="00C854AC"/>
    <w:rsid w:val="00C85CEE"/>
    <w:rsid w:val="00C86134"/>
    <w:rsid w:val="00C8769C"/>
    <w:rsid w:val="00C90F96"/>
    <w:rsid w:val="00C91683"/>
    <w:rsid w:val="00C92B40"/>
    <w:rsid w:val="00C93D3D"/>
    <w:rsid w:val="00C94DDF"/>
    <w:rsid w:val="00C952E6"/>
    <w:rsid w:val="00C95EED"/>
    <w:rsid w:val="00C967D1"/>
    <w:rsid w:val="00C979FF"/>
    <w:rsid w:val="00CA089A"/>
    <w:rsid w:val="00CA0924"/>
    <w:rsid w:val="00CA1136"/>
    <w:rsid w:val="00CA13E9"/>
    <w:rsid w:val="00CA147C"/>
    <w:rsid w:val="00CA1CD7"/>
    <w:rsid w:val="00CA29FB"/>
    <w:rsid w:val="00CA2B84"/>
    <w:rsid w:val="00CA3607"/>
    <w:rsid w:val="00CA3A96"/>
    <w:rsid w:val="00CA3B20"/>
    <w:rsid w:val="00CA3C53"/>
    <w:rsid w:val="00CA4207"/>
    <w:rsid w:val="00CA4B90"/>
    <w:rsid w:val="00CA51D3"/>
    <w:rsid w:val="00CA581E"/>
    <w:rsid w:val="00CA71D6"/>
    <w:rsid w:val="00CA782E"/>
    <w:rsid w:val="00CB051E"/>
    <w:rsid w:val="00CB06BD"/>
    <w:rsid w:val="00CB0E44"/>
    <w:rsid w:val="00CB1339"/>
    <w:rsid w:val="00CB2179"/>
    <w:rsid w:val="00CB21CE"/>
    <w:rsid w:val="00CB24F1"/>
    <w:rsid w:val="00CB2B1C"/>
    <w:rsid w:val="00CB317E"/>
    <w:rsid w:val="00CB336A"/>
    <w:rsid w:val="00CB5554"/>
    <w:rsid w:val="00CB5653"/>
    <w:rsid w:val="00CB6156"/>
    <w:rsid w:val="00CB6E0E"/>
    <w:rsid w:val="00CB6F80"/>
    <w:rsid w:val="00CB7826"/>
    <w:rsid w:val="00CC0940"/>
    <w:rsid w:val="00CC1138"/>
    <w:rsid w:val="00CC2A5F"/>
    <w:rsid w:val="00CC2BDE"/>
    <w:rsid w:val="00CC3035"/>
    <w:rsid w:val="00CC46BA"/>
    <w:rsid w:val="00CC594B"/>
    <w:rsid w:val="00CC5F41"/>
    <w:rsid w:val="00CC602C"/>
    <w:rsid w:val="00CC72EC"/>
    <w:rsid w:val="00CC734A"/>
    <w:rsid w:val="00CC782F"/>
    <w:rsid w:val="00CC7BD5"/>
    <w:rsid w:val="00CC7F81"/>
    <w:rsid w:val="00CD12F6"/>
    <w:rsid w:val="00CD16C0"/>
    <w:rsid w:val="00CD3F7D"/>
    <w:rsid w:val="00CD54FC"/>
    <w:rsid w:val="00CD57E6"/>
    <w:rsid w:val="00CD6C20"/>
    <w:rsid w:val="00CD6E0B"/>
    <w:rsid w:val="00CD7977"/>
    <w:rsid w:val="00CE011D"/>
    <w:rsid w:val="00CE1028"/>
    <w:rsid w:val="00CE2612"/>
    <w:rsid w:val="00CE2FCE"/>
    <w:rsid w:val="00CE3921"/>
    <w:rsid w:val="00CE3BDC"/>
    <w:rsid w:val="00CE3CED"/>
    <w:rsid w:val="00CE4873"/>
    <w:rsid w:val="00CE4EFE"/>
    <w:rsid w:val="00CE5FF8"/>
    <w:rsid w:val="00CE6232"/>
    <w:rsid w:val="00CE66B1"/>
    <w:rsid w:val="00CE6BC0"/>
    <w:rsid w:val="00CE7C91"/>
    <w:rsid w:val="00CE7E69"/>
    <w:rsid w:val="00CF0296"/>
    <w:rsid w:val="00CF0A55"/>
    <w:rsid w:val="00CF14F4"/>
    <w:rsid w:val="00CF1B2D"/>
    <w:rsid w:val="00CF1C2A"/>
    <w:rsid w:val="00CF1D5F"/>
    <w:rsid w:val="00CF2D7F"/>
    <w:rsid w:val="00CF4F12"/>
    <w:rsid w:val="00CF5686"/>
    <w:rsid w:val="00CF5798"/>
    <w:rsid w:val="00CF5AD5"/>
    <w:rsid w:val="00CF6578"/>
    <w:rsid w:val="00CF65F3"/>
    <w:rsid w:val="00CF6679"/>
    <w:rsid w:val="00CF6CE6"/>
    <w:rsid w:val="00CF6FF2"/>
    <w:rsid w:val="00CF737B"/>
    <w:rsid w:val="00CF73BE"/>
    <w:rsid w:val="00CF77B0"/>
    <w:rsid w:val="00D01486"/>
    <w:rsid w:val="00D015A5"/>
    <w:rsid w:val="00D016B5"/>
    <w:rsid w:val="00D02451"/>
    <w:rsid w:val="00D02485"/>
    <w:rsid w:val="00D04115"/>
    <w:rsid w:val="00D04568"/>
    <w:rsid w:val="00D054C1"/>
    <w:rsid w:val="00D05605"/>
    <w:rsid w:val="00D058EC"/>
    <w:rsid w:val="00D05982"/>
    <w:rsid w:val="00D05C69"/>
    <w:rsid w:val="00D05EC8"/>
    <w:rsid w:val="00D071F7"/>
    <w:rsid w:val="00D07929"/>
    <w:rsid w:val="00D07C47"/>
    <w:rsid w:val="00D07EDA"/>
    <w:rsid w:val="00D1001C"/>
    <w:rsid w:val="00D10EC2"/>
    <w:rsid w:val="00D1102C"/>
    <w:rsid w:val="00D11333"/>
    <w:rsid w:val="00D119EB"/>
    <w:rsid w:val="00D11C9B"/>
    <w:rsid w:val="00D12F20"/>
    <w:rsid w:val="00D1360B"/>
    <w:rsid w:val="00D13A3F"/>
    <w:rsid w:val="00D13DC4"/>
    <w:rsid w:val="00D13F58"/>
    <w:rsid w:val="00D14D7F"/>
    <w:rsid w:val="00D15069"/>
    <w:rsid w:val="00D15F4C"/>
    <w:rsid w:val="00D16A61"/>
    <w:rsid w:val="00D16C7D"/>
    <w:rsid w:val="00D1701A"/>
    <w:rsid w:val="00D17234"/>
    <w:rsid w:val="00D178C4"/>
    <w:rsid w:val="00D17D83"/>
    <w:rsid w:val="00D20272"/>
    <w:rsid w:val="00D20720"/>
    <w:rsid w:val="00D21813"/>
    <w:rsid w:val="00D21C50"/>
    <w:rsid w:val="00D21D86"/>
    <w:rsid w:val="00D21E71"/>
    <w:rsid w:val="00D21F0C"/>
    <w:rsid w:val="00D2213F"/>
    <w:rsid w:val="00D2259B"/>
    <w:rsid w:val="00D22CDD"/>
    <w:rsid w:val="00D23930"/>
    <w:rsid w:val="00D23CAA"/>
    <w:rsid w:val="00D24A20"/>
    <w:rsid w:val="00D2502C"/>
    <w:rsid w:val="00D25D77"/>
    <w:rsid w:val="00D26029"/>
    <w:rsid w:val="00D26220"/>
    <w:rsid w:val="00D268A8"/>
    <w:rsid w:val="00D2699B"/>
    <w:rsid w:val="00D27B39"/>
    <w:rsid w:val="00D302B6"/>
    <w:rsid w:val="00D31063"/>
    <w:rsid w:val="00D31B31"/>
    <w:rsid w:val="00D33440"/>
    <w:rsid w:val="00D33690"/>
    <w:rsid w:val="00D33899"/>
    <w:rsid w:val="00D3484F"/>
    <w:rsid w:val="00D350D8"/>
    <w:rsid w:val="00D351B7"/>
    <w:rsid w:val="00D3541D"/>
    <w:rsid w:val="00D35438"/>
    <w:rsid w:val="00D365FA"/>
    <w:rsid w:val="00D37576"/>
    <w:rsid w:val="00D40111"/>
    <w:rsid w:val="00D40BEE"/>
    <w:rsid w:val="00D40CA8"/>
    <w:rsid w:val="00D40EA8"/>
    <w:rsid w:val="00D4131D"/>
    <w:rsid w:val="00D4156A"/>
    <w:rsid w:val="00D41ECF"/>
    <w:rsid w:val="00D42505"/>
    <w:rsid w:val="00D42EEE"/>
    <w:rsid w:val="00D43AAC"/>
    <w:rsid w:val="00D44068"/>
    <w:rsid w:val="00D44377"/>
    <w:rsid w:val="00D45572"/>
    <w:rsid w:val="00D46FB4"/>
    <w:rsid w:val="00D47B87"/>
    <w:rsid w:val="00D50146"/>
    <w:rsid w:val="00D5016C"/>
    <w:rsid w:val="00D50795"/>
    <w:rsid w:val="00D5096D"/>
    <w:rsid w:val="00D517C9"/>
    <w:rsid w:val="00D5199F"/>
    <w:rsid w:val="00D52F63"/>
    <w:rsid w:val="00D53F80"/>
    <w:rsid w:val="00D55285"/>
    <w:rsid w:val="00D553C9"/>
    <w:rsid w:val="00D562AF"/>
    <w:rsid w:val="00D5703E"/>
    <w:rsid w:val="00D60D78"/>
    <w:rsid w:val="00D61380"/>
    <w:rsid w:val="00D61C4B"/>
    <w:rsid w:val="00D6220D"/>
    <w:rsid w:val="00D62EFD"/>
    <w:rsid w:val="00D635E2"/>
    <w:rsid w:val="00D635FA"/>
    <w:rsid w:val="00D63BB7"/>
    <w:rsid w:val="00D63DE0"/>
    <w:rsid w:val="00D6416E"/>
    <w:rsid w:val="00D64243"/>
    <w:rsid w:val="00D66C8D"/>
    <w:rsid w:val="00D6716A"/>
    <w:rsid w:val="00D67D73"/>
    <w:rsid w:val="00D67FD5"/>
    <w:rsid w:val="00D67FEF"/>
    <w:rsid w:val="00D701FF"/>
    <w:rsid w:val="00D70E7C"/>
    <w:rsid w:val="00D70EAD"/>
    <w:rsid w:val="00D714BE"/>
    <w:rsid w:val="00D71DED"/>
    <w:rsid w:val="00D7237D"/>
    <w:rsid w:val="00D72925"/>
    <w:rsid w:val="00D72BAD"/>
    <w:rsid w:val="00D72BCA"/>
    <w:rsid w:val="00D737E6"/>
    <w:rsid w:val="00D73C06"/>
    <w:rsid w:val="00D74CC4"/>
    <w:rsid w:val="00D75227"/>
    <w:rsid w:val="00D75968"/>
    <w:rsid w:val="00D75C19"/>
    <w:rsid w:val="00D764F7"/>
    <w:rsid w:val="00D7749B"/>
    <w:rsid w:val="00D809A1"/>
    <w:rsid w:val="00D81196"/>
    <w:rsid w:val="00D81DFC"/>
    <w:rsid w:val="00D821BC"/>
    <w:rsid w:val="00D82A18"/>
    <w:rsid w:val="00D82C4E"/>
    <w:rsid w:val="00D82E1F"/>
    <w:rsid w:val="00D8328C"/>
    <w:rsid w:val="00D83528"/>
    <w:rsid w:val="00D83842"/>
    <w:rsid w:val="00D84367"/>
    <w:rsid w:val="00D85058"/>
    <w:rsid w:val="00D856D5"/>
    <w:rsid w:val="00D858CA"/>
    <w:rsid w:val="00D86624"/>
    <w:rsid w:val="00D86D2C"/>
    <w:rsid w:val="00D870A2"/>
    <w:rsid w:val="00D875AC"/>
    <w:rsid w:val="00D87B48"/>
    <w:rsid w:val="00D87F31"/>
    <w:rsid w:val="00D917E4"/>
    <w:rsid w:val="00D91AF4"/>
    <w:rsid w:val="00D91EC9"/>
    <w:rsid w:val="00D92155"/>
    <w:rsid w:val="00D9288A"/>
    <w:rsid w:val="00D9371B"/>
    <w:rsid w:val="00D93F7C"/>
    <w:rsid w:val="00D94041"/>
    <w:rsid w:val="00D95099"/>
    <w:rsid w:val="00D966EC"/>
    <w:rsid w:val="00D969FF"/>
    <w:rsid w:val="00D976D0"/>
    <w:rsid w:val="00D977D3"/>
    <w:rsid w:val="00D977F5"/>
    <w:rsid w:val="00D9798A"/>
    <w:rsid w:val="00D97EE8"/>
    <w:rsid w:val="00DA11B7"/>
    <w:rsid w:val="00DA1CC1"/>
    <w:rsid w:val="00DA1CC6"/>
    <w:rsid w:val="00DA301B"/>
    <w:rsid w:val="00DA551F"/>
    <w:rsid w:val="00DA5CAD"/>
    <w:rsid w:val="00DA6010"/>
    <w:rsid w:val="00DA6846"/>
    <w:rsid w:val="00DA7426"/>
    <w:rsid w:val="00DA7815"/>
    <w:rsid w:val="00DA7B10"/>
    <w:rsid w:val="00DB067A"/>
    <w:rsid w:val="00DB06FB"/>
    <w:rsid w:val="00DB119D"/>
    <w:rsid w:val="00DB1BEF"/>
    <w:rsid w:val="00DB1C45"/>
    <w:rsid w:val="00DB2DC2"/>
    <w:rsid w:val="00DB3345"/>
    <w:rsid w:val="00DB363B"/>
    <w:rsid w:val="00DB4367"/>
    <w:rsid w:val="00DB46AE"/>
    <w:rsid w:val="00DB4BCF"/>
    <w:rsid w:val="00DB4D69"/>
    <w:rsid w:val="00DB5BD0"/>
    <w:rsid w:val="00DB63A3"/>
    <w:rsid w:val="00DB6BAD"/>
    <w:rsid w:val="00DB70AD"/>
    <w:rsid w:val="00DC00EA"/>
    <w:rsid w:val="00DC14D1"/>
    <w:rsid w:val="00DC1F88"/>
    <w:rsid w:val="00DC21F3"/>
    <w:rsid w:val="00DC2294"/>
    <w:rsid w:val="00DC2AFB"/>
    <w:rsid w:val="00DC3575"/>
    <w:rsid w:val="00DC3AFE"/>
    <w:rsid w:val="00DC4775"/>
    <w:rsid w:val="00DC4AA8"/>
    <w:rsid w:val="00DC4D14"/>
    <w:rsid w:val="00DC54EE"/>
    <w:rsid w:val="00DC5F74"/>
    <w:rsid w:val="00DC6159"/>
    <w:rsid w:val="00DC6B55"/>
    <w:rsid w:val="00DC7237"/>
    <w:rsid w:val="00DC7D2F"/>
    <w:rsid w:val="00DD0260"/>
    <w:rsid w:val="00DD0D9C"/>
    <w:rsid w:val="00DD12DE"/>
    <w:rsid w:val="00DD1751"/>
    <w:rsid w:val="00DD1E0D"/>
    <w:rsid w:val="00DD1EA4"/>
    <w:rsid w:val="00DD2300"/>
    <w:rsid w:val="00DD2C0E"/>
    <w:rsid w:val="00DD2C3C"/>
    <w:rsid w:val="00DD31B8"/>
    <w:rsid w:val="00DD39BD"/>
    <w:rsid w:val="00DD3E7D"/>
    <w:rsid w:val="00DD45A3"/>
    <w:rsid w:val="00DD4C7C"/>
    <w:rsid w:val="00DD5350"/>
    <w:rsid w:val="00DD58BB"/>
    <w:rsid w:val="00DD58FF"/>
    <w:rsid w:val="00DD6462"/>
    <w:rsid w:val="00DD6F2F"/>
    <w:rsid w:val="00DD70B7"/>
    <w:rsid w:val="00DD72F0"/>
    <w:rsid w:val="00DD7388"/>
    <w:rsid w:val="00DD75A5"/>
    <w:rsid w:val="00DD786A"/>
    <w:rsid w:val="00DE0367"/>
    <w:rsid w:val="00DE08B7"/>
    <w:rsid w:val="00DE13A8"/>
    <w:rsid w:val="00DE1F48"/>
    <w:rsid w:val="00DE2872"/>
    <w:rsid w:val="00DE2A97"/>
    <w:rsid w:val="00DE348E"/>
    <w:rsid w:val="00DE3BBB"/>
    <w:rsid w:val="00DE4000"/>
    <w:rsid w:val="00DE5386"/>
    <w:rsid w:val="00DE5601"/>
    <w:rsid w:val="00DE57C7"/>
    <w:rsid w:val="00DE5F37"/>
    <w:rsid w:val="00DE6902"/>
    <w:rsid w:val="00DE7F8C"/>
    <w:rsid w:val="00DF019B"/>
    <w:rsid w:val="00DF032C"/>
    <w:rsid w:val="00DF0448"/>
    <w:rsid w:val="00DF1515"/>
    <w:rsid w:val="00DF1F34"/>
    <w:rsid w:val="00DF2347"/>
    <w:rsid w:val="00DF3053"/>
    <w:rsid w:val="00DF452D"/>
    <w:rsid w:val="00DF455D"/>
    <w:rsid w:val="00DF620A"/>
    <w:rsid w:val="00DF76FA"/>
    <w:rsid w:val="00DF7FC9"/>
    <w:rsid w:val="00E016A3"/>
    <w:rsid w:val="00E021E3"/>
    <w:rsid w:val="00E0296C"/>
    <w:rsid w:val="00E03282"/>
    <w:rsid w:val="00E038B8"/>
    <w:rsid w:val="00E03FA7"/>
    <w:rsid w:val="00E0606E"/>
    <w:rsid w:val="00E0658D"/>
    <w:rsid w:val="00E06C3E"/>
    <w:rsid w:val="00E06D69"/>
    <w:rsid w:val="00E072F0"/>
    <w:rsid w:val="00E07401"/>
    <w:rsid w:val="00E078B0"/>
    <w:rsid w:val="00E07A5E"/>
    <w:rsid w:val="00E10700"/>
    <w:rsid w:val="00E11AF5"/>
    <w:rsid w:val="00E11DCE"/>
    <w:rsid w:val="00E12177"/>
    <w:rsid w:val="00E12EE7"/>
    <w:rsid w:val="00E13238"/>
    <w:rsid w:val="00E13B09"/>
    <w:rsid w:val="00E1422A"/>
    <w:rsid w:val="00E14446"/>
    <w:rsid w:val="00E14976"/>
    <w:rsid w:val="00E1534C"/>
    <w:rsid w:val="00E163AE"/>
    <w:rsid w:val="00E16D71"/>
    <w:rsid w:val="00E171C5"/>
    <w:rsid w:val="00E17C57"/>
    <w:rsid w:val="00E17FC7"/>
    <w:rsid w:val="00E207A3"/>
    <w:rsid w:val="00E20A60"/>
    <w:rsid w:val="00E21328"/>
    <w:rsid w:val="00E21695"/>
    <w:rsid w:val="00E218EF"/>
    <w:rsid w:val="00E219F0"/>
    <w:rsid w:val="00E21AA6"/>
    <w:rsid w:val="00E24BEA"/>
    <w:rsid w:val="00E24F0C"/>
    <w:rsid w:val="00E25E61"/>
    <w:rsid w:val="00E26263"/>
    <w:rsid w:val="00E263F7"/>
    <w:rsid w:val="00E26833"/>
    <w:rsid w:val="00E26DAA"/>
    <w:rsid w:val="00E2750D"/>
    <w:rsid w:val="00E31D03"/>
    <w:rsid w:val="00E336B7"/>
    <w:rsid w:val="00E345AC"/>
    <w:rsid w:val="00E348DD"/>
    <w:rsid w:val="00E34F9F"/>
    <w:rsid w:val="00E35334"/>
    <w:rsid w:val="00E357DF"/>
    <w:rsid w:val="00E35B86"/>
    <w:rsid w:val="00E3630F"/>
    <w:rsid w:val="00E36AAF"/>
    <w:rsid w:val="00E37C8D"/>
    <w:rsid w:val="00E402AA"/>
    <w:rsid w:val="00E407D3"/>
    <w:rsid w:val="00E41024"/>
    <w:rsid w:val="00E41495"/>
    <w:rsid w:val="00E41EFA"/>
    <w:rsid w:val="00E426B2"/>
    <w:rsid w:val="00E4358D"/>
    <w:rsid w:val="00E43DFE"/>
    <w:rsid w:val="00E4421D"/>
    <w:rsid w:val="00E44D39"/>
    <w:rsid w:val="00E45B89"/>
    <w:rsid w:val="00E45BC1"/>
    <w:rsid w:val="00E4600E"/>
    <w:rsid w:val="00E46819"/>
    <w:rsid w:val="00E47AA5"/>
    <w:rsid w:val="00E47EBC"/>
    <w:rsid w:val="00E5393D"/>
    <w:rsid w:val="00E53AA8"/>
    <w:rsid w:val="00E542C1"/>
    <w:rsid w:val="00E54DAE"/>
    <w:rsid w:val="00E579E6"/>
    <w:rsid w:val="00E57FF9"/>
    <w:rsid w:val="00E60608"/>
    <w:rsid w:val="00E60F2D"/>
    <w:rsid w:val="00E6124D"/>
    <w:rsid w:val="00E61423"/>
    <w:rsid w:val="00E6186D"/>
    <w:rsid w:val="00E61D7E"/>
    <w:rsid w:val="00E63D32"/>
    <w:rsid w:val="00E642F2"/>
    <w:rsid w:val="00E64ABB"/>
    <w:rsid w:val="00E6537E"/>
    <w:rsid w:val="00E65BA6"/>
    <w:rsid w:val="00E66BBE"/>
    <w:rsid w:val="00E67E02"/>
    <w:rsid w:val="00E71402"/>
    <w:rsid w:val="00E725B3"/>
    <w:rsid w:val="00E72EE6"/>
    <w:rsid w:val="00E734B3"/>
    <w:rsid w:val="00E75BE1"/>
    <w:rsid w:val="00E75E9A"/>
    <w:rsid w:val="00E75F31"/>
    <w:rsid w:val="00E76434"/>
    <w:rsid w:val="00E76777"/>
    <w:rsid w:val="00E771B6"/>
    <w:rsid w:val="00E776C1"/>
    <w:rsid w:val="00E77C16"/>
    <w:rsid w:val="00E77FD4"/>
    <w:rsid w:val="00E80011"/>
    <w:rsid w:val="00E805D5"/>
    <w:rsid w:val="00E815EA"/>
    <w:rsid w:val="00E8167E"/>
    <w:rsid w:val="00E81F0F"/>
    <w:rsid w:val="00E822A2"/>
    <w:rsid w:val="00E827E3"/>
    <w:rsid w:val="00E838A9"/>
    <w:rsid w:val="00E8472B"/>
    <w:rsid w:val="00E85530"/>
    <w:rsid w:val="00E8774D"/>
    <w:rsid w:val="00E87B95"/>
    <w:rsid w:val="00E9024C"/>
    <w:rsid w:val="00E908EF"/>
    <w:rsid w:val="00E91917"/>
    <w:rsid w:val="00E91A7F"/>
    <w:rsid w:val="00E91BC7"/>
    <w:rsid w:val="00E92283"/>
    <w:rsid w:val="00E92A25"/>
    <w:rsid w:val="00E933E4"/>
    <w:rsid w:val="00E93401"/>
    <w:rsid w:val="00E93830"/>
    <w:rsid w:val="00E9389B"/>
    <w:rsid w:val="00E939B3"/>
    <w:rsid w:val="00E939B7"/>
    <w:rsid w:val="00E93D29"/>
    <w:rsid w:val="00E93ED5"/>
    <w:rsid w:val="00E942FF"/>
    <w:rsid w:val="00E94488"/>
    <w:rsid w:val="00E95A3F"/>
    <w:rsid w:val="00E95EE9"/>
    <w:rsid w:val="00E97A7A"/>
    <w:rsid w:val="00EA044E"/>
    <w:rsid w:val="00EA145C"/>
    <w:rsid w:val="00EA1ABB"/>
    <w:rsid w:val="00EA255F"/>
    <w:rsid w:val="00EA2565"/>
    <w:rsid w:val="00EA34DA"/>
    <w:rsid w:val="00EA5626"/>
    <w:rsid w:val="00EA5C2E"/>
    <w:rsid w:val="00EB0863"/>
    <w:rsid w:val="00EB0F27"/>
    <w:rsid w:val="00EB176A"/>
    <w:rsid w:val="00EB1C9F"/>
    <w:rsid w:val="00EB255C"/>
    <w:rsid w:val="00EB3012"/>
    <w:rsid w:val="00EB343F"/>
    <w:rsid w:val="00EB3543"/>
    <w:rsid w:val="00EB374B"/>
    <w:rsid w:val="00EB457A"/>
    <w:rsid w:val="00EB4DC6"/>
    <w:rsid w:val="00EB582E"/>
    <w:rsid w:val="00EB62B6"/>
    <w:rsid w:val="00EC042B"/>
    <w:rsid w:val="00EC0EE1"/>
    <w:rsid w:val="00EC1A30"/>
    <w:rsid w:val="00EC26FC"/>
    <w:rsid w:val="00EC2809"/>
    <w:rsid w:val="00EC2D20"/>
    <w:rsid w:val="00EC3CEA"/>
    <w:rsid w:val="00EC6024"/>
    <w:rsid w:val="00EC6EA4"/>
    <w:rsid w:val="00ED02BE"/>
    <w:rsid w:val="00ED042A"/>
    <w:rsid w:val="00ED13D0"/>
    <w:rsid w:val="00ED1EAE"/>
    <w:rsid w:val="00ED35FA"/>
    <w:rsid w:val="00ED3D1A"/>
    <w:rsid w:val="00ED50F7"/>
    <w:rsid w:val="00ED518A"/>
    <w:rsid w:val="00ED537E"/>
    <w:rsid w:val="00ED6923"/>
    <w:rsid w:val="00ED6BBC"/>
    <w:rsid w:val="00ED71A6"/>
    <w:rsid w:val="00ED7302"/>
    <w:rsid w:val="00ED7E06"/>
    <w:rsid w:val="00EE0265"/>
    <w:rsid w:val="00EE03EB"/>
    <w:rsid w:val="00EE04A2"/>
    <w:rsid w:val="00EE0ADD"/>
    <w:rsid w:val="00EE1A9E"/>
    <w:rsid w:val="00EE1CD7"/>
    <w:rsid w:val="00EE20CB"/>
    <w:rsid w:val="00EE2106"/>
    <w:rsid w:val="00EE21CA"/>
    <w:rsid w:val="00EE26BA"/>
    <w:rsid w:val="00EE26C4"/>
    <w:rsid w:val="00EE3B15"/>
    <w:rsid w:val="00EE409D"/>
    <w:rsid w:val="00EE43C1"/>
    <w:rsid w:val="00EE4CA7"/>
    <w:rsid w:val="00EE5049"/>
    <w:rsid w:val="00EE529C"/>
    <w:rsid w:val="00EE5C8C"/>
    <w:rsid w:val="00EE65F8"/>
    <w:rsid w:val="00EE7832"/>
    <w:rsid w:val="00EE7AE2"/>
    <w:rsid w:val="00EF1019"/>
    <w:rsid w:val="00EF2D3B"/>
    <w:rsid w:val="00EF351C"/>
    <w:rsid w:val="00EF3635"/>
    <w:rsid w:val="00EF463E"/>
    <w:rsid w:val="00EF4921"/>
    <w:rsid w:val="00EF4AE5"/>
    <w:rsid w:val="00EF60F4"/>
    <w:rsid w:val="00EF6214"/>
    <w:rsid w:val="00EF6393"/>
    <w:rsid w:val="00EF6503"/>
    <w:rsid w:val="00EF6DC4"/>
    <w:rsid w:val="00EF6DE1"/>
    <w:rsid w:val="00EF756C"/>
    <w:rsid w:val="00F00319"/>
    <w:rsid w:val="00F005D2"/>
    <w:rsid w:val="00F00653"/>
    <w:rsid w:val="00F007CC"/>
    <w:rsid w:val="00F00817"/>
    <w:rsid w:val="00F008A3"/>
    <w:rsid w:val="00F0167D"/>
    <w:rsid w:val="00F02E02"/>
    <w:rsid w:val="00F03E53"/>
    <w:rsid w:val="00F04493"/>
    <w:rsid w:val="00F047D1"/>
    <w:rsid w:val="00F04ADF"/>
    <w:rsid w:val="00F05F47"/>
    <w:rsid w:val="00F05FB5"/>
    <w:rsid w:val="00F06079"/>
    <w:rsid w:val="00F06542"/>
    <w:rsid w:val="00F0716D"/>
    <w:rsid w:val="00F1158D"/>
    <w:rsid w:val="00F11ED4"/>
    <w:rsid w:val="00F1257C"/>
    <w:rsid w:val="00F1263C"/>
    <w:rsid w:val="00F12A0F"/>
    <w:rsid w:val="00F130B3"/>
    <w:rsid w:val="00F13EBF"/>
    <w:rsid w:val="00F14870"/>
    <w:rsid w:val="00F16239"/>
    <w:rsid w:val="00F1632D"/>
    <w:rsid w:val="00F16B7D"/>
    <w:rsid w:val="00F17645"/>
    <w:rsid w:val="00F2007C"/>
    <w:rsid w:val="00F214DC"/>
    <w:rsid w:val="00F21CDA"/>
    <w:rsid w:val="00F22E63"/>
    <w:rsid w:val="00F23554"/>
    <w:rsid w:val="00F23A66"/>
    <w:rsid w:val="00F23CD6"/>
    <w:rsid w:val="00F24036"/>
    <w:rsid w:val="00F24251"/>
    <w:rsid w:val="00F24983"/>
    <w:rsid w:val="00F25903"/>
    <w:rsid w:val="00F25F53"/>
    <w:rsid w:val="00F261BC"/>
    <w:rsid w:val="00F2631A"/>
    <w:rsid w:val="00F264EF"/>
    <w:rsid w:val="00F270E9"/>
    <w:rsid w:val="00F27E18"/>
    <w:rsid w:val="00F30720"/>
    <w:rsid w:val="00F31438"/>
    <w:rsid w:val="00F3164C"/>
    <w:rsid w:val="00F325CB"/>
    <w:rsid w:val="00F32972"/>
    <w:rsid w:val="00F32A5D"/>
    <w:rsid w:val="00F33D98"/>
    <w:rsid w:val="00F34254"/>
    <w:rsid w:val="00F349F5"/>
    <w:rsid w:val="00F34ED9"/>
    <w:rsid w:val="00F3580A"/>
    <w:rsid w:val="00F36CAF"/>
    <w:rsid w:val="00F372CD"/>
    <w:rsid w:val="00F37923"/>
    <w:rsid w:val="00F409D5"/>
    <w:rsid w:val="00F4104D"/>
    <w:rsid w:val="00F41C42"/>
    <w:rsid w:val="00F422AA"/>
    <w:rsid w:val="00F428C6"/>
    <w:rsid w:val="00F43328"/>
    <w:rsid w:val="00F43783"/>
    <w:rsid w:val="00F4435F"/>
    <w:rsid w:val="00F44EA5"/>
    <w:rsid w:val="00F4506B"/>
    <w:rsid w:val="00F45452"/>
    <w:rsid w:val="00F454CA"/>
    <w:rsid w:val="00F462D2"/>
    <w:rsid w:val="00F4631B"/>
    <w:rsid w:val="00F4642C"/>
    <w:rsid w:val="00F46D46"/>
    <w:rsid w:val="00F478FF"/>
    <w:rsid w:val="00F50ED6"/>
    <w:rsid w:val="00F51536"/>
    <w:rsid w:val="00F51E9E"/>
    <w:rsid w:val="00F529CF"/>
    <w:rsid w:val="00F537CE"/>
    <w:rsid w:val="00F53D59"/>
    <w:rsid w:val="00F54C7B"/>
    <w:rsid w:val="00F55FE9"/>
    <w:rsid w:val="00F56103"/>
    <w:rsid w:val="00F57680"/>
    <w:rsid w:val="00F600CB"/>
    <w:rsid w:val="00F60208"/>
    <w:rsid w:val="00F60784"/>
    <w:rsid w:val="00F60944"/>
    <w:rsid w:val="00F60FC9"/>
    <w:rsid w:val="00F61E64"/>
    <w:rsid w:val="00F620C1"/>
    <w:rsid w:val="00F6214E"/>
    <w:rsid w:val="00F62353"/>
    <w:rsid w:val="00F623DA"/>
    <w:rsid w:val="00F62A4F"/>
    <w:rsid w:val="00F62AE4"/>
    <w:rsid w:val="00F62F84"/>
    <w:rsid w:val="00F6429F"/>
    <w:rsid w:val="00F647BA"/>
    <w:rsid w:val="00F6572E"/>
    <w:rsid w:val="00F65F7A"/>
    <w:rsid w:val="00F66215"/>
    <w:rsid w:val="00F664A8"/>
    <w:rsid w:val="00F66E7A"/>
    <w:rsid w:val="00F70048"/>
    <w:rsid w:val="00F705BE"/>
    <w:rsid w:val="00F70A28"/>
    <w:rsid w:val="00F70D65"/>
    <w:rsid w:val="00F72984"/>
    <w:rsid w:val="00F7330C"/>
    <w:rsid w:val="00F737EB"/>
    <w:rsid w:val="00F73944"/>
    <w:rsid w:val="00F73C06"/>
    <w:rsid w:val="00F74CFD"/>
    <w:rsid w:val="00F7530C"/>
    <w:rsid w:val="00F764F1"/>
    <w:rsid w:val="00F805C2"/>
    <w:rsid w:val="00F81467"/>
    <w:rsid w:val="00F81BB4"/>
    <w:rsid w:val="00F82AF7"/>
    <w:rsid w:val="00F82F56"/>
    <w:rsid w:val="00F83985"/>
    <w:rsid w:val="00F84618"/>
    <w:rsid w:val="00F8490A"/>
    <w:rsid w:val="00F85E3C"/>
    <w:rsid w:val="00F873B2"/>
    <w:rsid w:val="00F87A95"/>
    <w:rsid w:val="00F87E65"/>
    <w:rsid w:val="00F87EAC"/>
    <w:rsid w:val="00F9191A"/>
    <w:rsid w:val="00F91F37"/>
    <w:rsid w:val="00F92E00"/>
    <w:rsid w:val="00F9340C"/>
    <w:rsid w:val="00F93851"/>
    <w:rsid w:val="00F93FEB"/>
    <w:rsid w:val="00F95375"/>
    <w:rsid w:val="00F956EA"/>
    <w:rsid w:val="00F9597E"/>
    <w:rsid w:val="00F95AE5"/>
    <w:rsid w:val="00F95FB8"/>
    <w:rsid w:val="00F965BF"/>
    <w:rsid w:val="00F978A9"/>
    <w:rsid w:val="00F97964"/>
    <w:rsid w:val="00FA024E"/>
    <w:rsid w:val="00FA0827"/>
    <w:rsid w:val="00FA19C2"/>
    <w:rsid w:val="00FA3D8B"/>
    <w:rsid w:val="00FA4456"/>
    <w:rsid w:val="00FA446C"/>
    <w:rsid w:val="00FA58B4"/>
    <w:rsid w:val="00FA5F1E"/>
    <w:rsid w:val="00FA61B9"/>
    <w:rsid w:val="00FA649D"/>
    <w:rsid w:val="00FA77B7"/>
    <w:rsid w:val="00FA7BD2"/>
    <w:rsid w:val="00FB091A"/>
    <w:rsid w:val="00FB0FAD"/>
    <w:rsid w:val="00FB1EAD"/>
    <w:rsid w:val="00FB2298"/>
    <w:rsid w:val="00FB301B"/>
    <w:rsid w:val="00FB3BCD"/>
    <w:rsid w:val="00FB3EED"/>
    <w:rsid w:val="00FB3F8C"/>
    <w:rsid w:val="00FB41B1"/>
    <w:rsid w:val="00FB45EE"/>
    <w:rsid w:val="00FB4F6C"/>
    <w:rsid w:val="00FB5400"/>
    <w:rsid w:val="00FB5A45"/>
    <w:rsid w:val="00FB5CA3"/>
    <w:rsid w:val="00FB600F"/>
    <w:rsid w:val="00FB6217"/>
    <w:rsid w:val="00FB7EEE"/>
    <w:rsid w:val="00FC1905"/>
    <w:rsid w:val="00FC19D2"/>
    <w:rsid w:val="00FC1A8C"/>
    <w:rsid w:val="00FC1B0F"/>
    <w:rsid w:val="00FC1E76"/>
    <w:rsid w:val="00FC1FC7"/>
    <w:rsid w:val="00FC2C5E"/>
    <w:rsid w:val="00FC2DA8"/>
    <w:rsid w:val="00FC2FE4"/>
    <w:rsid w:val="00FC396E"/>
    <w:rsid w:val="00FC3C40"/>
    <w:rsid w:val="00FC6309"/>
    <w:rsid w:val="00FC64AF"/>
    <w:rsid w:val="00FC6B80"/>
    <w:rsid w:val="00FD05E2"/>
    <w:rsid w:val="00FD174F"/>
    <w:rsid w:val="00FD176D"/>
    <w:rsid w:val="00FD18C1"/>
    <w:rsid w:val="00FD1ECB"/>
    <w:rsid w:val="00FD24B6"/>
    <w:rsid w:val="00FD377F"/>
    <w:rsid w:val="00FD3C13"/>
    <w:rsid w:val="00FD5458"/>
    <w:rsid w:val="00FD5B66"/>
    <w:rsid w:val="00FD5C34"/>
    <w:rsid w:val="00FD6448"/>
    <w:rsid w:val="00FD6707"/>
    <w:rsid w:val="00FD73AE"/>
    <w:rsid w:val="00FE05F2"/>
    <w:rsid w:val="00FE084A"/>
    <w:rsid w:val="00FE1521"/>
    <w:rsid w:val="00FE17CF"/>
    <w:rsid w:val="00FE2C2F"/>
    <w:rsid w:val="00FE2DB4"/>
    <w:rsid w:val="00FE39FF"/>
    <w:rsid w:val="00FE4572"/>
    <w:rsid w:val="00FE573B"/>
    <w:rsid w:val="00FE5AC1"/>
    <w:rsid w:val="00FE6735"/>
    <w:rsid w:val="00FE6F16"/>
    <w:rsid w:val="00FE7A8E"/>
    <w:rsid w:val="00FE7D3C"/>
    <w:rsid w:val="00FF0152"/>
    <w:rsid w:val="00FF1013"/>
    <w:rsid w:val="00FF17FF"/>
    <w:rsid w:val="00FF1DBB"/>
    <w:rsid w:val="00FF201D"/>
    <w:rsid w:val="00FF20B2"/>
    <w:rsid w:val="00FF215D"/>
    <w:rsid w:val="00FF2718"/>
    <w:rsid w:val="00FF28CF"/>
    <w:rsid w:val="00FF2B16"/>
    <w:rsid w:val="00FF2FD1"/>
    <w:rsid w:val="00FF401B"/>
    <w:rsid w:val="00FF4112"/>
    <w:rsid w:val="00FF55C7"/>
    <w:rsid w:val="00FF6102"/>
    <w:rsid w:val="00FF61DA"/>
    <w:rsid w:val="00FF6256"/>
    <w:rsid w:val="00FF655F"/>
    <w:rsid w:val="00FF6565"/>
    <w:rsid w:val="045AFEAA"/>
    <w:rsid w:val="16F70D54"/>
    <w:rsid w:val="21E2BFE8"/>
    <w:rsid w:val="37A757AE"/>
    <w:rsid w:val="4407E268"/>
    <w:rsid w:val="5A77521A"/>
    <w:rsid w:val="5E334461"/>
    <w:rsid w:val="5F6B89A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339827B0"/>
  <w15:docId w15:val="{7A021E27-24DA-4E0F-B53F-3B820793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4A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5563D"/>
    <w:pPr>
      <w:keepNext/>
      <w:jc w:val="both"/>
      <w:outlineLvl w:val="0"/>
    </w:pPr>
    <w:rPr>
      <w:rFonts w:ascii="PA-SansSerif" w:hAnsi="PA-SansSerif"/>
      <w:b/>
      <w:sz w:val="22"/>
      <w:u w:val="single"/>
    </w:rPr>
  </w:style>
  <w:style w:type="paragraph" w:styleId="Heading2">
    <w:name w:val="heading 2"/>
    <w:basedOn w:val="Normal"/>
    <w:next w:val="Normal"/>
    <w:link w:val="Heading2Char"/>
    <w:qFormat/>
    <w:rsid w:val="0045563D"/>
    <w:pPr>
      <w:keepNext/>
      <w:outlineLvl w:val="1"/>
    </w:pPr>
    <w:rPr>
      <w:b/>
      <w:bCs/>
      <w:szCs w:val="20"/>
    </w:rPr>
  </w:style>
  <w:style w:type="paragraph" w:styleId="Heading3">
    <w:name w:val="heading 3"/>
    <w:basedOn w:val="Normal"/>
    <w:next w:val="Normal"/>
    <w:link w:val="Heading3Char"/>
    <w:qFormat/>
    <w:rsid w:val="0045563D"/>
    <w:pPr>
      <w:keepNext/>
      <w:outlineLvl w:val="2"/>
    </w:pPr>
    <w:rPr>
      <w:b/>
      <w:sz w:val="22"/>
      <w:szCs w:val="20"/>
      <w:u w:val="single"/>
    </w:rPr>
  </w:style>
  <w:style w:type="paragraph" w:styleId="Heading4">
    <w:name w:val="heading 4"/>
    <w:basedOn w:val="Normal"/>
    <w:next w:val="Normal"/>
    <w:link w:val="Heading4Char"/>
    <w:qFormat/>
    <w:rsid w:val="0045563D"/>
    <w:pPr>
      <w:keepNext/>
      <w:outlineLvl w:val="3"/>
    </w:pPr>
    <w:rPr>
      <w:b/>
      <w:bCs/>
      <w:sz w:val="28"/>
      <w:szCs w:val="20"/>
    </w:rPr>
  </w:style>
  <w:style w:type="paragraph" w:styleId="Heading5">
    <w:name w:val="heading 5"/>
    <w:basedOn w:val="Normal"/>
    <w:next w:val="Normal"/>
    <w:link w:val="Heading5Char"/>
    <w:qFormat/>
    <w:rsid w:val="0045563D"/>
    <w:pPr>
      <w:keepNext/>
      <w:outlineLvl w:val="4"/>
    </w:pPr>
    <w:rPr>
      <w:b/>
      <w:bCs/>
      <w:sz w:val="20"/>
      <w:szCs w:val="20"/>
      <w:u w:val="single"/>
    </w:rPr>
  </w:style>
  <w:style w:type="paragraph" w:styleId="Heading6">
    <w:name w:val="heading 6"/>
    <w:basedOn w:val="Normal"/>
    <w:next w:val="Normal"/>
    <w:link w:val="Heading6Char"/>
    <w:qFormat/>
    <w:rsid w:val="0045563D"/>
    <w:pPr>
      <w:keepNext/>
      <w:jc w:val="center"/>
      <w:outlineLvl w:val="5"/>
    </w:pPr>
    <w:rPr>
      <w:b/>
      <w:bCs/>
      <w:sz w:val="28"/>
      <w:szCs w:val="20"/>
    </w:rPr>
  </w:style>
  <w:style w:type="paragraph" w:styleId="Heading7">
    <w:name w:val="heading 7"/>
    <w:basedOn w:val="Normal"/>
    <w:next w:val="Normal"/>
    <w:link w:val="Heading7Char"/>
    <w:uiPriority w:val="99"/>
    <w:qFormat/>
    <w:rsid w:val="0045563D"/>
    <w:pPr>
      <w:keepNext/>
      <w:jc w:val="both"/>
      <w:outlineLvl w:val="6"/>
    </w:pPr>
    <w:rPr>
      <w:rFonts w:ascii="PA-SansSerif" w:hAnsi="PA-SansSerif"/>
      <w:b/>
      <w:bCs/>
      <w:sz w:val="22"/>
    </w:rPr>
  </w:style>
  <w:style w:type="paragraph" w:styleId="Heading8">
    <w:name w:val="heading 8"/>
    <w:basedOn w:val="Normal"/>
    <w:next w:val="Normal"/>
    <w:link w:val="Heading8Char"/>
    <w:uiPriority w:val="99"/>
    <w:qFormat/>
    <w:rsid w:val="0045563D"/>
    <w:pPr>
      <w:keepNext/>
      <w:jc w:val="both"/>
      <w:outlineLvl w:val="7"/>
    </w:pPr>
    <w:rPr>
      <w:rFonts w:ascii="PA-SansSerif" w:hAnsi="PA-SansSerif"/>
      <w:b/>
      <w:sz w:val="22"/>
      <w:u w:val="double" w:color="000000"/>
    </w:rPr>
  </w:style>
  <w:style w:type="paragraph" w:styleId="Heading9">
    <w:name w:val="heading 9"/>
    <w:basedOn w:val="Normal"/>
    <w:next w:val="Normal"/>
    <w:link w:val="Heading9Char"/>
    <w:uiPriority w:val="99"/>
    <w:qFormat/>
    <w:rsid w:val="0045563D"/>
    <w:pPr>
      <w:keepNext/>
      <w:jc w:val="both"/>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63D"/>
    <w:rPr>
      <w:rFonts w:ascii="PA-SansSerif" w:eastAsia="Times New Roman" w:hAnsi="PA-SansSerif" w:cs="Times New Roman"/>
      <w:b/>
      <w:szCs w:val="24"/>
      <w:u w:val="single"/>
    </w:rPr>
  </w:style>
  <w:style w:type="character" w:customStyle="1" w:styleId="Heading2Char">
    <w:name w:val="Heading 2 Char"/>
    <w:basedOn w:val="DefaultParagraphFont"/>
    <w:link w:val="Heading2"/>
    <w:rsid w:val="0045563D"/>
    <w:rPr>
      <w:rFonts w:ascii="Arial" w:eastAsia="Times New Roman" w:hAnsi="Arial" w:cs="Times New Roman"/>
      <w:b/>
      <w:bCs/>
      <w:sz w:val="24"/>
      <w:szCs w:val="20"/>
    </w:rPr>
  </w:style>
  <w:style w:type="character" w:customStyle="1" w:styleId="Heading3Char">
    <w:name w:val="Heading 3 Char"/>
    <w:basedOn w:val="DefaultParagraphFont"/>
    <w:link w:val="Heading3"/>
    <w:rsid w:val="0045563D"/>
    <w:rPr>
      <w:rFonts w:ascii="Arial" w:eastAsia="Times New Roman" w:hAnsi="Arial" w:cs="Times New Roman"/>
      <w:b/>
      <w:szCs w:val="20"/>
      <w:u w:val="single"/>
    </w:rPr>
  </w:style>
  <w:style w:type="character" w:customStyle="1" w:styleId="Heading4Char">
    <w:name w:val="Heading 4 Char"/>
    <w:basedOn w:val="DefaultParagraphFont"/>
    <w:link w:val="Heading4"/>
    <w:rsid w:val="0045563D"/>
    <w:rPr>
      <w:rFonts w:ascii="Arial" w:eastAsia="Times New Roman" w:hAnsi="Arial" w:cs="Times New Roman"/>
      <w:b/>
      <w:bCs/>
      <w:sz w:val="28"/>
      <w:szCs w:val="20"/>
    </w:rPr>
  </w:style>
  <w:style w:type="character" w:customStyle="1" w:styleId="Heading5Char">
    <w:name w:val="Heading 5 Char"/>
    <w:basedOn w:val="DefaultParagraphFont"/>
    <w:link w:val="Heading5"/>
    <w:rsid w:val="0045563D"/>
    <w:rPr>
      <w:rFonts w:ascii="Arial" w:eastAsia="Times New Roman" w:hAnsi="Arial" w:cs="Times New Roman"/>
      <w:b/>
      <w:bCs/>
      <w:sz w:val="20"/>
      <w:szCs w:val="20"/>
      <w:u w:val="single"/>
    </w:rPr>
  </w:style>
  <w:style w:type="character" w:customStyle="1" w:styleId="Heading6Char">
    <w:name w:val="Heading 6 Char"/>
    <w:basedOn w:val="DefaultParagraphFont"/>
    <w:link w:val="Heading6"/>
    <w:rsid w:val="0045563D"/>
    <w:rPr>
      <w:rFonts w:ascii="Arial" w:eastAsia="Times New Roman" w:hAnsi="Arial" w:cs="Times New Roman"/>
      <w:b/>
      <w:bCs/>
      <w:sz w:val="28"/>
      <w:szCs w:val="20"/>
    </w:rPr>
  </w:style>
  <w:style w:type="character" w:customStyle="1" w:styleId="Heading7Char">
    <w:name w:val="Heading 7 Char"/>
    <w:basedOn w:val="DefaultParagraphFont"/>
    <w:link w:val="Heading7"/>
    <w:uiPriority w:val="99"/>
    <w:rsid w:val="0045563D"/>
    <w:rPr>
      <w:rFonts w:ascii="PA-SansSerif" w:eastAsia="Times New Roman" w:hAnsi="PA-SansSerif" w:cs="Times New Roman"/>
      <w:b/>
      <w:bCs/>
      <w:szCs w:val="24"/>
    </w:rPr>
  </w:style>
  <w:style w:type="character" w:customStyle="1" w:styleId="Heading8Char">
    <w:name w:val="Heading 8 Char"/>
    <w:basedOn w:val="DefaultParagraphFont"/>
    <w:link w:val="Heading8"/>
    <w:uiPriority w:val="99"/>
    <w:rsid w:val="0045563D"/>
    <w:rPr>
      <w:rFonts w:ascii="PA-SansSerif" w:eastAsia="Times New Roman" w:hAnsi="PA-SansSerif" w:cs="Times New Roman"/>
      <w:b/>
      <w:szCs w:val="24"/>
      <w:u w:val="double" w:color="000000"/>
    </w:rPr>
  </w:style>
  <w:style w:type="character" w:customStyle="1" w:styleId="Heading9Char">
    <w:name w:val="Heading 9 Char"/>
    <w:basedOn w:val="DefaultParagraphFont"/>
    <w:link w:val="Heading9"/>
    <w:uiPriority w:val="99"/>
    <w:rsid w:val="0045563D"/>
    <w:rPr>
      <w:rFonts w:ascii="Arial" w:eastAsia="Times New Roman" w:hAnsi="Arial" w:cs="Arial"/>
      <w:szCs w:val="24"/>
    </w:rPr>
  </w:style>
  <w:style w:type="paragraph" w:styleId="Title">
    <w:name w:val="Title"/>
    <w:basedOn w:val="Normal"/>
    <w:link w:val="TitleChar"/>
    <w:uiPriority w:val="99"/>
    <w:qFormat/>
    <w:rsid w:val="0045563D"/>
    <w:pPr>
      <w:jc w:val="center"/>
    </w:pPr>
    <w:rPr>
      <w:b/>
      <w:sz w:val="28"/>
      <w:szCs w:val="20"/>
      <w:u w:val="single"/>
      <w:lang w:val="en-AU"/>
    </w:rPr>
  </w:style>
  <w:style w:type="character" w:customStyle="1" w:styleId="TitleChar">
    <w:name w:val="Title Char"/>
    <w:basedOn w:val="DefaultParagraphFont"/>
    <w:link w:val="Title"/>
    <w:uiPriority w:val="99"/>
    <w:rsid w:val="0045563D"/>
    <w:rPr>
      <w:rFonts w:ascii="Arial" w:eastAsia="Times New Roman" w:hAnsi="Arial" w:cs="Times New Roman"/>
      <w:b/>
      <w:sz w:val="28"/>
      <w:szCs w:val="20"/>
      <w:u w:val="single"/>
      <w:lang w:val="en-AU"/>
    </w:rPr>
  </w:style>
  <w:style w:type="paragraph" w:styleId="BodyTextIndent">
    <w:name w:val="Body Text Indent"/>
    <w:basedOn w:val="Normal"/>
    <w:link w:val="BodyTextIndentChar"/>
    <w:uiPriority w:val="99"/>
    <w:rsid w:val="0045563D"/>
    <w:pPr>
      <w:ind w:left="709" w:hanging="709"/>
    </w:pPr>
    <w:rPr>
      <w:sz w:val="22"/>
      <w:szCs w:val="20"/>
    </w:rPr>
  </w:style>
  <w:style w:type="character" w:customStyle="1" w:styleId="BodyTextIndentChar">
    <w:name w:val="Body Text Indent Char"/>
    <w:basedOn w:val="DefaultParagraphFont"/>
    <w:link w:val="BodyTextIndent"/>
    <w:uiPriority w:val="99"/>
    <w:rsid w:val="0045563D"/>
    <w:rPr>
      <w:rFonts w:ascii="Arial" w:eastAsia="Times New Roman" w:hAnsi="Arial" w:cs="Times New Roman"/>
      <w:szCs w:val="20"/>
    </w:rPr>
  </w:style>
  <w:style w:type="paragraph" w:styleId="BodyText2">
    <w:name w:val="Body Text 2"/>
    <w:basedOn w:val="Normal"/>
    <w:link w:val="BodyText2Char"/>
    <w:uiPriority w:val="99"/>
    <w:rsid w:val="0045563D"/>
    <w:pPr>
      <w:jc w:val="both"/>
    </w:pPr>
    <w:rPr>
      <w:sz w:val="22"/>
      <w:szCs w:val="20"/>
    </w:rPr>
  </w:style>
  <w:style w:type="character" w:customStyle="1" w:styleId="BodyText2Char">
    <w:name w:val="Body Text 2 Char"/>
    <w:basedOn w:val="DefaultParagraphFont"/>
    <w:link w:val="BodyText2"/>
    <w:uiPriority w:val="99"/>
    <w:rsid w:val="0045563D"/>
    <w:rPr>
      <w:rFonts w:ascii="Arial" w:eastAsia="Times New Roman" w:hAnsi="Arial" w:cs="Times New Roman"/>
      <w:szCs w:val="20"/>
    </w:rPr>
  </w:style>
  <w:style w:type="character" w:styleId="PageNumber">
    <w:name w:val="page number"/>
    <w:basedOn w:val="DefaultParagraphFont"/>
    <w:rsid w:val="0045563D"/>
  </w:style>
  <w:style w:type="paragraph" w:styleId="Header">
    <w:name w:val="header"/>
    <w:basedOn w:val="Normal"/>
    <w:link w:val="HeaderChar"/>
    <w:uiPriority w:val="99"/>
    <w:rsid w:val="0045563D"/>
    <w:pPr>
      <w:tabs>
        <w:tab w:val="center" w:pos="4153"/>
        <w:tab w:val="right" w:pos="8306"/>
      </w:tabs>
    </w:pPr>
    <w:rPr>
      <w:rFonts w:ascii="HellasArial" w:hAnsi="HellasArial"/>
      <w:sz w:val="22"/>
      <w:szCs w:val="20"/>
    </w:rPr>
  </w:style>
  <w:style w:type="character" w:customStyle="1" w:styleId="HeaderChar">
    <w:name w:val="Header Char"/>
    <w:basedOn w:val="DefaultParagraphFont"/>
    <w:link w:val="Header"/>
    <w:uiPriority w:val="99"/>
    <w:rsid w:val="0045563D"/>
    <w:rPr>
      <w:rFonts w:ascii="HellasArial" w:eastAsia="Times New Roman" w:hAnsi="HellasArial" w:cs="Times New Roman"/>
      <w:szCs w:val="20"/>
    </w:rPr>
  </w:style>
  <w:style w:type="paragraph" w:styleId="Footer">
    <w:name w:val="footer"/>
    <w:basedOn w:val="Normal"/>
    <w:link w:val="FooterChar"/>
    <w:uiPriority w:val="99"/>
    <w:rsid w:val="0045563D"/>
    <w:pPr>
      <w:tabs>
        <w:tab w:val="center" w:pos="4153"/>
        <w:tab w:val="right" w:pos="8306"/>
      </w:tabs>
    </w:pPr>
    <w:rPr>
      <w:rFonts w:ascii="HellasArial" w:hAnsi="HellasArial"/>
      <w:sz w:val="22"/>
      <w:szCs w:val="20"/>
    </w:rPr>
  </w:style>
  <w:style w:type="character" w:customStyle="1" w:styleId="FooterChar">
    <w:name w:val="Footer Char"/>
    <w:basedOn w:val="DefaultParagraphFont"/>
    <w:link w:val="Footer"/>
    <w:uiPriority w:val="99"/>
    <w:rsid w:val="0045563D"/>
    <w:rPr>
      <w:rFonts w:ascii="HellasArial" w:eastAsia="Times New Roman" w:hAnsi="HellasArial" w:cs="Times New Roman"/>
      <w:szCs w:val="20"/>
    </w:rPr>
  </w:style>
  <w:style w:type="paragraph" w:styleId="BalloonText">
    <w:name w:val="Balloon Text"/>
    <w:basedOn w:val="Normal"/>
    <w:link w:val="BalloonTextChar"/>
    <w:uiPriority w:val="99"/>
    <w:semiHidden/>
    <w:rsid w:val="0045563D"/>
    <w:rPr>
      <w:rFonts w:ascii="Tahoma" w:hAnsi="Tahoma" w:cs="Tahoma"/>
      <w:sz w:val="16"/>
      <w:szCs w:val="16"/>
    </w:rPr>
  </w:style>
  <w:style w:type="character" w:customStyle="1" w:styleId="BalloonTextChar">
    <w:name w:val="Balloon Text Char"/>
    <w:basedOn w:val="DefaultParagraphFont"/>
    <w:link w:val="BalloonText"/>
    <w:uiPriority w:val="99"/>
    <w:semiHidden/>
    <w:rsid w:val="0045563D"/>
    <w:rPr>
      <w:rFonts w:ascii="Tahoma" w:eastAsia="Times New Roman" w:hAnsi="Tahoma" w:cs="Tahoma"/>
      <w:sz w:val="16"/>
      <w:szCs w:val="16"/>
    </w:rPr>
  </w:style>
  <w:style w:type="paragraph" w:styleId="BodyText">
    <w:name w:val="Body Text"/>
    <w:basedOn w:val="Normal"/>
    <w:link w:val="BodyTextChar"/>
    <w:uiPriority w:val="99"/>
    <w:rsid w:val="0045563D"/>
    <w:rPr>
      <w:sz w:val="22"/>
    </w:rPr>
  </w:style>
  <w:style w:type="character" w:customStyle="1" w:styleId="BodyTextChar">
    <w:name w:val="Body Text Char"/>
    <w:basedOn w:val="DefaultParagraphFont"/>
    <w:link w:val="BodyText"/>
    <w:uiPriority w:val="99"/>
    <w:rsid w:val="0045563D"/>
    <w:rPr>
      <w:rFonts w:ascii="Arial" w:eastAsia="Times New Roman" w:hAnsi="Arial" w:cs="Times New Roman"/>
      <w:szCs w:val="24"/>
    </w:rPr>
  </w:style>
  <w:style w:type="paragraph" w:styleId="FootnoteText">
    <w:name w:val="footnote text"/>
    <w:basedOn w:val="Normal"/>
    <w:link w:val="FootnoteTextChar"/>
    <w:uiPriority w:val="99"/>
    <w:rsid w:val="0045563D"/>
    <w:rPr>
      <w:sz w:val="20"/>
      <w:szCs w:val="20"/>
    </w:rPr>
  </w:style>
  <w:style w:type="character" w:customStyle="1" w:styleId="FootnoteTextChar">
    <w:name w:val="Footnote Text Char"/>
    <w:basedOn w:val="DefaultParagraphFont"/>
    <w:link w:val="FootnoteText"/>
    <w:uiPriority w:val="99"/>
    <w:rsid w:val="0045563D"/>
    <w:rPr>
      <w:rFonts w:ascii="Arial" w:eastAsia="Times New Roman" w:hAnsi="Arial" w:cs="Times New Roman"/>
      <w:sz w:val="20"/>
      <w:szCs w:val="20"/>
    </w:rPr>
  </w:style>
  <w:style w:type="character" w:styleId="FootnoteReference">
    <w:name w:val="footnote reference"/>
    <w:basedOn w:val="DefaultParagraphFont"/>
    <w:uiPriority w:val="99"/>
    <w:rsid w:val="0045563D"/>
    <w:rPr>
      <w:vertAlign w:val="superscript"/>
    </w:rPr>
  </w:style>
  <w:style w:type="paragraph" w:styleId="BodyText3">
    <w:name w:val="Body Text 3"/>
    <w:basedOn w:val="Normal"/>
    <w:link w:val="BodyText3Char"/>
    <w:uiPriority w:val="99"/>
    <w:rsid w:val="0045563D"/>
    <w:pPr>
      <w:jc w:val="both"/>
    </w:pPr>
    <w:rPr>
      <w:rFonts w:cs="Arial"/>
      <w:szCs w:val="22"/>
    </w:rPr>
  </w:style>
  <w:style w:type="character" w:customStyle="1" w:styleId="BodyText3Char">
    <w:name w:val="Body Text 3 Char"/>
    <w:basedOn w:val="DefaultParagraphFont"/>
    <w:link w:val="BodyText3"/>
    <w:uiPriority w:val="99"/>
    <w:rsid w:val="0045563D"/>
    <w:rPr>
      <w:rFonts w:ascii="Arial" w:eastAsia="Times New Roman" w:hAnsi="Arial" w:cs="Arial"/>
      <w:sz w:val="24"/>
    </w:rPr>
  </w:style>
  <w:style w:type="paragraph" w:styleId="NormalWeb">
    <w:name w:val="Normal (Web)"/>
    <w:basedOn w:val="Normal"/>
    <w:uiPriority w:val="99"/>
    <w:rsid w:val="0045563D"/>
    <w:pPr>
      <w:spacing w:before="100" w:beforeAutospacing="1" w:after="100" w:afterAutospacing="1"/>
    </w:pPr>
    <w:rPr>
      <w:rFonts w:ascii="Times New Roman" w:hAnsi="Times New Roman"/>
      <w:lang w:eastAsia="ko-KR"/>
    </w:rPr>
  </w:style>
  <w:style w:type="table" w:styleId="TableGrid">
    <w:name w:val="Table Grid"/>
    <w:basedOn w:val="TableNormal"/>
    <w:uiPriority w:val="59"/>
    <w:rsid w:val="0045563D"/>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45563D"/>
    <w:pPr>
      <w:spacing w:before="120" w:after="120"/>
    </w:pPr>
    <w:rPr>
      <w:b/>
      <w:bCs/>
      <w:sz w:val="20"/>
      <w:szCs w:val="20"/>
    </w:rPr>
  </w:style>
  <w:style w:type="paragraph" w:styleId="ListParagraph">
    <w:name w:val="List Paragraph"/>
    <w:basedOn w:val="Normal"/>
    <w:uiPriority w:val="34"/>
    <w:qFormat/>
    <w:rsid w:val="0045563D"/>
    <w:pPr>
      <w:ind w:left="720"/>
    </w:pPr>
  </w:style>
  <w:style w:type="character" w:styleId="Hyperlink">
    <w:name w:val="Hyperlink"/>
    <w:basedOn w:val="DefaultParagraphFont"/>
    <w:rsid w:val="0045563D"/>
    <w:rPr>
      <w:color w:val="0000FF"/>
      <w:u w:val="single"/>
    </w:rPr>
  </w:style>
  <w:style w:type="paragraph" w:customStyle="1" w:styleId="msolistparagraph0">
    <w:name w:val="msolistparagraph"/>
    <w:basedOn w:val="Normal"/>
    <w:rsid w:val="0045563D"/>
    <w:pPr>
      <w:ind w:left="720"/>
    </w:pPr>
    <w:rPr>
      <w:rFonts w:ascii="Calibri" w:hAnsi="Calibri"/>
      <w:sz w:val="22"/>
      <w:szCs w:val="22"/>
      <w:lang w:val="en-US"/>
    </w:rPr>
  </w:style>
  <w:style w:type="character" w:styleId="Emphasis">
    <w:name w:val="Emphasis"/>
    <w:basedOn w:val="DefaultParagraphFont"/>
    <w:uiPriority w:val="20"/>
    <w:qFormat/>
    <w:rsid w:val="0045563D"/>
    <w:rPr>
      <w:b/>
      <w:bCs/>
      <w:i w:val="0"/>
      <w:iCs w:val="0"/>
    </w:rPr>
  </w:style>
  <w:style w:type="paragraph" w:styleId="PlainText">
    <w:name w:val="Plain Text"/>
    <w:basedOn w:val="Normal"/>
    <w:link w:val="PlainTextChar"/>
    <w:uiPriority w:val="99"/>
    <w:unhideWhenUsed/>
    <w:rsid w:val="0045563D"/>
    <w:rPr>
      <w:rFonts w:ascii="Consolas" w:eastAsia="Calibri" w:hAnsi="Consolas"/>
      <w:sz w:val="21"/>
      <w:szCs w:val="21"/>
      <w:lang w:eastAsia="el-GR"/>
    </w:rPr>
  </w:style>
  <w:style w:type="character" w:customStyle="1" w:styleId="PlainTextChar">
    <w:name w:val="Plain Text Char"/>
    <w:basedOn w:val="DefaultParagraphFont"/>
    <w:link w:val="PlainText"/>
    <w:uiPriority w:val="99"/>
    <w:rsid w:val="0045563D"/>
    <w:rPr>
      <w:rFonts w:ascii="Consolas" w:eastAsia="Calibri" w:hAnsi="Consolas" w:cs="Times New Roman"/>
      <w:sz w:val="21"/>
      <w:szCs w:val="21"/>
      <w:lang w:eastAsia="el-GR"/>
    </w:rPr>
  </w:style>
  <w:style w:type="paragraph" w:styleId="EndnoteText">
    <w:name w:val="endnote text"/>
    <w:basedOn w:val="Normal"/>
    <w:link w:val="EndnoteTextChar"/>
    <w:uiPriority w:val="99"/>
    <w:rsid w:val="0045563D"/>
    <w:rPr>
      <w:rFonts w:ascii="Times New Roman" w:hAnsi="Times New Roman"/>
      <w:sz w:val="20"/>
      <w:szCs w:val="20"/>
      <w:lang w:val="en-AU"/>
    </w:rPr>
  </w:style>
  <w:style w:type="character" w:customStyle="1" w:styleId="EndnoteTextChar">
    <w:name w:val="Endnote Text Char"/>
    <w:basedOn w:val="DefaultParagraphFont"/>
    <w:link w:val="EndnoteText"/>
    <w:uiPriority w:val="99"/>
    <w:rsid w:val="0045563D"/>
    <w:rPr>
      <w:rFonts w:ascii="Times New Roman" w:eastAsia="Times New Roman" w:hAnsi="Times New Roman" w:cs="Times New Roman"/>
      <w:sz w:val="20"/>
      <w:szCs w:val="20"/>
      <w:lang w:val="en-AU"/>
    </w:rPr>
  </w:style>
  <w:style w:type="character" w:styleId="EndnoteReference">
    <w:name w:val="endnote reference"/>
    <w:basedOn w:val="DefaultParagraphFont"/>
    <w:rsid w:val="0045563D"/>
    <w:rPr>
      <w:vertAlign w:val="superscript"/>
    </w:rPr>
  </w:style>
  <w:style w:type="character" w:customStyle="1" w:styleId="Text1Char">
    <w:name w:val="Text1 Char"/>
    <w:basedOn w:val="DefaultParagraphFont"/>
    <w:link w:val="Text1"/>
    <w:locked/>
    <w:rsid w:val="0045563D"/>
    <w:rPr>
      <w:rFonts w:ascii="Arial" w:hAnsi="Arial" w:cs="Arial"/>
    </w:rPr>
  </w:style>
  <w:style w:type="paragraph" w:customStyle="1" w:styleId="Text1">
    <w:name w:val="Text1"/>
    <w:basedOn w:val="Normal"/>
    <w:link w:val="Text1Char"/>
    <w:rsid w:val="0045563D"/>
    <w:pPr>
      <w:ind w:left="1134"/>
      <w:jc w:val="both"/>
    </w:pPr>
    <w:rPr>
      <w:rFonts w:eastAsiaTheme="minorHAnsi" w:cs="Arial"/>
      <w:sz w:val="22"/>
      <w:szCs w:val="22"/>
    </w:rPr>
  </w:style>
  <w:style w:type="table" w:styleId="MediumList1-Accent5">
    <w:name w:val="Medium List 1 Accent 5"/>
    <w:basedOn w:val="TableNormal"/>
    <w:uiPriority w:val="65"/>
    <w:rsid w:val="0045563D"/>
    <w:pPr>
      <w:spacing w:after="0" w:line="240" w:lineRule="auto"/>
    </w:pPr>
    <w:rPr>
      <w:rFonts w:ascii="Times New Roman" w:eastAsia="SimSun" w:hAnsi="Times New Roman" w:cs="Times New Roman"/>
      <w:color w:val="000000"/>
      <w:sz w:val="20"/>
      <w:szCs w:val="20"/>
      <w:lang w:eastAsia="el-GR"/>
    </w:rPr>
    <w:tblPr>
      <w:tblStyleRowBandSize w:val="1"/>
      <w:tblStyleColBandSize w:val="1"/>
      <w:tblBorders>
        <w:top w:val="single" w:sz="8" w:space="0" w:color="4BACC6"/>
        <w:bottom w:val="single" w:sz="8" w:space="0" w:color="4BACC6"/>
      </w:tblBorders>
    </w:tblPr>
    <w:tblStylePr w:type="firstRow">
      <w:rPr>
        <w:rFonts w:ascii="Marlett" w:eastAsia="Times New Roman" w:hAnsi="Marlet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List-Accent11">
    <w:name w:val="Light List - Accent 11"/>
    <w:basedOn w:val="TableNormal"/>
    <w:uiPriority w:val="61"/>
    <w:rsid w:val="0045563D"/>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rsid w:val="0045563D"/>
    <w:rPr>
      <w:sz w:val="16"/>
      <w:szCs w:val="16"/>
    </w:rPr>
  </w:style>
  <w:style w:type="paragraph" w:styleId="CommentText">
    <w:name w:val="annotation text"/>
    <w:basedOn w:val="Normal"/>
    <w:link w:val="CommentTextChar"/>
    <w:uiPriority w:val="99"/>
    <w:rsid w:val="0045563D"/>
    <w:rPr>
      <w:sz w:val="20"/>
      <w:szCs w:val="20"/>
    </w:rPr>
  </w:style>
  <w:style w:type="character" w:customStyle="1" w:styleId="CommentTextChar">
    <w:name w:val="Comment Text Char"/>
    <w:basedOn w:val="DefaultParagraphFont"/>
    <w:link w:val="CommentText"/>
    <w:uiPriority w:val="99"/>
    <w:rsid w:val="004556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45563D"/>
    <w:rPr>
      <w:b/>
      <w:bCs/>
    </w:rPr>
  </w:style>
  <w:style w:type="character" w:customStyle="1" w:styleId="CommentSubjectChar">
    <w:name w:val="Comment Subject Char"/>
    <w:basedOn w:val="CommentTextChar"/>
    <w:link w:val="CommentSubject"/>
    <w:uiPriority w:val="99"/>
    <w:rsid w:val="0045563D"/>
    <w:rPr>
      <w:rFonts w:ascii="Arial" w:eastAsia="Times New Roman" w:hAnsi="Arial" w:cs="Times New Roman"/>
      <w:b/>
      <w:bCs/>
      <w:sz w:val="20"/>
      <w:szCs w:val="20"/>
    </w:rPr>
  </w:style>
  <w:style w:type="paragraph" w:styleId="Revision">
    <w:name w:val="Revision"/>
    <w:hidden/>
    <w:uiPriority w:val="99"/>
    <w:semiHidden/>
    <w:rsid w:val="0045563D"/>
    <w:pPr>
      <w:spacing w:after="0" w:line="240" w:lineRule="auto"/>
    </w:pPr>
    <w:rPr>
      <w:rFonts w:ascii="Arial" w:eastAsia="Times New Roman" w:hAnsi="Arial" w:cs="Times New Roman"/>
      <w:sz w:val="24"/>
      <w:szCs w:val="24"/>
    </w:rPr>
  </w:style>
  <w:style w:type="character" w:customStyle="1" w:styleId="text5">
    <w:name w:val="text5"/>
    <w:basedOn w:val="DefaultParagraphFont"/>
    <w:rsid w:val="004878EF"/>
    <w:rPr>
      <w:rFonts w:ascii="Verdana" w:hAnsi="Verdana" w:hint="default"/>
      <w:b w:val="0"/>
      <w:bCs w:val="0"/>
      <w:color w:val="333333"/>
    </w:rPr>
  </w:style>
  <w:style w:type="paragraph" w:styleId="BodyTextIndent3">
    <w:name w:val="Body Text Indent 3"/>
    <w:basedOn w:val="Normal"/>
    <w:link w:val="BodyTextIndent3Char"/>
    <w:uiPriority w:val="99"/>
    <w:semiHidden/>
    <w:unhideWhenUsed/>
    <w:rsid w:val="006F47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47AC"/>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192C88"/>
    <w:pPr>
      <w:spacing w:after="120" w:line="480" w:lineRule="auto"/>
      <w:ind w:left="283"/>
    </w:pPr>
  </w:style>
  <w:style w:type="character" w:customStyle="1" w:styleId="BodyTextIndent2Char">
    <w:name w:val="Body Text Indent 2 Char"/>
    <w:basedOn w:val="DefaultParagraphFont"/>
    <w:link w:val="BodyTextIndent2"/>
    <w:uiPriority w:val="99"/>
    <w:semiHidden/>
    <w:rsid w:val="00192C88"/>
    <w:rPr>
      <w:rFonts w:ascii="Arial" w:eastAsia="Times New Roman" w:hAnsi="Arial" w:cs="Times New Roman"/>
      <w:sz w:val="24"/>
      <w:szCs w:val="24"/>
    </w:rPr>
  </w:style>
  <w:style w:type="character" w:customStyle="1" w:styleId="hps">
    <w:name w:val="hps"/>
    <w:basedOn w:val="DefaultParagraphFont"/>
    <w:rsid w:val="007122D1"/>
  </w:style>
  <w:style w:type="table" w:customStyle="1" w:styleId="LightList-Accent12">
    <w:name w:val="Light List - Accent 12"/>
    <w:basedOn w:val="TableNormal"/>
    <w:uiPriority w:val="61"/>
    <w:rsid w:val="00597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E426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021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4">
    <w:name w:val="Light List - Accent 14"/>
    <w:basedOn w:val="TableNormal"/>
    <w:uiPriority w:val="61"/>
    <w:rsid w:val="000021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427E8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D6A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6E4C35"/>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591"/>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9E2928"/>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5C0C"/>
    <w:rPr>
      <w:color w:val="800080" w:themeColor="followedHyperlink"/>
      <w:u w:val="single"/>
    </w:rPr>
  </w:style>
  <w:style w:type="table" w:styleId="ListTable6Colorful-Accent1">
    <w:name w:val="List Table 6 Colorful Accent 1"/>
    <w:basedOn w:val="TableNormal"/>
    <w:uiPriority w:val="51"/>
    <w:rsid w:val="00BB7FB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CE5FF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CE5FF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94EE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0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795">
      <w:bodyDiv w:val="1"/>
      <w:marLeft w:val="0"/>
      <w:marRight w:val="0"/>
      <w:marTop w:val="0"/>
      <w:marBottom w:val="0"/>
      <w:divBdr>
        <w:top w:val="none" w:sz="0" w:space="0" w:color="auto"/>
        <w:left w:val="none" w:sz="0" w:space="0" w:color="auto"/>
        <w:bottom w:val="none" w:sz="0" w:space="0" w:color="auto"/>
        <w:right w:val="none" w:sz="0" w:space="0" w:color="auto"/>
      </w:divBdr>
    </w:div>
    <w:div w:id="3482611">
      <w:bodyDiv w:val="1"/>
      <w:marLeft w:val="0"/>
      <w:marRight w:val="0"/>
      <w:marTop w:val="0"/>
      <w:marBottom w:val="0"/>
      <w:divBdr>
        <w:top w:val="none" w:sz="0" w:space="0" w:color="auto"/>
        <w:left w:val="none" w:sz="0" w:space="0" w:color="auto"/>
        <w:bottom w:val="none" w:sz="0" w:space="0" w:color="auto"/>
        <w:right w:val="none" w:sz="0" w:space="0" w:color="auto"/>
      </w:divBdr>
    </w:div>
    <w:div w:id="6100921">
      <w:bodyDiv w:val="1"/>
      <w:marLeft w:val="0"/>
      <w:marRight w:val="0"/>
      <w:marTop w:val="0"/>
      <w:marBottom w:val="0"/>
      <w:divBdr>
        <w:top w:val="none" w:sz="0" w:space="0" w:color="auto"/>
        <w:left w:val="none" w:sz="0" w:space="0" w:color="auto"/>
        <w:bottom w:val="none" w:sz="0" w:space="0" w:color="auto"/>
        <w:right w:val="none" w:sz="0" w:space="0" w:color="auto"/>
      </w:divBdr>
    </w:div>
    <w:div w:id="13926022">
      <w:bodyDiv w:val="1"/>
      <w:marLeft w:val="0"/>
      <w:marRight w:val="0"/>
      <w:marTop w:val="0"/>
      <w:marBottom w:val="0"/>
      <w:divBdr>
        <w:top w:val="none" w:sz="0" w:space="0" w:color="auto"/>
        <w:left w:val="none" w:sz="0" w:space="0" w:color="auto"/>
        <w:bottom w:val="none" w:sz="0" w:space="0" w:color="auto"/>
        <w:right w:val="none" w:sz="0" w:space="0" w:color="auto"/>
      </w:divBdr>
    </w:div>
    <w:div w:id="21325947">
      <w:bodyDiv w:val="1"/>
      <w:marLeft w:val="0"/>
      <w:marRight w:val="0"/>
      <w:marTop w:val="0"/>
      <w:marBottom w:val="0"/>
      <w:divBdr>
        <w:top w:val="none" w:sz="0" w:space="0" w:color="auto"/>
        <w:left w:val="none" w:sz="0" w:space="0" w:color="auto"/>
        <w:bottom w:val="none" w:sz="0" w:space="0" w:color="auto"/>
        <w:right w:val="none" w:sz="0" w:space="0" w:color="auto"/>
      </w:divBdr>
    </w:div>
    <w:div w:id="41832245">
      <w:bodyDiv w:val="1"/>
      <w:marLeft w:val="0"/>
      <w:marRight w:val="0"/>
      <w:marTop w:val="0"/>
      <w:marBottom w:val="0"/>
      <w:divBdr>
        <w:top w:val="none" w:sz="0" w:space="0" w:color="auto"/>
        <w:left w:val="none" w:sz="0" w:space="0" w:color="auto"/>
        <w:bottom w:val="none" w:sz="0" w:space="0" w:color="auto"/>
        <w:right w:val="none" w:sz="0" w:space="0" w:color="auto"/>
      </w:divBdr>
    </w:div>
    <w:div w:id="43338452">
      <w:bodyDiv w:val="1"/>
      <w:marLeft w:val="0"/>
      <w:marRight w:val="0"/>
      <w:marTop w:val="0"/>
      <w:marBottom w:val="0"/>
      <w:divBdr>
        <w:top w:val="none" w:sz="0" w:space="0" w:color="auto"/>
        <w:left w:val="none" w:sz="0" w:space="0" w:color="auto"/>
        <w:bottom w:val="none" w:sz="0" w:space="0" w:color="auto"/>
        <w:right w:val="none" w:sz="0" w:space="0" w:color="auto"/>
      </w:divBdr>
    </w:div>
    <w:div w:id="48962104">
      <w:bodyDiv w:val="1"/>
      <w:marLeft w:val="0"/>
      <w:marRight w:val="0"/>
      <w:marTop w:val="0"/>
      <w:marBottom w:val="0"/>
      <w:divBdr>
        <w:top w:val="none" w:sz="0" w:space="0" w:color="auto"/>
        <w:left w:val="none" w:sz="0" w:space="0" w:color="auto"/>
        <w:bottom w:val="none" w:sz="0" w:space="0" w:color="auto"/>
        <w:right w:val="none" w:sz="0" w:space="0" w:color="auto"/>
      </w:divBdr>
    </w:div>
    <w:div w:id="59836708">
      <w:bodyDiv w:val="1"/>
      <w:marLeft w:val="0"/>
      <w:marRight w:val="0"/>
      <w:marTop w:val="0"/>
      <w:marBottom w:val="0"/>
      <w:divBdr>
        <w:top w:val="none" w:sz="0" w:space="0" w:color="auto"/>
        <w:left w:val="none" w:sz="0" w:space="0" w:color="auto"/>
        <w:bottom w:val="none" w:sz="0" w:space="0" w:color="auto"/>
        <w:right w:val="none" w:sz="0" w:space="0" w:color="auto"/>
      </w:divBdr>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65079235">
      <w:bodyDiv w:val="1"/>
      <w:marLeft w:val="0"/>
      <w:marRight w:val="0"/>
      <w:marTop w:val="0"/>
      <w:marBottom w:val="0"/>
      <w:divBdr>
        <w:top w:val="none" w:sz="0" w:space="0" w:color="auto"/>
        <w:left w:val="none" w:sz="0" w:space="0" w:color="auto"/>
        <w:bottom w:val="none" w:sz="0" w:space="0" w:color="auto"/>
        <w:right w:val="none" w:sz="0" w:space="0" w:color="auto"/>
      </w:divBdr>
    </w:div>
    <w:div w:id="75716512">
      <w:bodyDiv w:val="1"/>
      <w:marLeft w:val="0"/>
      <w:marRight w:val="0"/>
      <w:marTop w:val="0"/>
      <w:marBottom w:val="0"/>
      <w:divBdr>
        <w:top w:val="none" w:sz="0" w:space="0" w:color="auto"/>
        <w:left w:val="none" w:sz="0" w:space="0" w:color="auto"/>
        <w:bottom w:val="none" w:sz="0" w:space="0" w:color="auto"/>
        <w:right w:val="none" w:sz="0" w:space="0" w:color="auto"/>
      </w:divBdr>
    </w:div>
    <w:div w:id="83383952">
      <w:bodyDiv w:val="1"/>
      <w:marLeft w:val="0"/>
      <w:marRight w:val="0"/>
      <w:marTop w:val="0"/>
      <w:marBottom w:val="0"/>
      <w:divBdr>
        <w:top w:val="none" w:sz="0" w:space="0" w:color="auto"/>
        <w:left w:val="none" w:sz="0" w:space="0" w:color="auto"/>
        <w:bottom w:val="none" w:sz="0" w:space="0" w:color="auto"/>
        <w:right w:val="none" w:sz="0" w:space="0" w:color="auto"/>
      </w:divBdr>
    </w:div>
    <w:div w:id="84502579">
      <w:bodyDiv w:val="1"/>
      <w:marLeft w:val="0"/>
      <w:marRight w:val="0"/>
      <w:marTop w:val="0"/>
      <w:marBottom w:val="0"/>
      <w:divBdr>
        <w:top w:val="none" w:sz="0" w:space="0" w:color="auto"/>
        <w:left w:val="none" w:sz="0" w:space="0" w:color="auto"/>
        <w:bottom w:val="none" w:sz="0" w:space="0" w:color="auto"/>
        <w:right w:val="none" w:sz="0" w:space="0" w:color="auto"/>
      </w:divBdr>
    </w:div>
    <w:div w:id="90702983">
      <w:bodyDiv w:val="1"/>
      <w:marLeft w:val="0"/>
      <w:marRight w:val="0"/>
      <w:marTop w:val="0"/>
      <w:marBottom w:val="0"/>
      <w:divBdr>
        <w:top w:val="none" w:sz="0" w:space="0" w:color="auto"/>
        <w:left w:val="none" w:sz="0" w:space="0" w:color="auto"/>
        <w:bottom w:val="none" w:sz="0" w:space="0" w:color="auto"/>
        <w:right w:val="none" w:sz="0" w:space="0" w:color="auto"/>
      </w:divBdr>
    </w:div>
    <w:div w:id="92752481">
      <w:bodyDiv w:val="1"/>
      <w:marLeft w:val="0"/>
      <w:marRight w:val="0"/>
      <w:marTop w:val="0"/>
      <w:marBottom w:val="0"/>
      <w:divBdr>
        <w:top w:val="none" w:sz="0" w:space="0" w:color="auto"/>
        <w:left w:val="none" w:sz="0" w:space="0" w:color="auto"/>
        <w:bottom w:val="none" w:sz="0" w:space="0" w:color="auto"/>
        <w:right w:val="none" w:sz="0" w:space="0" w:color="auto"/>
      </w:divBdr>
    </w:div>
    <w:div w:id="94450090">
      <w:bodyDiv w:val="1"/>
      <w:marLeft w:val="0"/>
      <w:marRight w:val="0"/>
      <w:marTop w:val="0"/>
      <w:marBottom w:val="0"/>
      <w:divBdr>
        <w:top w:val="none" w:sz="0" w:space="0" w:color="auto"/>
        <w:left w:val="none" w:sz="0" w:space="0" w:color="auto"/>
        <w:bottom w:val="none" w:sz="0" w:space="0" w:color="auto"/>
        <w:right w:val="none" w:sz="0" w:space="0" w:color="auto"/>
      </w:divBdr>
    </w:div>
    <w:div w:id="111286340">
      <w:bodyDiv w:val="1"/>
      <w:marLeft w:val="0"/>
      <w:marRight w:val="0"/>
      <w:marTop w:val="0"/>
      <w:marBottom w:val="0"/>
      <w:divBdr>
        <w:top w:val="none" w:sz="0" w:space="0" w:color="auto"/>
        <w:left w:val="none" w:sz="0" w:space="0" w:color="auto"/>
        <w:bottom w:val="none" w:sz="0" w:space="0" w:color="auto"/>
        <w:right w:val="none" w:sz="0" w:space="0" w:color="auto"/>
      </w:divBdr>
    </w:div>
    <w:div w:id="111822292">
      <w:bodyDiv w:val="1"/>
      <w:marLeft w:val="0"/>
      <w:marRight w:val="0"/>
      <w:marTop w:val="0"/>
      <w:marBottom w:val="0"/>
      <w:divBdr>
        <w:top w:val="none" w:sz="0" w:space="0" w:color="auto"/>
        <w:left w:val="none" w:sz="0" w:space="0" w:color="auto"/>
        <w:bottom w:val="none" w:sz="0" w:space="0" w:color="auto"/>
        <w:right w:val="none" w:sz="0" w:space="0" w:color="auto"/>
      </w:divBdr>
    </w:div>
    <w:div w:id="113720916">
      <w:bodyDiv w:val="1"/>
      <w:marLeft w:val="0"/>
      <w:marRight w:val="0"/>
      <w:marTop w:val="0"/>
      <w:marBottom w:val="0"/>
      <w:divBdr>
        <w:top w:val="none" w:sz="0" w:space="0" w:color="auto"/>
        <w:left w:val="none" w:sz="0" w:space="0" w:color="auto"/>
        <w:bottom w:val="none" w:sz="0" w:space="0" w:color="auto"/>
        <w:right w:val="none" w:sz="0" w:space="0" w:color="auto"/>
      </w:divBdr>
    </w:div>
    <w:div w:id="119543412">
      <w:bodyDiv w:val="1"/>
      <w:marLeft w:val="0"/>
      <w:marRight w:val="0"/>
      <w:marTop w:val="0"/>
      <w:marBottom w:val="0"/>
      <w:divBdr>
        <w:top w:val="none" w:sz="0" w:space="0" w:color="auto"/>
        <w:left w:val="none" w:sz="0" w:space="0" w:color="auto"/>
        <w:bottom w:val="none" w:sz="0" w:space="0" w:color="auto"/>
        <w:right w:val="none" w:sz="0" w:space="0" w:color="auto"/>
      </w:divBdr>
    </w:div>
    <w:div w:id="126287957">
      <w:bodyDiv w:val="1"/>
      <w:marLeft w:val="0"/>
      <w:marRight w:val="0"/>
      <w:marTop w:val="0"/>
      <w:marBottom w:val="0"/>
      <w:divBdr>
        <w:top w:val="none" w:sz="0" w:space="0" w:color="auto"/>
        <w:left w:val="none" w:sz="0" w:space="0" w:color="auto"/>
        <w:bottom w:val="none" w:sz="0" w:space="0" w:color="auto"/>
        <w:right w:val="none" w:sz="0" w:space="0" w:color="auto"/>
      </w:divBdr>
    </w:div>
    <w:div w:id="126624952">
      <w:bodyDiv w:val="1"/>
      <w:marLeft w:val="0"/>
      <w:marRight w:val="0"/>
      <w:marTop w:val="0"/>
      <w:marBottom w:val="0"/>
      <w:divBdr>
        <w:top w:val="none" w:sz="0" w:space="0" w:color="auto"/>
        <w:left w:val="none" w:sz="0" w:space="0" w:color="auto"/>
        <w:bottom w:val="none" w:sz="0" w:space="0" w:color="auto"/>
        <w:right w:val="none" w:sz="0" w:space="0" w:color="auto"/>
      </w:divBdr>
    </w:div>
    <w:div w:id="134759142">
      <w:bodyDiv w:val="1"/>
      <w:marLeft w:val="0"/>
      <w:marRight w:val="0"/>
      <w:marTop w:val="0"/>
      <w:marBottom w:val="0"/>
      <w:divBdr>
        <w:top w:val="none" w:sz="0" w:space="0" w:color="auto"/>
        <w:left w:val="none" w:sz="0" w:space="0" w:color="auto"/>
        <w:bottom w:val="none" w:sz="0" w:space="0" w:color="auto"/>
        <w:right w:val="none" w:sz="0" w:space="0" w:color="auto"/>
      </w:divBdr>
    </w:div>
    <w:div w:id="140855062">
      <w:bodyDiv w:val="1"/>
      <w:marLeft w:val="0"/>
      <w:marRight w:val="0"/>
      <w:marTop w:val="0"/>
      <w:marBottom w:val="0"/>
      <w:divBdr>
        <w:top w:val="none" w:sz="0" w:space="0" w:color="auto"/>
        <w:left w:val="none" w:sz="0" w:space="0" w:color="auto"/>
        <w:bottom w:val="none" w:sz="0" w:space="0" w:color="auto"/>
        <w:right w:val="none" w:sz="0" w:space="0" w:color="auto"/>
      </w:divBdr>
    </w:div>
    <w:div w:id="147986093">
      <w:bodyDiv w:val="1"/>
      <w:marLeft w:val="0"/>
      <w:marRight w:val="0"/>
      <w:marTop w:val="0"/>
      <w:marBottom w:val="0"/>
      <w:divBdr>
        <w:top w:val="none" w:sz="0" w:space="0" w:color="auto"/>
        <w:left w:val="none" w:sz="0" w:space="0" w:color="auto"/>
        <w:bottom w:val="none" w:sz="0" w:space="0" w:color="auto"/>
        <w:right w:val="none" w:sz="0" w:space="0" w:color="auto"/>
      </w:divBdr>
    </w:div>
    <w:div w:id="152337180">
      <w:bodyDiv w:val="1"/>
      <w:marLeft w:val="0"/>
      <w:marRight w:val="0"/>
      <w:marTop w:val="0"/>
      <w:marBottom w:val="0"/>
      <w:divBdr>
        <w:top w:val="none" w:sz="0" w:space="0" w:color="auto"/>
        <w:left w:val="none" w:sz="0" w:space="0" w:color="auto"/>
        <w:bottom w:val="none" w:sz="0" w:space="0" w:color="auto"/>
        <w:right w:val="none" w:sz="0" w:space="0" w:color="auto"/>
      </w:divBdr>
    </w:div>
    <w:div w:id="155414490">
      <w:bodyDiv w:val="1"/>
      <w:marLeft w:val="0"/>
      <w:marRight w:val="0"/>
      <w:marTop w:val="0"/>
      <w:marBottom w:val="0"/>
      <w:divBdr>
        <w:top w:val="none" w:sz="0" w:space="0" w:color="auto"/>
        <w:left w:val="none" w:sz="0" w:space="0" w:color="auto"/>
        <w:bottom w:val="none" w:sz="0" w:space="0" w:color="auto"/>
        <w:right w:val="none" w:sz="0" w:space="0" w:color="auto"/>
      </w:divBdr>
    </w:div>
    <w:div w:id="158932014">
      <w:bodyDiv w:val="1"/>
      <w:marLeft w:val="0"/>
      <w:marRight w:val="0"/>
      <w:marTop w:val="0"/>
      <w:marBottom w:val="0"/>
      <w:divBdr>
        <w:top w:val="none" w:sz="0" w:space="0" w:color="auto"/>
        <w:left w:val="none" w:sz="0" w:space="0" w:color="auto"/>
        <w:bottom w:val="none" w:sz="0" w:space="0" w:color="auto"/>
        <w:right w:val="none" w:sz="0" w:space="0" w:color="auto"/>
      </w:divBdr>
    </w:div>
    <w:div w:id="162009092">
      <w:bodyDiv w:val="1"/>
      <w:marLeft w:val="0"/>
      <w:marRight w:val="0"/>
      <w:marTop w:val="0"/>
      <w:marBottom w:val="0"/>
      <w:divBdr>
        <w:top w:val="none" w:sz="0" w:space="0" w:color="auto"/>
        <w:left w:val="none" w:sz="0" w:space="0" w:color="auto"/>
        <w:bottom w:val="none" w:sz="0" w:space="0" w:color="auto"/>
        <w:right w:val="none" w:sz="0" w:space="0" w:color="auto"/>
      </w:divBdr>
    </w:div>
    <w:div w:id="162743302">
      <w:bodyDiv w:val="1"/>
      <w:marLeft w:val="0"/>
      <w:marRight w:val="0"/>
      <w:marTop w:val="0"/>
      <w:marBottom w:val="0"/>
      <w:divBdr>
        <w:top w:val="none" w:sz="0" w:space="0" w:color="auto"/>
        <w:left w:val="none" w:sz="0" w:space="0" w:color="auto"/>
        <w:bottom w:val="none" w:sz="0" w:space="0" w:color="auto"/>
        <w:right w:val="none" w:sz="0" w:space="0" w:color="auto"/>
      </w:divBdr>
    </w:div>
    <w:div w:id="163590072">
      <w:bodyDiv w:val="1"/>
      <w:marLeft w:val="0"/>
      <w:marRight w:val="0"/>
      <w:marTop w:val="0"/>
      <w:marBottom w:val="0"/>
      <w:divBdr>
        <w:top w:val="none" w:sz="0" w:space="0" w:color="auto"/>
        <w:left w:val="none" w:sz="0" w:space="0" w:color="auto"/>
        <w:bottom w:val="none" w:sz="0" w:space="0" w:color="auto"/>
        <w:right w:val="none" w:sz="0" w:space="0" w:color="auto"/>
      </w:divBdr>
    </w:div>
    <w:div w:id="165244545">
      <w:bodyDiv w:val="1"/>
      <w:marLeft w:val="0"/>
      <w:marRight w:val="0"/>
      <w:marTop w:val="0"/>
      <w:marBottom w:val="0"/>
      <w:divBdr>
        <w:top w:val="none" w:sz="0" w:space="0" w:color="auto"/>
        <w:left w:val="none" w:sz="0" w:space="0" w:color="auto"/>
        <w:bottom w:val="none" w:sz="0" w:space="0" w:color="auto"/>
        <w:right w:val="none" w:sz="0" w:space="0" w:color="auto"/>
      </w:divBdr>
    </w:div>
    <w:div w:id="166988603">
      <w:bodyDiv w:val="1"/>
      <w:marLeft w:val="0"/>
      <w:marRight w:val="0"/>
      <w:marTop w:val="0"/>
      <w:marBottom w:val="0"/>
      <w:divBdr>
        <w:top w:val="none" w:sz="0" w:space="0" w:color="auto"/>
        <w:left w:val="none" w:sz="0" w:space="0" w:color="auto"/>
        <w:bottom w:val="none" w:sz="0" w:space="0" w:color="auto"/>
        <w:right w:val="none" w:sz="0" w:space="0" w:color="auto"/>
      </w:divBdr>
    </w:div>
    <w:div w:id="176623226">
      <w:bodyDiv w:val="1"/>
      <w:marLeft w:val="0"/>
      <w:marRight w:val="0"/>
      <w:marTop w:val="0"/>
      <w:marBottom w:val="0"/>
      <w:divBdr>
        <w:top w:val="none" w:sz="0" w:space="0" w:color="auto"/>
        <w:left w:val="none" w:sz="0" w:space="0" w:color="auto"/>
        <w:bottom w:val="none" w:sz="0" w:space="0" w:color="auto"/>
        <w:right w:val="none" w:sz="0" w:space="0" w:color="auto"/>
      </w:divBdr>
    </w:div>
    <w:div w:id="182280878">
      <w:bodyDiv w:val="1"/>
      <w:marLeft w:val="0"/>
      <w:marRight w:val="0"/>
      <w:marTop w:val="0"/>
      <w:marBottom w:val="0"/>
      <w:divBdr>
        <w:top w:val="none" w:sz="0" w:space="0" w:color="auto"/>
        <w:left w:val="none" w:sz="0" w:space="0" w:color="auto"/>
        <w:bottom w:val="none" w:sz="0" w:space="0" w:color="auto"/>
        <w:right w:val="none" w:sz="0" w:space="0" w:color="auto"/>
      </w:divBdr>
    </w:div>
    <w:div w:id="185170620">
      <w:bodyDiv w:val="1"/>
      <w:marLeft w:val="0"/>
      <w:marRight w:val="0"/>
      <w:marTop w:val="0"/>
      <w:marBottom w:val="0"/>
      <w:divBdr>
        <w:top w:val="none" w:sz="0" w:space="0" w:color="auto"/>
        <w:left w:val="none" w:sz="0" w:space="0" w:color="auto"/>
        <w:bottom w:val="none" w:sz="0" w:space="0" w:color="auto"/>
        <w:right w:val="none" w:sz="0" w:space="0" w:color="auto"/>
      </w:divBdr>
    </w:div>
    <w:div w:id="190267297">
      <w:bodyDiv w:val="1"/>
      <w:marLeft w:val="0"/>
      <w:marRight w:val="0"/>
      <w:marTop w:val="0"/>
      <w:marBottom w:val="0"/>
      <w:divBdr>
        <w:top w:val="none" w:sz="0" w:space="0" w:color="auto"/>
        <w:left w:val="none" w:sz="0" w:space="0" w:color="auto"/>
        <w:bottom w:val="none" w:sz="0" w:space="0" w:color="auto"/>
        <w:right w:val="none" w:sz="0" w:space="0" w:color="auto"/>
      </w:divBdr>
    </w:div>
    <w:div w:id="202209943">
      <w:bodyDiv w:val="1"/>
      <w:marLeft w:val="0"/>
      <w:marRight w:val="0"/>
      <w:marTop w:val="0"/>
      <w:marBottom w:val="0"/>
      <w:divBdr>
        <w:top w:val="none" w:sz="0" w:space="0" w:color="auto"/>
        <w:left w:val="none" w:sz="0" w:space="0" w:color="auto"/>
        <w:bottom w:val="none" w:sz="0" w:space="0" w:color="auto"/>
        <w:right w:val="none" w:sz="0" w:space="0" w:color="auto"/>
      </w:divBdr>
    </w:div>
    <w:div w:id="209611468">
      <w:bodyDiv w:val="1"/>
      <w:marLeft w:val="0"/>
      <w:marRight w:val="0"/>
      <w:marTop w:val="0"/>
      <w:marBottom w:val="0"/>
      <w:divBdr>
        <w:top w:val="none" w:sz="0" w:space="0" w:color="auto"/>
        <w:left w:val="none" w:sz="0" w:space="0" w:color="auto"/>
        <w:bottom w:val="none" w:sz="0" w:space="0" w:color="auto"/>
        <w:right w:val="none" w:sz="0" w:space="0" w:color="auto"/>
      </w:divBdr>
    </w:div>
    <w:div w:id="218857209">
      <w:bodyDiv w:val="1"/>
      <w:marLeft w:val="0"/>
      <w:marRight w:val="0"/>
      <w:marTop w:val="0"/>
      <w:marBottom w:val="0"/>
      <w:divBdr>
        <w:top w:val="none" w:sz="0" w:space="0" w:color="auto"/>
        <w:left w:val="none" w:sz="0" w:space="0" w:color="auto"/>
        <w:bottom w:val="none" w:sz="0" w:space="0" w:color="auto"/>
        <w:right w:val="none" w:sz="0" w:space="0" w:color="auto"/>
      </w:divBdr>
    </w:div>
    <w:div w:id="234239685">
      <w:bodyDiv w:val="1"/>
      <w:marLeft w:val="0"/>
      <w:marRight w:val="0"/>
      <w:marTop w:val="0"/>
      <w:marBottom w:val="0"/>
      <w:divBdr>
        <w:top w:val="none" w:sz="0" w:space="0" w:color="auto"/>
        <w:left w:val="none" w:sz="0" w:space="0" w:color="auto"/>
        <w:bottom w:val="none" w:sz="0" w:space="0" w:color="auto"/>
        <w:right w:val="none" w:sz="0" w:space="0" w:color="auto"/>
      </w:divBdr>
    </w:div>
    <w:div w:id="237444988">
      <w:bodyDiv w:val="1"/>
      <w:marLeft w:val="0"/>
      <w:marRight w:val="0"/>
      <w:marTop w:val="0"/>
      <w:marBottom w:val="0"/>
      <w:divBdr>
        <w:top w:val="none" w:sz="0" w:space="0" w:color="auto"/>
        <w:left w:val="none" w:sz="0" w:space="0" w:color="auto"/>
        <w:bottom w:val="none" w:sz="0" w:space="0" w:color="auto"/>
        <w:right w:val="none" w:sz="0" w:space="0" w:color="auto"/>
      </w:divBdr>
    </w:div>
    <w:div w:id="240481557">
      <w:bodyDiv w:val="1"/>
      <w:marLeft w:val="0"/>
      <w:marRight w:val="0"/>
      <w:marTop w:val="0"/>
      <w:marBottom w:val="0"/>
      <w:divBdr>
        <w:top w:val="none" w:sz="0" w:space="0" w:color="auto"/>
        <w:left w:val="none" w:sz="0" w:space="0" w:color="auto"/>
        <w:bottom w:val="none" w:sz="0" w:space="0" w:color="auto"/>
        <w:right w:val="none" w:sz="0" w:space="0" w:color="auto"/>
      </w:divBdr>
    </w:div>
    <w:div w:id="242763113">
      <w:bodyDiv w:val="1"/>
      <w:marLeft w:val="0"/>
      <w:marRight w:val="0"/>
      <w:marTop w:val="0"/>
      <w:marBottom w:val="0"/>
      <w:divBdr>
        <w:top w:val="none" w:sz="0" w:space="0" w:color="auto"/>
        <w:left w:val="none" w:sz="0" w:space="0" w:color="auto"/>
        <w:bottom w:val="none" w:sz="0" w:space="0" w:color="auto"/>
        <w:right w:val="none" w:sz="0" w:space="0" w:color="auto"/>
      </w:divBdr>
    </w:div>
    <w:div w:id="249508354">
      <w:bodyDiv w:val="1"/>
      <w:marLeft w:val="0"/>
      <w:marRight w:val="0"/>
      <w:marTop w:val="0"/>
      <w:marBottom w:val="0"/>
      <w:divBdr>
        <w:top w:val="none" w:sz="0" w:space="0" w:color="auto"/>
        <w:left w:val="none" w:sz="0" w:space="0" w:color="auto"/>
        <w:bottom w:val="none" w:sz="0" w:space="0" w:color="auto"/>
        <w:right w:val="none" w:sz="0" w:space="0" w:color="auto"/>
      </w:divBdr>
    </w:div>
    <w:div w:id="249776106">
      <w:bodyDiv w:val="1"/>
      <w:marLeft w:val="0"/>
      <w:marRight w:val="0"/>
      <w:marTop w:val="0"/>
      <w:marBottom w:val="0"/>
      <w:divBdr>
        <w:top w:val="none" w:sz="0" w:space="0" w:color="auto"/>
        <w:left w:val="none" w:sz="0" w:space="0" w:color="auto"/>
        <w:bottom w:val="none" w:sz="0" w:space="0" w:color="auto"/>
        <w:right w:val="none" w:sz="0" w:space="0" w:color="auto"/>
      </w:divBdr>
    </w:div>
    <w:div w:id="255942214">
      <w:bodyDiv w:val="1"/>
      <w:marLeft w:val="0"/>
      <w:marRight w:val="0"/>
      <w:marTop w:val="0"/>
      <w:marBottom w:val="0"/>
      <w:divBdr>
        <w:top w:val="none" w:sz="0" w:space="0" w:color="auto"/>
        <w:left w:val="none" w:sz="0" w:space="0" w:color="auto"/>
        <w:bottom w:val="none" w:sz="0" w:space="0" w:color="auto"/>
        <w:right w:val="none" w:sz="0" w:space="0" w:color="auto"/>
      </w:divBdr>
    </w:div>
    <w:div w:id="257717505">
      <w:bodyDiv w:val="1"/>
      <w:marLeft w:val="0"/>
      <w:marRight w:val="0"/>
      <w:marTop w:val="0"/>
      <w:marBottom w:val="0"/>
      <w:divBdr>
        <w:top w:val="none" w:sz="0" w:space="0" w:color="auto"/>
        <w:left w:val="none" w:sz="0" w:space="0" w:color="auto"/>
        <w:bottom w:val="none" w:sz="0" w:space="0" w:color="auto"/>
        <w:right w:val="none" w:sz="0" w:space="0" w:color="auto"/>
      </w:divBdr>
    </w:div>
    <w:div w:id="258560625">
      <w:bodyDiv w:val="1"/>
      <w:marLeft w:val="0"/>
      <w:marRight w:val="0"/>
      <w:marTop w:val="0"/>
      <w:marBottom w:val="0"/>
      <w:divBdr>
        <w:top w:val="none" w:sz="0" w:space="0" w:color="auto"/>
        <w:left w:val="none" w:sz="0" w:space="0" w:color="auto"/>
        <w:bottom w:val="none" w:sz="0" w:space="0" w:color="auto"/>
        <w:right w:val="none" w:sz="0" w:space="0" w:color="auto"/>
      </w:divBdr>
    </w:div>
    <w:div w:id="258635352">
      <w:bodyDiv w:val="1"/>
      <w:marLeft w:val="0"/>
      <w:marRight w:val="0"/>
      <w:marTop w:val="0"/>
      <w:marBottom w:val="0"/>
      <w:divBdr>
        <w:top w:val="none" w:sz="0" w:space="0" w:color="auto"/>
        <w:left w:val="none" w:sz="0" w:space="0" w:color="auto"/>
        <w:bottom w:val="none" w:sz="0" w:space="0" w:color="auto"/>
        <w:right w:val="none" w:sz="0" w:space="0" w:color="auto"/>
      </w:divBdr>
      <w:divsChild>
        <w:div w:id="1573269413">
          <w:marLeft w:val="0"/>
          <w:marRight w:val="0"/>
          <w:marTop w:val="0"/>
          <w:marBottom w:val="0"/>
          <w:divBdr>
            <w:top w:val="none" w:sz="0" w:space="0" w:color="auto"/>
            <w:left w:val="none" w:sz="0" w:space="0" w:color="auto"/>
            <w:bottom w:val="none" w:sz="0" w:space="0" w:color="auto"/>
            <w:right w:val="none" w:sz="0" w:space="0" w:color="auto"/>
          </w:divBdr>
        </w:div>
        <w:div w:id="1718505662">
          <w:marLeft w:val="0"/>
          <w:marRight w:val="0"/>
          <w:marTop w:val="0"/>
          <w:marBottom w:val="0"/>
          <w:divBdr>
            <w:top w:val="none" w:sz="0" w:space="0" w:color="auto"/>
            <w:left w:val="none" w:sz="0" w:space="0" w:color="auto"/>
            <w:bottom w:val="none" w:sz="0" w:space="0" w:color="auto"/>
            <w:right w:val="none" w:sz="0" w:space="0" w:color="auto"/>
          </w:divBdr>
        </w:div>
        <w:div w:id="954948510">
          <w:marLeft w:val="0"/>
          <w:marRight w:val="0"/>
          <w:marTop w:val="0"/>
          <w:marBottom w:val="0"/>
          <w:divBdr>
            <w:top w:val="none" w:sz="0" w:space="0" w:color="auto"/>
            <w:left w:val="none" w:sz="0" w:space="0" w:color="auto"/>
            <w:bottom w:val="none" w:sz="0" w:space="0" w:color="auto"/>
            <w:right w:val="none" w:sz="0" w:space="0" w:color="auto"/>
          </w:divBdr>
        </w:div>
        <w:div w:id="1298872794">
          <w:marLeft w:val="0"/>
          <w:marRight w:val="0"/>
          <w:marTop w:val="0"/>
          <w:marBottom w:val="0"/>
          <w:divBdr>
            <w:top w:val="none" w:sz="0" w:space="0" w:color="auto"/>
            <w:left w:val="none" w:sz="0" w:space="0" w:color="auto"/>
            <w:bottom w:val="none" w:sz="0" w:space="0" w:color="auto"/>
            <w:right w:val="none" w:sz="0" w:space="0" w:color="auto"/>
          </w:divBdr>
        </w:div>
        <w:div w:id="1853565332">
          <w:marLeft w:val="0"/>
          <w:marRight w:val="0"/>
          <w:marTop w:val="0"/>
          <w:marBottom w:val="0"/>
          <w:divBdr>
            <w:top w:val="none" w:sz="0" w:space="0" w:color="auto"/>
            <w:left w:val="none" w:sz="0" w:space="0" w:color="auto"/>
            <w:bottom w:val="none" w:sz="0" w:space="0" w:color="auto"/>
            <w:right w:val="none" w:sz="0" w:space="0" w:color="auto"/>
          </w:divBdr>
        </w:div>
        <w:div w:id="789861973">
          <w:marLeft w:val="0"/>
          <w:marRight w:val="0"/>
          <w:marTop w:val="0"/>
          <w:marBottom w:val="0"/>
          <w:divBdr>
            <w:top w:val="none" w:sz="0" w:space="0" w:color="auto"/>
            <w:left w:val="none" w:sz="0" w:space="0" w:color="auto"/>
            <w:bottom w:val="none" w:sz="0" w:space="0" w:color="auto"/>
            <w:right w:val="none" w:sz="0" w:space="0" w:color="auto"/>
          </w:divBdr>
        </w:div>
        <w:div w:id="220597464">
          <w:marLeft w:val="0"/>
          <w:marRight w:val="0"/>
          <w:marTop w:val="0"/>
          <w:marBottom w:val="0"/>
          <w:divBdr>
            <w:top w:val="none" w:sz="0" w:space="0" w:color="auto"/>
            <w:left w:val="none" w:sz="0" w:space="0" w:color="auto"/>
            <w:bottom w:val="none" w:sz="0" w:space="0" w:color="auto"/>
            <w:right w:val="none" w:sz="0" w:space="0" w:color="auto"/>
          </w:divBdr>
        </w:div>
        <w:div w:id="1168255101">
          <w:marLeft w:val="0"/>
          <w:marRight w:val="0"/>
          <w:marTop w:val="0"/>
          <w:marBottom w:val="0"/>
          <w:divBdr>
            <w:top w:val="none" w:sz="0" w:space="0" w:color="auto"/>
            <w:left w:val="none" w:sz="0" w:space="0" w:color="auto"/>
            <w:bottom w:val="none" w:sz="0" w:space="0" w:color="auto"/>
            <w:right w:val="none" w:sz="0" w:space="0" w:color="auto"/>
          </w:divBdr>
        </w:div>
        <w:div w:id="1472094806">
          <w:marLeft w:val="0"/>
          <w:marRight w:val="0"/>
          <w:marTop w:val="0"/>
          <w:marBottom w:val="0"/>
          <w:divBdr>
            <w:top w:val="none" w:sz="0" w:space="0" w:color="auto"/>
            <w:left w:val="none" w:sz="0" w:space="0" w:color="auto"/>
            <w:bottom w:val="none" w:sz="0" w:space="0" w:color="auto"/>
            <w:right w:val="none" w:sz="0" w:space="0" w:color="auto"/>
          </w:divBdr>
        </w:div>
      </w:divsChild>
    </w:div>
    <w:div w:id="263921277">
      <w:bodyDiv w:val="1"/>
      <w:marLeft w:val="0"/>
      <w:marRight w:val="0"/>
      <w:marTop w:val="0"/>
      <w:marBottom w:val="0"/>
      <w:divBdr>
        <w:top w:val="none" w:sz="0" w:space="0" w:color="auto"/>
        <w:left w:val="none" w:sz="0" w:space="0" w:color="auto"/>
        <w:bottom w:val="none" w:sz="0" w:space="0" w:color="auto"/>
        <w:right w:val="none" w:sz="0" w:space="0" w:color="auto"/>
      </w:divBdr>
    </w:div>
    <w:div w:id="277370192">
      <w:bodyDiv w:val="1"/>
      <w:marLeft w:val="0"/>
      <w:marRight w:val="0"/>
      <w:marTop w:val="0"/>
      <w:marBottom w:val="0"/>
      <w:divBdr>
        <w:top w:val="none" w:sz="0" w:space="0" w:color="auto"/>
        <w:left w:val="none" w:sz="0" w:space="0" w:color="auto"/>
        <w:bottom w:val="none" w:sz="0" w:space="0" w:color="auto"/>
        <w:right w:val="none" w:sz="0" w:space="0" w:color="auto"/>
      </w:divBdr>
    </w:div>
    <w:div w:id="286203661">
      <w:bodyDiv w:val="1"/>
      <w:marLeft w:val="0"/>
      <w:marRight w:val="0"/>
      <w:marTop w:val="0"/>
      <w:marBottom w:val="0"/>
      <w:divBdr>
        <w:top w:val="none" w:sz="0" w:space="0" w:color="auto"/>
        <w:left w:val="none" w:sz="0" w:space="0" w:color="auto"/>
        <w:bottom w:val="none" w:sz="0" w:space="0" w:color="auto"/>
        <w:right w:val="none" w:sz="0" w:space="0" w:color="auto"/>
      </w:divBdr>
    </w:div>
    <w:div w:id="288896029">
      <w:bodyDiv w:val="1"/>
      <w:marLeft w:val="0"/>
      <w:marRight w:val="0"/>
      <w:marTop w:val="0"/>
      <w:marBottom w:val="0"/>
      <w:divBdr>
        <w:top w:val="none" w:sz="0" w:space="0" w:color="auto"/>
        <w:left w:val="none" w:sz="0" w:space="0" w:color="auto"/>
        <w:bottom w:val="none" w:sz="0" w:space="0" w:color="auto"/>
        <w:right w:val="none" w:sz="0" w:space="0" w:color="auto"/>
      </w:divBdr>
    </w:div>
    <w:div w:id="289868498">
      <w:bodyDiv w:val="1"/>
      <w:marLeft w:val="0"/>
      <w:marRight w:val="0"/>
      <w:marTop w:val="0"/>
      <w:marBottom w:val="0"/>
      <w:divBdr>
        <w:top w:val="none" w:sz="0" w:space="0" w:color="auto"/>
        <w:left w:val="none" w:sz="0" w:space="0" w:color="auto"/>
        <w:bottom w:val="none" w:sz="0" w:space="0" w:color="auto"/>
        <w:right w:val="none" w:sz="0" w:space="0" w:color="auto"/>
      </w:divBdr>
    </w:div>
    <w:div w:id="298653105">
      <w:bodyDiv w:val="1"/>
      <w:marLeft w:val="0"/>
      <w:marRight w:val="0"/>
      <w:marTop w:val="0"/>
      <w:marBottom w:val="0"/>
      <w:divBdr>
        <w:top w:val="none" w:sz="0" w:space="0" w:color="auto"/>
        <w:left w:val="none" w:sz="0" w:space="0" w:color="auto"/>
        <w:bottom w:val="none" w:sz="0" w:space="0" w:color="auto"/>
        <w:right w:val="none" w:sz="0" w:space="0" w:color="auto"/>
      </w:divBdr>
    </w:div>
    <w:div w:id="301428939">
      <w:bodyDiv w:val="1"/>
      <w:marLeft w:val="0"/>
      <w:marRight w:val="0"/>
      <w:marTop w:val="0"/>
      <w:marBottom w:val="0"/>
      <w:divBdr>
        <w:top w:val="none" w:sz="0" w:space="0" w:color="auto"/>
        <w:left w:val="none" w:sz="0" w:space="0" w:color="auto"/>
        <w:bottom w:val="none" w:sz="0" w:space="0" w:color="auto"/>
        <w:right w:val="none" w:sz="0" w:space="0" w:color="auto"/>
      </w:divBdr>
    </w:div>
    <w:div w:id="317734479">
      <w:bodyDiv w:val="1"/>
      <w:marLeft w:val="0"/>
      <w:marRight w:val="0"/>
      <w:marTop w:val="0"/>
      <w:marBottom w:val="0"/>
      <w:divBdr>
        <w:top w:val="none" w:sz="0" w:space="0" w:color="auto"/>
        <w:left w:val="none" w:sz="0" w:space="0" w:color="auto"/>
        <w:bottom w:val="none" w:sz="0" w:space="0" w:color="auto"/>
        <w:right w:val="none" w:sz="0" w:space="0" w:color="auto"/>
      </w:divBdr>
    </w:div>
    <w:div w:id="344017944">
      <w:bodyDiv w:val="1"/>
      <w:marLeft w:val="0"/>
      <w:marRight w:val="0"/>
      <w:marTop w:val="0"/>
      <w:marBottom w:val="0"/>
      <w:divBdr>
        <w:top w:val="none" w:sz="0" w:space="0" w:color="auto"/>
        <w:left w:val="none" w:sz="0" w:space="0" w:color="auto"/>
        <w:bottom w:val="none" w:sz="0" w:space="0" w:color="auto"/>
        <w:right w:val="none" w:sz="0" w:space="0" w:color="auto"/>
      </w:divBdr>
      <w:divsChild>
        <w:div w:id="622466704">
          <w:marLeft w:val="0"/>
          <w:marRight w:val="0"/>
          <w:marTop w:val="0"/>
          <w:marBottom w:val="0"/>
          <w:divBdr>
            <w:top w:val="none" w:sz="0" w:space="0" w:color="auto"/>
            <w:left w:val="none" w:sz="0" w:space="0" w:color="auto"/>
            <w:bottom w:val="none" w:sz="0" w:space="0" w:color="auto"/>
            <w:right w:val="none" w:sz="0" w:space="0" w:color="auto"/>
          </w:divBdr>
        </w:div>
        <w:div w:id="285164790">
          <w:marLeft w:val="0"/>
          <w:marRight w:val="0"/>
          <w:marTop w:val="0"/>
          <w:marBottom w:val="0"/>
          <w:divBdr>
            <w:top w:val="none" w:sz="0" w:space="0" w:color="auto"/>
            <w:left w:val="none" w:sz="0" w:space="0" w:color="auto"/>
            <w:bottom w:val="none" w:sz="0" w:space="0" w:color="auto"/>
            <w:right w:val="none" w:sz="0" w:space="0" w:color="auto"/>
          </w:divBdr>
        </w:div>
        <w:div w:id="635067023">
          <w:marLeft w:val="0"/>
          <w:marRight w:val="0"/>
          <w:marTop w:val="0"/>
          <w:marBottom w:val="0"/>
          <w:divBdr>
            <w:top w:val="none" w:sz="0" w:space="0" w:color="auto"/>
            <w:left w:val="none" w:sz="0" w:space="0" w:color="auto"/>
            <w:bottom w:val="none" w:sz="0" w:space="0" w:color="auto"/>
            <w:right w:val="none" w:sz="0" w:space="0" w:color="auto"/>
          </w:divBdr>
        </w:div>
        <w:div w:id="859389593">
          <w:marLeft w:val="0"/>
          <w:marRight w:val="0"/>
          <w:marTop w:val="0"/>
          <w:marBottom w:val="0"/>
          <w:divBdr>
            <w:top w:val="none" w:sz="0" w:space="0" w:color="auto"/>
            <w:left w:val="none" w:sz="0" w:space="0" w:color="auto"/>
            <w:bottom w:val="none" w:sz="0" w:space="0" w:color="auto"/>
            <w:right w:val="none" w:sz="0" w:space="0" w:color="auto"/>
          </w:divBdr>
        </w:div>
        <w:div w:id="497693573">
          <w:marLeft w:val="0"/>
          <w:marRight w:val="0"/>
          <w:marTop w:val="0"/>
          <w:marBottom w:val="0"/>
          <w:divBdr>
            <w:top w:val="none" w:sz="0" w:space="0" w:color="auto"/>
            <w:left w:val="none" w:sz="0" w:space="0" w:color="auto"/>
            <w:bottom w:val="none" w:sz="0" w:space="0" w:color="auto"/>
            <w:right w:val="none" w:sz="0" w:space="0" w:color="auto"/>
          </w:divBdr>
        </w:div>
        <w:div w:id="198055200">
          <w:marLeft w:val="0"/>
          <w:marRight w:val="0"/>
          <w:marTop w:val="0"/>
          <w:marBottom w:val="0"/>
          <w:divBdr>
            <w:top w:val="none" w:sz="0" w:space="0" w:color="auto"/>
            <w:left w:val="none" w:sz="0" w:space="0" w:color="auto"/>
            <w:bottom w:val="none" w:sz="0" w:space="0" w:color="auto"/>
            <w:right w:val="none" w:sz="0" w:space="0" w:color="auto"/>
          </w:divBdr>
        </w:div>
        <w:div w:id="83690259">
          <w:marLeft w:val="0"/>
          <w:marRight w:val="0"/>
          <w:marTop w:val="0"/>
          <w:marBottom w:val="0"/>
          <w:divBdr>
            <w:top w:val="none" w:sz="0" w:space="0" w:color="auto"/>
            <w:left w:val="none" w:sz="0" w:space="0" w:color="auto"/>
            <w:bottom w:val="none" w:sz="0" w:space="0" w:color="auto"/>
            <w:right w:val="none" w:sz="0" w:space="0" w:color="auto"/>
          </w:divBdr>
        </w:div>
        <w:div w:id="195120377">
          <w:marLeft w:val="0"/>
          <w:marRight w:val="0"/>
          <w:marTop w:val="0"/>
          <w:marBottom w:val="0"/>
          <w:divBdr>
            <w:top w:val="none" w:sz="0" w:space="0" w:color="auto"/>
            <w:left w:val="none" w:sz="0" w:space="0" w:color="auto"/>
            <w:bottom w:val="none" w:sz="0" w:space="0" w:color="auto"/>
            <w:right w:val="none" w:sz="0" w:space="0" w:color="auto"/>
          </w:divBdr>
        </w:div>
        <w:div w:id="326323928">
          <w:marLeft w:val="0"/>
          <w:marRight w:val="0"/>
          <w:marTop w:val="0"/>
          <w:marBottom w:val="0"/>
          <w:divBdr>
            <w:top w:val="none" w:sz="0" w:space="0" w:color="auto"/>
            <w:left w:val="none" w:sz="0" w:space="0" w:color="auto"/>
            <w:bottom w:val="none" w:sz="0" w:space="0" w:color="auto"/>
            <w:right w:val="none" w:sz="0" w:space="0" w:color="auto"/>
          </w:divBdr>
        </w:div>
        <w:div w:id="1089623779">
          <w:marLeft w:val="0"/>
          <w:marRight w:val="0"/>
          <w:marTop w:val="0"/>
          <w:marBottom w:val="0"/>
          <w:divBdr>
            <w:top w:val="none" w:sz="0" w:space="0" w:color="auto"/>
            <w:left w:val="none" w:sz="0" w:space="0" w:color="auto"/>
            <w:bottom w:val="none" w:sz="0" w:space="0" w:color="auto"/>
            <w:right w:val="none" w:sz="0" w:space="0" w:color="auto"/>
          </w:divBdr>
        </w:div>
        <w:div w:id="1913393972">
          <w:marLeft w:val="0"/>
          <w:marRight w:val="0"/>
          <w:marTop w:val="0"/>
          <w:marBottom w:val="0"/>
          <w:divBdr>
            <w:top w:val="none" w:sz="0" w:space="0" w:color="auto"/>
            <w:left w:val="none" w:sz="0" w:space="0" w:color="auto"/>
            <w:bottom w:val="none" w:sz="0" w:space="0" w:color="auto"/>
            <w:right w:val="none" w:sz="0" w:space="0" w:color="auto"/>
          </w:divBdr>
        </w:div>
        <w:div w:id="854152428">
          <w:marLeft w:val="0"/>
          <w:marRight w:val="0"/>
          <w:marTop w:val="0"/>
          <w:marBottom w:val="0"/>
          <w:divBdr>
            <w:top w:val="none" w:sz="0" w:space="0" w:color="auto"/>
            <w:left w:val="none" w:sz="0" w:space="0" w:color="auto"/>
            <w:bottom w:val="none" w:sz="0" w:space="0" w:color="auto"/>
            <w:right w:val="none" w:sz="0" w:space="0" w:color="auto"/>
          </w:divBdr>
        </w:div>
        <w:div w:id="2074695941">
          <w:marLeft w:val="0"/>
          <w:marRight w:val="0"/>
          <w:marTop w:val="0"/>
          <w:marBottom w:val="0"/>
          <w:divBdr>
            <w:top w:val="none" w:sz="0" w:space="0" w:color="auto"/>
            <w:left w:val="none" w:sz="0" w:space="0" w:color="auto"/>
            <w:bottom w:val="none" w:sz="0" w:space="0" w:color="auto"/>
            <w:right w:val="none" w:sz="0" w:space="0" w:color="auto"/>
          </w:divBdr>
        </w:div>
        <w:div w:id="654534755">
          <w:marLeft w:val="0"/>
          <w:marRight w:val="0"/>
          <w:marTop w:val="0"/>
          <w:marBottom w:val="0"/>
          <w:divBdr>
            <w:top w:val="none" w:sz="0" w:space="0" w:color="auto"/>
            <w:left w:val="none" w:sz="0" w:space="0" w:color="auto"/>
            <w:bottom w:val="none" w:sz="0" w:space="0" w:color="auto"/>
            <w:right w:val="none" w:sz="0" w:space="0" w:color="auto"/>
          </w:divBdr>
        </w:div>
        <w:div w:id="839780807">
          <w:marLeft w:val="0"/>
          <w:marRight w:val="0"/>
          <w:marTop w:val="0"/>
          <w:marBottom w:val="0"/>
          <w:divBdr>
            <w:top w:val="none" w:sz="0" w:space="0" w:color="auto"/>
            <w:left w:val="none" w:sz="0" w:space="0" w:color="auto"/>
            <w:bottom w:val="none" w:sz="0" w:space="0" w:color="auto"/>
            <w:right w:val="none" w:sz="0" w:space="0" w:color="auto"/>
          </w:divBdr>
        </w:div>
        <w:div w:id="602104509">
          <w:marLeft w:val="0"/>
          <w:marRight w:val="0"/>
          <w:marTop w:val="0"/>
          <w:marBottom w:val="0"/>
          <w:divBdr>
            <w:top w:val="none" w:sz="0" w:space="0" w:color="auto"/>
            <w:left w:val="none" w:sz="0" w:space="0" w:color="auto"/>
            <w:bottom w:val="none" w:sz="0" w:space="0" w:color="auto"/>
            <w:right w:val="none" w:sz="0" w:space="0" w:color="auto"/>
          </w:divBdr>
        </w:div>
        <w:div w:id="111097255">
          <w:marLeft w:val="0"/>
          <w:marRight w:val="0"/>
          <w:marTop w:val="0"/>
          <w:marBottom w:val="0"/>
          <w:divBdr>
            <w:top w:val="none" w:sz="0" w:space="0" w:color="auto"/>
            <w:left w:val="none" w:sz="0" w:space="0" w:color="auto"/>
            <w:bottom w:val="none" w:sz="0" w:space="0" w:color="auto"/>
            <w:right w:val="none" w:sz="0" w:space="0" w:color="auto"/>
          </w:divBdr>
        </w:div>
        <w:div w:id="1526207293">
          <w:marLeft w:val="0"/>
          <w:marRight w:val="0"/>
          <w:marTop w:val="0"/>
          <w:marBottom w:val="0"/>
          <w:divBdr>
            <w:top w:val="none" w:sz="0" w:space="0" w:color="auto"/>
            <w:left w:val="none" w:sz="0" w:space="0" w:color="auto"/>
            <w:bottom w:val="none" w:sz="0" w:space="0" w:color="auto"/>
            <w:right w:val="none" w:sz="0" w:space="0" w:color="auto"/>
          </w:divBdr>
        </w:div>
        <w:div w:id="141433500">
          <w:marLeft w:val="0"/>
          <w:marRight w:val="0"/>
          <w:marTop w:val="0"/>
          <w:marBottom w:val="0"/>
          <w:divBdr>
            <w:top w:val="none" w:sz="0" w:space="0" w:color="auto"/>
            <w:left w:val="none" w:sz="0" w:space="0" w:color="auto"/>
            <w:bottom w:val="none" w:sz="0" w:space="0" w:color="auto"/>
            <w:right w:val="none" w:sz="0" w:space="0" w:color="auto"/>
          </w:divBdr>
        </w:div>
        <w:div w:id="1589534879">
          <w:marLeft w:val="0"/>
          <w:marRight w:val="0"/>
          <w:marTop w:val="0"/>
          <w:marBottom w:val="0"/>
          <w:divBdr>
            <w:top w:val="none" w:sz="0" w:space="0" w:color="auto"/>
            <w:left w:val="none" w:sz="0" w:space="0" w:color="auto"/>
            <w:bottom w:val="none" w:sz="0" w:space="0" w:color="auto"/>
            <w:right w:val="none" w:sz="0" w:space="0" w:color="auto"/>
          </w:divBdr>
        </w:div>
        <w:div w:id="1367678082">
          <w:marLeft w:val="0"/>
          <w:marRight w:val="0"/>
          <w:marTop w:val="0"/>
          <w:marBottom w:val="0"/>
          <w:divBdr>
            <w:top w:val="none" w:sz="0" w:space="0" w:color="auto"/>
            <w:left w:val="none" w:sz="0" w:space="0" w:color="auto"/>
            <w:bottom w:val="none" w:sz="0" w:space="0" w:color="auto"/>
            <w:right w:val="none" w:sz="0" w:space="0" w:color="auto"/>
          </w:divBdr>
        </w:div>
        <w:div w:id="810831544">
          <w:marLeft w:val="0"/>
          <w:marRight w:val="0"/>
          <w:marTop w:val="0"/>
          <w:marBottom w:val="0"/>
          <w:divBdr>
            <w:top w:val="none" w:sz="0" w:space="0" w:color="auto"/>
            <w:left w:val="none" w:sz="0" w:space="0" w:color="auto"/>
            <w:bottom w:val="none" w:sz="0" w:space="0" w:color="auto"/>
            <w:right w:val="none" w:sz="0" w:space="0" w:color="auto"/>
          </w:divBdr>
        </w:div>
        <w:div w:id="84545141">
          <w:marLeft w:val="0"/>
          <w:marRight w:val="0"/>
          <w:marTop w:val="0"/>
          <w:marBottom w:val="0"/>
          <w:divBdr>
            <w:top w:val="none" w:sz="0" w:space="0" w:color="auto"/>
            <w:left w:val="none" w:sz="0" w:space="0" w:color="auto"/>
            <w:bottom w:val="none" w:sz="0" w:space="0" w:color="auto"/>
            <w:right w:val="none" w:sz="0" w:space="0" w:color="auto"/>
          </w:divBdr>
        </w:div>
        <w:div w:id="696463606">
          <w:marLeft w:val="0"/>
          <w:marRight w:val="0"/>
          <w:marTop w:val="0"/>
          <w:marBottom w:val="0"/>
          <w:divBdr>
            <w:top w:val="none" w:sz="0" w:space="0" w:color="auto"/>
            <w:left w:val="none" w:sz="0" w:space="0" w:color="auto"/>
            <w:bottom w:val="none" w:sz="0" w:space="0" w:color="auto"/>
            <w:right w:val="none" w:sz="0" w:space="0" w:color="auto"/>
          </w:divBdr>
        </w:div>
        <w:div w:id="1485589303">
          <w:marLeft w:val="0"/>
          <w:marRight w:val="0"/>
          <w:marTop w:val="0"/>
          <w:marBottom w:val="0"/>
          <w:divBdr>
            <w:top w:val="none" w:sz="0" w:space="0" w:color="auto"/>
            <w:left w:val="none" w:sz="0" w:space="0" w:color="auto"/>
            <w:bottom w:val="none" w:sz="0" w:space="0" w:color="auto"/>
            <w:right w:val="none" w:sz="0" w:space="0" w:color="auto"/>
          </w:divBdr>
        </w:div>
        <w:div w:id="611474877">
          <w:marLeft w:val="0"/>
          <w:marRight w:val="0"/>
          <w:marTop w:val="0"/>
          <w:marBottom w:val="0"/>
          <w:divBdr>
            <w:top w:val="none" w:sz="0" w:space="0" w:color="auto"/>
            <w:left w:val="none" w:sz="0" w:space="0" w:color="auto"/>
            <w:bottom w:val="none" w:sz="0" w:space="0" w:color="auto"/>
            <w:right w:val="none" w:sz="0" w:space="0" w:color="auto"/>
          </w:divBdr>
        </w:div>
        <w:div w:id="765154073">
          <w:marLeft w:val="0"/>
          <w:marRight w:val="0"/>
          <w:marTop w:val="0"/>
          <w:marBottom w:val="0"/>
          <w:divBdr>
            <w:top w:val="none" w:sz="0" w:space="0" w:color="auto"/>
            <w:left w:val="none" w:sz="0" w:space="0" w:color="auto"/>
            <w:bottom w:val="none" w:sz="0" w:space="0" w:color="auto"/>
            <w:right w:val="none" w:sz="0" w:space="0" w:color="auto"/>
          </w:divBdr>
        </w:div>
      </w:divsChild>
    </w:div>
    <w:div w:id="353506628">
      <w:bodyDiv w:val="1"/>
      <w:marLeft w:val="0"/>
      <w:marRight w:val="0"/>
      <w:marTop w:val="0"/>
      <w:marBottom w:val="0"/>
      <w:divBdr>
        <w:top w:val="none" w:sz="0" w:space="0" w:color="auto"/>
        <w:left w:val="none" w:sz="0" w:space="0" w:color="auto"/>
        <w:bottom w:val="none" w:sz="0" w:space="0" w:color="auto"/>
        <w:right w:val="none" w:sz="0" w:space="0" w:color="auto"/>
      </w:divBdr>
    </w:div>
    <w:div w:id="355426467">
      <w:bodyDiv w:val="1"/>
      <w:marLeft w:val="0"/>
      <w:marRight w:val="0"/>
      <w:marTop w:val="0"/>
      <w:marBottom w:val="0"/>
      <w:divBdr>
        <w:top w:val="none" w:sz="0" w:space="0" w:color="auto"/>
        <w:left w:val="none" w:sz="0" w:space="0" w:color="auto"/>
        <w:bottom w:val="none" w:sz="0" w:space="0" w:color="auto"/>
        <w:right w:val="none" w:sz="0" w:space="0" w:color="auto"/>
      </w:divBdr>
    </w:div>
    <w:div w:id="357705329">
      <w:bodyDiv w:val="1"/>
      <w:marLeft w:val="0"/>
      <w:marRight w:val="0"/>
      <w:marTop w:val="0"/>
      <w:marBottom w:val="0"/>
      <w:divBdr>
        <w:top w:val="none" w:sz="0" w:space="0" w:color="auto"/>
        <w:left w:val="none" w:sz="0" w:space="0" w:color="auto"/>
        <w:bottom w:val="none" w:sz="0" w:space="0" w:color="auto"/>
        <w:right w:val="none" w:sz="0" w:space="0" w:color="auto"/>
      </w:divBdr>
    </w:div>
    <w:div w:id="372342643">
      <w:bodyDiv w:val="1"/>
      <w:marLeft w:val="0"/>
      <w:marRight w:val="0"/>
      <w:marTop w:val="0"/>
      <w:marBottom w:val="0"/>
      <w:divBdr>
        <w:top w:val="none" w:sz="0" w:space="0" w:color="auto"/>
        <w:left w:val="none" w:sz="0" w:space="0" w:color="auto"/>
        <w:bottom w:val="none" w:sz="0" w:space="0" w:color="auto"/>
        <w:right w:val="none" w:sz="0" w:space="0" w:color="auto"/>
      </w:divBdr>
    </w:div>
    <w:div w:id="383144304">
      <w:bodyDiv w:val="1"/>
      <w:marLeft w:val="0"/>
      <w:marRight w:val="0"/>
      <w:marTop w:val="0"/>
      <w:marBottom w:val="0"/>
      <w:divBdr>
        <w:top w:val="none" w:sz="0" w:space="0" w:color="auto"/>
        <w:left w:val="none" w:sz="0" w:space="0" w:color="auto"/>
        <w:bottom w:val="none" w:sz="0" w:space="0" w:color="auto"/>
        <w:right w:val="none" w:sz="0" w:space="0" w:color="auto"/>
      </w:divBdr>
    </w:div>
    <w:div w:id="388378770">
      <w:bodyDiv w:val="1"/>
      <w:marLeft w:val="0"/>
      <w:marRight w:val="0"/>
      <w:marTop w:val="0"/>
      <w:marBottom w:val="0"/>
      <w:divBdr>
        <w:top w:val="none" w:sz="0" w:space="0" w:color="auto"/>
        <w:left w:val="none" w:sz="0" w:space="0" w:color="auto"/>
        <w:bottom w:val="none" w:sz="0" w:space="0" w:color="auto"/>
        <w:right w:val="none" w:sz="0" w:space="0" w:color="auto"/>
      </w:divBdr>
    </w:div>
    <w:div w:id="395321368">
      <w:bodyDiv w:val="1"/>
      <w:marLeft w:val="0"/>
      <w:marRight w:val="0"/>
      <w:marTop w:val="0"/>
      <w:marBottom w:val="0"/>
      <w:divBdr>
        <w:top w:val="none" w:sz="0" w:space="0" w:color="auto"/>
        <w:left w:val="none" w:sz="0" w:space="0" w:color="auto"/>
        <w:bottom w:val="none" w:sz="0" w:space="0" w:color="auto"/>
        <w:right w:val="none" w:sz="0" w:space="0" w:color="auto"/>
      </w:divBdr>
    </w:div>
    <w:div w:id="397286864">
      <w:bodyDiv w:val="1"/>
      <w:marLeft w:val="0"/>
      <w:marRight w:val="0"/>
      <w:marTop w:val="0"/>
      <w:marBottom w:val="0"/>
      <w:divBdr>
        <w:top w:val="none" w:sz="0" w:space="0" w:color="auto"/>
        <w:left w:val="none" w:sz="0" w:space="0" w:color="auto"/>
        <w:bottom w:val="none" w:sz="0" w:space="0" w:color="auto"/>
        <w:right w:val="none" w:sz="0" w:space="0" w:color="auto"/>
      </w:divBdr>
    </w:div>
    <w:div w:id="399180128">
      <w:bodyDiv w:val="1"/>
      <w:marLeft w:val="0"/>
      <w:marRight w:val="0"/>
      <w:marTop w:val="0"/>
      <w:marBottom w:val="0"/>
      <w:divBdr>
        <w:top w:val="none" w:sz="0" w:space="0" w:color="auto"/>
        <w:left w:val="none" w:sz="0" w:space="0" w:color="auto"/>
        <w:bottom w:val="none" w:sz="0" w:space="0" w:color="auto"/>
        <w:right w:val="none" w:sz="0" w:space="0" w:color="auto"/>
      </w:divBdr>
    </w:div>
    <w:div w:id="399404759">
      <w:bodyDiv w:val="1"/>
      <w:marLeft w:val="0"/>
      <w:marRight w:val="0"/>
      <w:marTop w:val="0"/>
      <w:marBottom w:val="0"/>
      <w:divBdr>
        <w:top w:val="none" w:sz="0" w:space="0" w:color="auto"/>
        <w:left w:val="none" w:sz="0" w:space="0" w:color="auto"/>
        <w:bottom w:val="none" w:sz="0" w:space="0" w:color="auto"/>
        <w:right w:val="none" w:sz="0" w:space="0" w:color="auto"/>
      </w:divBdr>
    </w:div>
    <w:div w:id="406732738">
      <w:bodyDiv w:val="1"/>
      <w:marLeft w:val="0"/>
      <w:marRight w:val="0"/>
      <w:marTop w:val="0"/>
      <w:marBottom w:val="0"/>
      <w:divBdr>
        <w:top w:val="none" w:sz="0" w:space="0" w:color="auto"/>
        <w:left w:val="none" w:sz="0" w:space="0" w:color="auto"/>
        <w:bottom w:val="none" w:sz="0" w:space="0" w:color="auto"/>
        <w:right w:val="none" w:sz="0" w:space="0" w:color="auto"/>
      </w:divBdr>
    </w:div>
    <w:div w:id="412313725">
      <w:bodyDiv w:val="1"/>
      <w:marLeft w:val="0"/>
      <w:marRight w:val="0"/>
      <w:marTop w:val="0"/>
      <w:marBottom w:val="0"/>
      <w:divBdr>
        <w:top w:val="none" w:sz="0" w:space="0" w:color="auto"/>
        <w:left w:val="none" w:sz="0" w:space="0" w:color="auto"/>
        <w:bottom w:val="none" w:sz="0" w:space="0" w:color="auto"/>
        <w:right w:val="none" w:sz="0" w:space="0" w:color="auto"/>
      </w:divBdr>
    </w:div>
    <w:div w:id="415132887">
      <w:bodyDiv w:val="1"/>
      <w:marLeft w:val="0"/>
      <w:marRight w:val="0"/>
      <w:marTop w:val="0"/>
      <w:marBottom w:val="0"/>
      <w:divBdr>
        <w:top w:val="none" w:sz="0" w:space="0" w:color="auto"/>
        <w:left w:val="none" w:sz="0" w:space="0" w:color="auto"/>
        <w:bottom w:val="none" w:sz="0" w:space="0" w:color="auto"/>
        <w:right w:val="none" w:sz="0" w:space="0" w:color="auto"/>
      </w:divBdr>
    </w:div>
    <w:div w:id="415787670">
      <w:bodyDiv w:val="1"/>
      <w:marLeft w:val="0"/>
      <w:marRight w:val="0"/>
      <w:marTop w:val="0"/>
      <w:marBottom w:val="0"/>
      <w:divBdr>
        <w:top w:val="none" w:sz="0" w:space="0" w:color="auto"/>
        <w:left w:val="none" w:sz="0" w:space="0" w:color="auto"/>
        <w:bottom w:val="none" w:sz="0" w:space="0" w:color="auto"/>
        <w:right w:val="none" w:sz="0" w:space="0" w:color="auto"/>
      </w:divBdr>
    </w:div>
    <w:div w:id="416750550">
      <w:bodyDiv w:val="1"/>
      <w:marLeft w:val="0"/>
      <w:marRight w:val="0"/>
      <w:marTop w:val="0"/>
      <w:marBottom w:val="0"/>
      <w:divBdr>
        <w:top w:val="none" w:sz="0" w:space="0" w:color="auto"/>
        <w:left w:val="none" w:sz="0" w:space="0" w:color="auto"/>
        <w:bottom w:val="none" w:sz="0" w:space="0" w:color="auto"/>
        <w:right w:val="none" w:sz="0" w:space="0" w:color="auto"/>
      </w:divBdr>
    </w:div>
    <w:div w:id="422576346">
      <w:bodyDiv w:val="1"/>
      <w:marLeft w:val="0"/>
      <w:marRight w:val="0"/>
      <w:marTop w:val="0"/>
      <w:marBottom w:val="0"/>
      <w:divBdr>
        <w:top w:val="none" w:sz="0" w:space="0" w:color="auto"/>
        <w:left w:val="none" w:sz="0" w:space="0" w:color="auto"/>
        <w:bottom w:val="none" w:sz="0" w:space="0" w:color="auto"/>
        <w:right w:val="none" w:sz="0" w:space="0" w:color="auto"/>
      </w:divBdr>
    </w:div>
    <w:div w:id="431780751">
      <w:bodyDiv w:val="1"/>
      <w:marLeft w:val="0"/>
      <w:marRight w:val="0"/>
      <w:marTop w:val="0"/>
      <w:marBottom w:val="0"/>
      <w:divBdr>
        <w:top w:val="none" w:sz="0" w:space="0" w:color="auto"/>
        <w:left w:val="none" w:sz="0" w:space="0" w:color="auto"/>
        <w:bottom w:val="none" w:sz="0" w:space="0" w:color="auto"/>
        <w:right w:val="none" w:sz="0" w:space="0" w:color="auto"/>
      </w:divBdr>
    </w:div>
    <w:div w:id="441389060">
      <w:bodyDiv w:val="1"/>
      <w:marLeft w:val="0"/>
      <w:marRight w:val="0"/>
      <w:marTop w:val="0"/>
      <w:marBottom w:val="0"/>
      <w:divBdr>
        <w:top w:val="none" w:sz="0" w:space="0" w:color="auto"/>
        <w:left w:val="none" w:sz="0" w:space="0" w:color="auto"/>
        <w:bottom w:val="none" w:sz="0" w:space="0" w:color="auto"/>
        <w:right w:val="none" w:sz="0" w:space="0" w:color="auto"/>
      </w:divBdr>
    </w:div>
    <w:div w:id="443767398">
      <w:bodyDiv w:val="1"/>
      <w:marLeft w:val="0"/>
      <w:marRight w:val="0"/>
      <w:marTop w:val="0"/>
      <w:marBottom w:val="0"/>
      <w:divBdr>
        <w:top w:val="none" w:sz="0" w:space="0" w:color="auto"/>
        <w:left w:val="none" w:sz="0" w:space="0" w:color="auto"/>
        <w:bottom w:val="none" w:sz="0" w:space="0" w:color="auto"/>
        <w:right w:val="none" w:sz="0" w:space="0" w:color="auto"/>
      </w:divBdr>
    </w:div>
    <w:div w:id="447234934">
      <w:bodyDiv w:val="1"/>
      <w:marLeft w:val="0"/>
      <w:marRight w:val="0"/>
      <w:marTop w:val="0"/>
      <w:marBottom w:val="0"/>
      <w:divBdr>
        <w:top w:val="none" w:sz="0" w:space="0" w:color="auto"/>
        <w:left w:val="none" w:sz="0" w:space="0" w:color="auto"/>
        <w:bottom w:val="none" w:sz="0" w:space="0" w:color="auto"/>
        <w:right w:val="none" w:sz="0" w:space="0" w:color="auto"/>
      </w:divBdr>
    </w:div>
    <w:div w:id="452485116">
      <w:bodyDiv w:val="1"/>
      <w:marLeft w:val="0"/>
      <w:marRight w:val="0"/>
      <w:marTop w:val="0"/>
      <w:marBottom w:val="0"/>
      <w:divBdr>
        <w:top w:val="none" w:sz="0" w:space="0" w:color="auto"/>
        <w:left w:val="none" w:sz="0" w:space="0" w:color="auto"/>
        <w:bottom w:val="none" w:sz="0" w:space="0" w:color="auto"/>
        <w:right w:val="none" w:sz="0" w:space="0" w:color="auto"/>
      </w:divBdr>
    </w:div>
    <w:div w:id="456292277">
      <w:bodyDiv w:val="1"/>
      <w:marLeft w:val="0"/>
      <w:marRight w:val="0"/>
      <w:marTop w:val="0"/>
      <w:marBottom w:val="0"/>
      <w:divBdr>
        <w:top w:val="none" w:sz="0" w:space="0" w:color="auto"/>
        <w:left w:val="none" w:sz="0" w:space="0" w:color="auto"/>
        <w:bottom w:val="none" w:sz="0" w:space="0" w:color="auto"/>
        <w:right w:val="none" w:sz="0" w:space="0" w:color="auto"/>
      </w:divBdr>
    </w:div>
    <w:div w:id="462889235">
      <w:bodyDiv w:val="1"/>
      <w:marLeft w:val="0"/>
      <w:marRight w:val="0"/>
      <w:marTop w:val="0"/>
      <w:marBottom w:val="0"/>
      <w:divBdr>
        <w:top w:val="none" w:sz="0" w:space="0" w:color="auto"/>
        <w:left w:val="none" w:sz="0" w:space="0" w:color="auto"/>
        <w:bottom w:val="none" w:sz="0" w:space="0" w:color="auto"/>
        <w:right w:val="none" w:sz="0" w:space="0" w:color="auto"/>
      </w:divBdr>
    </w:div>
    <w:div w:id="469516338">
      <w:bodyDiv w:val="1"/>
      <w:marLeft w:val="0"/>
      <w:marRight w:val="0"/>
      <w:marTop w:val="0"/>
      <w:marBottom w:val="0"/>
      <w:divBdr>
        <w:top w:val="none" w:sz="0" w:space="0" w:color="auto"/>
        <w:left w:val="none" w:sz="0" w:space="0" w:color="auto"/>
        <w:bottom w:val="none" w:sz="0" w:space="0" w:color="auto"/>
        <w:right w:val="none" w:sz="0" w:space="0" w:color="auto"/>
      </w:divBdr>
    </w:div>
    <w:div w:id="471486799">
      <w:bodyDiv w:val="1"/>
      <w:marLeft w:val="0"/>
      <w:marRight w:val="0"/>
      <w:marTop w:val="0"/>
      <w:marBottom w:val="0"/>
      <w:divBdr>
        <w:top w:val="none" w:sz="0" w:space="0" w:color="auto"/>
        <w:left w:val="none" w:sz="0" w:space="0" w:color="auto"/>
        <w:bottom w:val="none" w:sz="0" w:space="0" w:color="auto"/>
        <w:right w:val="none" w:sz="0" w:space="0" w:color="auto"/>
      </w:divBdr>
    </w:div>
    <w:div w:id="478307860">
      <w:bodyDiv w:val="1"/>
      <w:marLeft w:val="0"/>
      <w:marRight w:val="0"/>
      <w:marTop w:val="0"/>
      <w:marBottom w:val="0"/>
      <w:divBdr>
        <w:top w:val="none" w:sz="0" w:space="0" w:color="auto"/>
        <w:left w:val="none" w:sz="0" w:space="0" w:color="auto"/>
        <w:bottom w:val="none" w:sz="0" w:space="0" w:color="auto"/>
        <w:right w:val="none" w:sz="0" w:space="0" w:color="auto"/>
      </w:divBdr>
    </w:div>
    <w:div w:id="478347748">
      <w:bodyDiv w:val="1"/>
      <w:marLeft w:val="0"/>
      <w:marRight w:val="0"/>
      <w:marTop w:val="0"/>
      <w:marBottom w:val="0"/>
      <w:divBdr>
        <w:top w:val="none" w:sz="0" w:space="0" w:color="auto"/>
        <w:left w:val="none" w:sz="0" w:space="0" w:color="auto"/>
        <w:bottom w:val="none" w:sz="0" w:space="0" w:color="auto"/>
        <w:right w:val="none" w:sz="0" w:space="0" w:color="auto"/>
      </w:divBdr>
    </w:div>
    <w:div w:id="479149922">
      <w:bodyDiv w:val="1"/>
      <w:marLeft w:val="0"/>
      <w:marRight w:val="0"/>
      <w:marTop w:val="0"/>
      <w:marBottom w:val="0"/>
      <w:divBdr>
        <w:top w:val="none" w:sz="0" w:space="0" w:color="auto"/>
        <w:left w:val="none" w:sz="0" w:space="0" w:color="auto"/>
        <w:bottom w:val="none" w:sz="0" w:space="0" w:color="auto"/>
        <w:right w:val="none" w:sz="0" w:space="0" w:color="auto"/>
      </w:divBdr>
    </w:div>
    <w:div w:id="484474807">
      <w:bodyDiv w:val="1"/>
      <w:marLeft w:val="0"/>
      <w:marRight w:val="0"/>
      <w:marTop w:val="0"/>
      <w:marBottom w:val="0"/>
      <w:divBdr>
        <w:top w:val="none" w:sz="0" w:space="0" w:color="auto"/>
        <w:left w:val="none" w:sz="0" w:space="0" w:color="auto"/>
        <w:bottom w:val="none" w:sz="0" w:space="0" w:color="auto"/>
        <w:right w:val="none" w:sz="0" w:space="0" w:color="auto"/>
      </w:divBdr>
    </w:div>
    <w:div w:id="485056688">
      <w:bodyDiv w:val="1"/>
      <w:marLeft w:val="0"/>
      <w:marRight w:val="0"/>
      <w:marTop w:val="0"/>
      <w:marBottom w:val="0"/>
      <w:divBdr>
        <w:top w:val="none" w:sz="0" w:space="0" w:color="auto"/>
        <w:left w:val="none" w:sz="0" w:space="0" w:color="auto"/>
        <w:bottom w:val="none" w:sz="0" w:space="0" w:color="auto"/>
        <w:right w:val="none" w:sz="0" w:space="0" w:color="auto"/>
      </w:divBdr>
    </w:div>
    <w:div w:id="485631293">
      <w:bodyDiv w:val="1"/>
      <w:marLeft w:val="0"/>
      <w:marRight w:val="0"/>
      <w:marTop w:val="0"/>
      <w:marBottom w:val="0"/>
      <w:divBdr>
        <w:top w:val="none" w:sz="0" w:space="0" w:color="auto"/>
        <w:left w:val="none" w:sz="0" w:space="0" w:color="auto"/>
        <w:bottom w:val="none" w:sz="0" w:space="0" w:color="auto"/>
        <w:right w:val="none" w:sz="0" w:space="0" w:color="auto"/>
      </w:divBdr>
    </w:div>
    <w:div w:id="487867352">
      <w:bodyDiv w:val="1"/>
      <w:marLeft w:val="0"/>
      <w:marRight w:val="0"/>
      <w:marTop w:val="0"/>
      <w:marBottom w:val="0"/>
      <w:divBdr>
        <w:top w:val="none" w:sz="0" w:space="0" w:color="auto"/>
        <w:left w:val="none" w:sz="0" w:space="0" w:color="auto"/>
        <w:bottom w:val="none" w:sz="0" w:space="0" w:color="auto"/>
        <w:right w:val="none" w:sz="0" w:space="0" w:color="auto"/>
      </w:divBdr>
    </w:div>
    <w:div w:id="496382587">
      <w:bodyDiv w:val="1"/>
      <w:marLeft w:val="0"/>
      <w:marRight w:val="0"/>
      <w:marTop w:val="0"/>
      <w:marBottom w:val="0"/>
      <w:divBdr>
        <w:top w:val="none" w:sz="0" w:space="0" w:color="auto"/>
        <w:left w:val="none" w:sz="0" w:space="0" w:color="auto"/>
        <w:bottom w:val="none" w:sz="0" w:space="0" w:color="auto"/>
        <w:right w:val="none" w:sz="0" w:space="0" w:color="auto"/>
      </w:divBdr>
    </w:div>
    <w:div w:id="499270259">
      <w:bodyDiv w:val="1"/>
      <w:marLeft w:val="0"/>
      <w:marRight w:val="0"/>
      <w:marTop w:val="0"/>
      <w:marBottom w:val="0"/>
      <w:divBdr>
        <w:top w:val="none" w:sz="0" w:space="0" w:color="auto"/>
        <w:left w:val="none" w:sz="0" w:space="0" w:color="auto"/>
        <w:bottom w:val="none" w:sz="0" w:space="0" w:color="auto"/>
        <w:right w:val="none" w:sz="0" w:space="0" w:color="auto"/>
      </w:divBdr>
    </w:div>
    <w:div w:id="499738186">
      <w:bodyDiv w:val="1"/>
      <w:marLeft w:val="0"/>
      <w:marRight w:val="0"/>
      <w:marTop w:val="0"/>
      <w:marBottom w:val="0"/>
      <w:divBdr>
        <w:top w:val="none" w:sz="0" w:space="0" w:color="auto"/>
        <w:left w:val="none" w:sz="0" w:space="0" w:color="auto"/>
        <w:bottom w:val="none" w:sz="0" w:space="0" w:color="auto"/>
        <w:right w:val="none" w:sz="0" w:space="0" w:color="auto"/>
      </w:divBdr>
    </w:div>
    <w:div w:id="512646843">
      <w:bodyDiv w:val="1"/>
      <w:marLeft w:val="0"/>
      <w:marRight w:val="0"/>
      <w:marTop w:val="0"/>
      <w:marBottom w:val="0"/>
      <w:divBdr>
        <w:top w:val="none" w:sz="0" w:space="0" w:color="auto"/>
        <w:left w:val="none" w:sz="0" w:space="0" w:color="auto"/>
        <w:bottom w:val="none" w:sz="0" w:space="0" w:color="auto"/>
        <w:right w:val="none" w:sz="0" w:space="0" w:color="auto"/>
      </w:divBdr>
    </w:div>
    <w:div w:id="513884190">
      <w:bodyDiv w:val="1"/>
      <w:marLeft w:val="0"/>
      <w:marRight w:val="0"/>
      <w:marTop w:val="0"/>
      <w:marBottom w:val="0"/>
      <w:divBdr>
        <w:top w:val="none" w:sz="0" w:space="0" w:color="auto"/>
        <w:left w:val="none" w:sz="0" w:space="0" w:color="auto"/>
        <w:bottom w:val="none" w:sz="0" w:space="0" w:color="auto"/>
        <w:right w:val="none" w:sz="0" w:space="0" w:color="auto"/>
      </w:divBdr>
    </w:div>
    <w:div w:id="514422111">
      <w:bodyDiv w:val="1"/>
      <w:marLeft w:val="0"/>
      <w:marRight w:val="0"/>
      <w:marTop w:val="0"/>
      <w:marBottom w:val="0"/>
      <w:divBdr>
        <w:top w:val="none" w:sz="0" w:space="0" w:color="auto"/>
        <w:left w:val="none" w:sz="0" w:space="0" w:color="auto"/>
        <w:bottom w:val="none" w:sz="0" w:space="0" w:color="auto"/>
        <w:right w:val="none" w:sz="0" w:space="0" w:color="auto"/>
      </w:divBdr>
    </w:div>
    <w:div w:id="523858491">
      <w:bodyDiv w:val="1"/>
      <w:marLeft w:val="0"/>
      <w:marRight w:val="0"/>
      <w:marTop w:val="0"/>
      <w:marBottom w:val="0"/>
      <w:divBdr>
        <w:top w:val="none" w:sz="0" w:space="0" w:color="auto"/>
        <w:left w:val="none" w:sz="0" w:space="0" w:color="auto"/>
        <w:bottom w:val="none" w:sz="0" w:space="0" w:color="auto"/>
        <w:right w:val="none" w:sz="0" w:space="0" w:color="auto"/>
      </w:divBdr>
    </w:div>
    <w:div w:id="534343906">
      <w:bodyDiv w:val="1"/>
      <w:marLeft w:val="0"/>
      <w:marRight w:val="0"/>
      <w:marTop w:val="0"/>
      <w:marBottom w:val="0"/>
      <w:divBdr>
        <w:top w:val="none" w:sz="0" w:space="0" w:color="auto"/>
        <w:left w:val="none" w:sz="0" w:space="0" w:color="auto"/>
        <w:bottom w:val="none" w:sz="0" w:space="0" w:color="auto"/>
        <w:right w:val="none" w:sz="0" w:space="0" w:color="auto"/>
      </w:divBdr>
    </w:div>
    <w:div w:id="536816003">
      <w:bodyDiv w:val="1"/>
      <w:marLeft w:val="0"/>
      <w:marRight w:val="0"/>
      <w:marTop w:val="0"/>
      <w:marBottom w:val="0"/>
      <w:divBdr>
        <w:top w:val="none" w:sz="0" w:space="0" w:color="auto"/>
        <w:left w:val="none" w:sz="0" w:space="0" w:color="auto"/>
        <w:bottom w:val="none" w:sz="0" w:space="0" w:color="auto"/>
        <w:right w:val="none" w:sz="0" w:space="0" w:color="auto"/>
      </w:divBdr>
    </w:div>
    <w:div w:id="537398233">
      <w:bodyDiv w:val="1"/>
      <w:marLeft w:val="0"/>
      <w:marRight w:val="0"/>
      <w:marTop w:val="0"/>
      <w:marBottom w:val="0"/>
      <w:divBdr>
        <w:top w:val="none" w:sz="0" w:space="0" w:color="auto"/>
        <w:left w:val="none" w:sz="0" w:space="0" w:color="auto"/>
        <w:bottom w:val="none" w:sz="0" w:space="0" w:color="auto"/>
        <w:right w:val="none" w:sz="0" w:space="0" w:color="auto"/>
      </w:divBdr>
    </w:div>
    <w:div w:id="538705993">
      <w:bodyDiv w:val="1"/>
      <w:marLeft w:val="0"/>
      <w:marRight w:val="0"/>
      <w:marTop w:val="0"/>
      <w:marBottom w:val="0"/>
      <w:divBdr>
        <w:top w:val="none" w:sz="0" w:space="0" w:color="auto"/>
        <w:left w:val="none" w:sz="0" w:space="0" w:color="auto"/>
        <w:bottom w:val="none" w:sz="0" w:space="0" w:color="auto"/>
        <w:right w:val="none" w:sz="0" w:space="0" w:color="auto"/>
      </w:divBdr>
    </w:div>
    <w:div w:id="540361155">
      <w:bodyDiv w:val="1"/>
      <w:marLeft w:val="0"/>
      <w:marRight w:val="0"/>
      <w:marTop w:val="0"/>
      <w:marBottom w:val="0"/>
      <w:divBdr>
        <w:top w:val="none" w:sz="0" w:space="0" w:color="auto"/>
        <w:left w:val="none" w:sz="0" w:space="0" w:color="auto"/>
        <w:bottom w:val="none" w:sz="0" w:space="0" w:color="auto"/>
        <w:right w:val="none" w:sz="0" w:space="0" w:color="auto"/>
      </w:divBdr>
    </w:div>
    <w:div w:id="542719516">
      <w:bodyDiv w:val="1"/>
      <w:marLeft w:val="0"/>
      <w:marRight w:val="0"/>
      <w:marTop w:val="0"/>
      <w:marBottom w:val="0"/>
      <w:divBdr>
        <w:top w:val="none" w:sz="0" w:space="0" w:color="auto"/>
        <w:left w:val="none" w:sz="0" w:space="0" w:color="auto"/>
        <w:bottom w:val="none" w:sz="0" w:space="0" w:color="auto"/>
        <w:right w:val="none" w:sz="0" w:space="0" w:color="auto"/>
      </w:divBdr>
    </w:div>
    <w:div w:id="547643702">
      <w:bodyDiv w:val="1"/>
      <w:marLeft w:val="0"/>
      <w:marRight w:val="0"/>
      <w:marTop w:val="0"/>
      <w:marBottom w:val="0"/>
      <w:divBdr>
        <w:top w:val="none" w:sz="0" w:space="0" w:color="auto"/>
        <w:left w:val="none" w:sz="0" w:space="0" w:color="auto"/>
        <w:bottom w:val="none" w:sz="0" w:space="0" w:color="auto"/>
        <w:right w:val="none" w:sz="0" w:space="0" w:color="auto"/>
      </w:divBdr>
    </w:div>
    <w:div w:id="552542040">
      <w:bodyDiv w:val="1"/>
      <w:marLeft w:val="0"/>
      <w:marRight w:val="0"/>
      <w:marTop w:val="0"/>
      <w:marBottom w:val="0"/>
      <w:divBdr>
        <w:top w:val="none" w:sz="0" w:space="0" w:color="auto"/>
        <w:left w:val="none" w:sz="0" w:space="0" w:color="auto"/>
        <w:bottom w:val="none" w:sz="0" w:space="0" w:color="auto"/>
        <w:right w:val="none" w:sz="0" w:space="0" w:color="auto"/>
      </w:divBdr>
      <w:divsChild>
        <w:div w:id="882254227">
          <w:marLeft w:val="0"/>
          <w:marRight w:val="0"/>
          <w:marTop w:val="0"/>
          <w:marBottom w:val="0"/>
          <w:divBdr>
            <w:top w:val="none" w:sz="0" w:space="0" w:color="auto"/>
            <w:left w:val="none" w:sz="0" w:space="0" w:color="auto"/>
            <w:bottom w:val="none" w:sz="0" w:space="0" w:color="auto"/>
            <w:right w:val="none" w:sz="0" w:space="0" w:color="auto"/>
          </w:divBdr>
        </w:div>
        <w:div w:id="691418704">
          <w:marLeft w:val="0"/>
          <w:marRight w:val="0"/>
          <w:marTop w:val="0"/>
          <w:marBottom w:val="0"/>
          <w:divBdr>
            <w:top w:val="none" w:sz="0" w:space="0" w:color="auto"/>
            <w:left w:val="none" w:sz="0" w:space="0" w:color="auto"/>
            <w:bottom w:val="none" w:sz="0" w:space="0" w:color="auto"/>
            <w:right w:val="none" w:sz="0" w:space="0" w:color="auto"/>
          </w:divBdr>
        </w:div>
      </w:divsChild>
    </w:div>
    <w:div w:id="555897152">
      <w:bodyDiv w:val="1"/>
      <w:marLeft w:val="0"/>
      <w:marRight w:val="0"/>
      <w:marTop w:val="0"/>
      <w:marBottom w:val="0"/>
      <w:divBdr>
        <w:top w:val="none" w:sz="0" w:space="0" w:color="auto"/>
        <w:left w:val="none" w:sz="0" w:space="0" w:color="auto"/>
        <w:bottom w:val="none" w:sz="0" w:space="0" w:color="auto"/>
        <w:right w:val="none" w:sz="0" w:space="0" w:color="auto"/>
      </w:divBdr>
    </w:div>
    <w:div w:id="564071921">
      <w:bodyDiv w:val="1"/>
      <w:marLeft w:val="0"/>
      <w:marRight w:val="0"/>
      <w:marTop w:val="0"/>
      <w:marBottom w:val="0"/>
      <w:divBdr>
        <w:top w:val="none" w:sz="0" w:space="0" w:color="auto"/>
        <w:left w:val="none" w:sz="0" w:space="0" w:color="auto"/>
        <w:bottom w:val="none" w:sz="0" w:space="0" w:color="auto"/>
        <w:right w:val="none" w:sz="0" w:space="0" w:color="auto"/>
      </w:divBdr>
    </w:div>
    <w:div w:id="564416790">
      <w:bodyDiv w:val="1"/>
      <w:marLeft w:val="0"/>
      <w:marRight w:val="0"/>
      <w:marTop w:val="0"/>
      <w:marBottom w:val="0"/>
      <w:divBdr>
        <w:top w:val="none" w:sz="0" w:space="0" w:color="auto"/>
        <w:left w:val="none" w:sz="0" w:space="0" w:color="auto"/>
        <w:bottom w:val="none" w:sz="0" w:space="0" w:color="auto"/>
        <w:right w:val="none" w:sz="0" w:space="0" w:color="auto"/>
      </w:divBdr>
    </w:div>
    <w:div w:id="581259320">
      <w:bodyDiv w:val="1"/>
      <w:marLeft w:val="0"/>
      <w:marRight w:val="0"/>
      <w:marTop w:val="0"/>
      <w:marBottom w:val="0"/>
      <w:divBdr>
        <w:top w:val="none" w:sz="0" w:space="0" w:color="auto"/>
        <w:left w:val="none" w:sz="0" w:space="0" w:color="auto"/>
        <w:bottom w:val="none" w:sz="0" w:space="0" w:color="auto"/>
        <w:right w:val="none" w:sz="0" w:space="0" w:color="auto"/>
      </w:divBdr>
    </w:div>
    <w:div w:id="581524657">
      <w:bodyDiv w:val="1"/>
      <w:marLeft w:val="0"/>
      <w:marRight w:val="0"/>
      <w:marTop w:val="0"/>
      <w:marBottom w:val="0"/>
      <w:divBdr>
        <w:top w:val="none" w:sz="0" w:space="0" w:color="auto"/>
        <w:left w:val="none" w:sz="0" w:space="0" w:color="auto"/>
        <w:bottom w:val="none" w:sz="0" w:space="0" w:color="auto"/>
        <w:right w:val="none" w:sz="0" w:space="0" w:color="auto"/>
      </w:divBdr>
    </w:div>
    <w:div w:id="583223095">
      <w:bodyDiv w:val="1"/>
      <w:marLeft w:val="0"/>
      <w:marRight w:val="0"/>
      <w:marTop w:val="0"/>
      <w:marBottom w:val="0"/>
      <w:divBdr>
        <w:top w:val="none" w:sz="0" w:space="0" w:color="auto"/>
        <w:left w:val="none" w:sz="0" w:space="0" w:color="auto"/>
        <w:bottom w:val="none" w:sz="0" w:space="0" w:color="auto"/>
        <w:right w:val="none" w:sz="0" w:space="0" w:color="auto"/>
      </w:divBdr>
    </w:div>
    <w:div w:id="587665029">
      <w:bodyDiv w:val="1"/>
      <w:marLeft w:val="0"/>
      <w:marRight w:val="0"/>
      <w:marTop w:val="0"/>
      <w:marBottom w:val="0"/>
      <w:divBdr>
        <w:top w:val="none" w:sz="0" w:space="0" w:color="auto"/>
        <w:left w:val="none" w:sz="0" w:space="0" w:color="auto"/>
        <w:bottom w:val="none" w:sz="0" w:space="0" w:color="auto"/>
        <w:right w:val="none" w:sz="0" w:space="0" w:color="auto"/>
      </w:divBdr>
    </w:div>
    <w:div w:id="601112675">
      <w:bodyDiv w:val="1"/>
      <w:marLeft w:val="0"/>
      <w:marRight w:val="0"/>
      <w:marTop w:val="0"/>
      <w:marBottom w:val="0"/>
      <w:divBdr>
        <w:top w:val="none" w:sz="0" w:space="0" w:color="auto"/>
        <w:left w:val="none" w:sz="0" w:space="0" w:color="auto"/>
        <w:bottom w:val="none" w:sz="0" w:space="0" w:color="auto"/>
        <w:right w:val="none" w:sz="0" w:space="0" w:color="auto"/>
      </w:divBdr>
    </w:div>
    <w:div w:id="601768403">
      <w:bodyDiv w:val="1"/>
      <w:marLeft w:val="0"/>
      <w:marRight w:val="0"/>
      <w:marTop w:val="0"/>
      <w:marBottom w:val="0"/>
      <w:divBdr>
        <w:top w:val="none" w:sz="0" w:space="0" w:color="auto"/>
        <w:left w:val="none" w:sz="0" w:space="0" w:color="auto"/>
        <w:bottom w:val="none" w:sz="0" w:space="0" w:color="auto"/>
        <w:right w:val="none" w:sz="0" w:space="0" w:color="auto"/>
      </w:divBdr>
    </w:div>
    <w:div w:id="610750231">
      <w:bodyDiv w:val="1"/>
      <w:marLeft w:val="0"/>
      <w:marRight w:val="0"/>
      <w:marTop w:val="0"/>
      <w:marBottom w:val="0"/>
      <w:divBdr>
        <w:top w:val="none" w:sz="0" w:space="0" w:color="auto"/>
        <w:left w:val="none" w:sz="0" w:space="0" w:color="auto"/>
        <w:bottom w:val="none" w:sz="0" w:space="0" w:color="auto"/>
        <w:right w:val="none" w:sz="0" w:space="0" w:color="auto"/>
      </w:divBdr>
    </w:div>
    <w:div w:id="611087307">
      <w:bodyDiv w:val="1"/>
      <w:marLeft w:val="0"/>
      <w:marRight w:val="0"/>
      <w:marTop w:val="0"/>
      <w:marBottom w:val="0"/>
      <w:divBdr>
        <w:top w:val="none" w:sz="0" w:space="0" w:color="auto"/>
        <w:left w:val="none" w:sz="0" w:space="0" w:color="auto"/>
        <w:bottom w:val="none" w:sz="0" w:space="0" w:color="auto"/>
        <w:right w:val="none" w:sz="0" w:space="0" w:color="auto"/>
      </w:divBdr>
    </w:div>
    <w:div w:id="613101717">
      <w:bodyDiv w:val="1"/>
      <w:marLeft w:val="0"/>
      <w:marRight w:val="0"/>
      <w:marTop w:val="0"/>
      <w:marBottom w:val="0"/>
      <w:divBdr>
        <w:top w:val="none" w:sz="0" w:space="0" w:color="auto"/>
        <w:left w:val="none" w:sz="0" w:space="0" w:color="auto"/>
        <w:bottom w:val="none" w:sz="0" w:space="0" w:color="auto"/>
        <w:right w:val="none" w:sz="0" w:space="0" w:color="auto"/>
      </w:divBdr>
    </w:div>
    <w:div w:id="613558944">
      <w:bodyDiv w:val="1"/>
      <w:marLeft w:val="0"/>
      <w:marRight w:val="0"/>
      <w:marTop w:val="0"/>
      <w:marBottom w:val="0"/>
      <w:divBdr>
        <w:top w:val="none" w:sz="0" w:space="0" w:color="auto"/>
        <w:left w:val="none" w:sz="0" w:space="0" w:color="auto"/>
        <w:bottom w:val="none" w:sz="0" w:space="0" w:color="auto"/>
        <w:right w:val="none" w:sz="0" w:space="0" w:color="auto"/>
      </w:divBdr>
    </w:div>
    <w:div w:id="615793972">
      <w:bodyDiv w:val="1"/>
      <w:marLeft w:val="0"/>
      <w:marRight w:val="0"/>
      <w:marTop w:val="0"/>
      <w:marBottom w:val="0"/>
      <w:divBdr>
        <w:top w:val="none" w:sz="0" w:space="0" w:color="auto"/>
        <w:left w:val="none" w:sz="0" w:space="0" w:color="auto"/>
        <w:bottom w:val="none" w:sz="0" w:space="0" w:color="auto"/>
        <w:right w:val="none" w:sz="0" w:space="0" w:color="auto"/>
      </w:divBdr>
    </w:div>
    <w:div w:id="624628241">
      <w:bodyDiv w:val="1"/>
      <w:marLeft w:val="0"/>
      <w:marRight w:val="0"/>
      <w:marTop w:val="0"/>
      <w:marBottom w:val="0"/>
      <w:divBdr>
        <w:top w:val="none" w:sz="0" w:space="0" w:color="auto"/>
        <w:left w:val="none" w:sz="0" w:space="0" w:color="auto"/>
        <w:bottom w:val="none" w:sz="0" w:space="0" w:color="auto"/>
        <w:right w:val="none" w:sz="0" w:space="0" w:color="auto"/>
      </w:divBdr>
    </w:div>
    <w:div w:id="625890972">
      <w:bodyDiv w:val="1"/>
      <w:marLeft w:val="0"/>
      <w:marRight w:val="0"/>
      <w:marTop w:val="0"/>
      <w:marBottom w:val="0"/>
      <w:divBdr>
        <w:top w:val="none" w:sz="0" w:space="0" w:color="auto"/>
        <w:left w:val="none" w:sz="0" w:space="0" w:color="auto"/>
        <w:bottom w:val="none" w:sz="0" w:space="0" w:color="auto"/>
        <w:right w:val="none" w:sz="0" w:space="0" w:color="auto"/>
      </w:divBdr>
    </w:div>
    <w:div w:id="627010306">
      <w:bodyDiv w:val="1"/>
      <w:marLeft w:val="0"/>
      <w:marRight w:val="0"/>
      <w:marTop w:val="0"/>
      <w:marBottom w:val="0"/>
      <w:divBdr>
        <w:top w:val="none" w:sz="0" w:space="0" w:color="auto"/>
        <w:left w:val="none" w:sz="0" w:space="0" w:color="auto"/>
        <w:bottom w:val="none" w:sz="0" w:space="0" w:color="auto"/>
        <w:right w:val="none" w:sz="0" w:space="0" w:color="auto"/>
      </w:divBdr>
    </w:div>
    <w:div w:id="628780062">
      <w:bodyDiv w:val="1"/>
      <w:marLeft w:val="0"/>
      <w:marRight w:val="0"/>
      <w:marTop w:val="0"/>
      <w:marBottom w:val="0"/>
      <w:divBdr>
        <w:top w:val="none" w:sz="0" w:space="0" w:color="auto"/>
        <w:left w:val="none" w:sz="0" w:space="0" w:color="auto"/>
        <w:bottom w:val="none" w:sz="0" w:space="0" w:color="auto"/>
        <w:right w:val="none" w:sz="0" w:space="0" w:color="auto"/>
      </w:divBdr>
    </w:div>
    <w:div w:id="637996875">
      <w:bodyDiv w:val="1"/>
      <w:marLeft w:val="0"/>
      <w:marRight w:val="0"/>
      <w:marTop w:val="0"/>
      <w:marBottom w:val="0"/>
      <w:divBdr>
        <w:top w:val="none" w:sz="0" w:space="0" w:color="auto"/>
        <w:left w:val="none" w:sz="0" w:space="0" w:color="auto"/>
        <w:bottom w:val="none" w:sz="0" w:space="0" w:color="auto"/>
        <w:right w:val="none" w:sz="0" w:space="0" w:color="auto"/>
      </w:divBdr>
    </w:div>
    <w:div w:id="646982598">
      <w:bodyDiv w:val="1"/>
      <w:marLeft w:val="0"/>
      <w:marRight w:val="0"/>
      <w:marTop w:val="0"/>
      <w:marBottom w:val="0"/>
      <w:divBdr>
        <w:top w:val="none" w:sz="0" w:space="0" w:color="auto"/>
        <w:left w:val="none" w:sz="0" w:space="0" w:color="auto"/>
        <w:bottom w:val="none" w:sz="0" w:space="0" w:color="auto"/>
        <w:right w:val="none" w:sz="0" w:space="0" w:color="auto"/>
      </w:divBdr>
    </w:div>
    <w:div w:id="649942688">
      <w:bodyDiv w:val="1"/>
      <w:marLeft w:val="0"/>
      <w:marRight w:val="0"/>
      <w:marTop w:val="0"/>
      <w:marBottom w:val="0"/>
      <w:divBdr>
        <w:top w:val="none" w:sz="0" w:space="0" w:color="auto"/>
        <w:left w:val="none" w:sz="0" w:space="0" w:color="auto"/>
        <w:bottom w:val="none" w:sz="0" w:space="0" w:color="auto"/>
        <w:right w:val="none" w:sz="0" w:space="0" w:color="auto"/>
      </w:divBdr>
    </w:div>
    <w:div w:id="652218473">
      <w:bodyDiv w:val="1"/>
      <w:marLeft w:val="0"/>
      <w:marRight w:val="0"/>
      <w:marTop w:val="0"/>
      <w:marBottom w:val="0"/>
      <w:divBdr>
        <w:top w:val="none" w:sz="0" w:space="0" w:color="auto"/>
        <w:left w:val="none" w:sz="0" w:space="0" w:color="auto"/>
        <w:bottom w:val="none" w:sz="0" w:space="0" w:color="auto"/>
        <w:right w:val="none" w:sz="0" w:space="0" w:color="auto"/>
      </w:divBdr>
    </w:div>
    <w:div w:id="663245840">
      <w:bodyDiv w:val="1"/>
      <w:marLeft w:val="0"/>
      <w:marRight w:val="0"/>
      <w:marTop w:val="0"/>
      <w:marBottom w:val="0"/>
      <w:divBdr>
        <w:top w:val="none" w:sz="0" w:space="0" w:color="auto"/>
        <w:left w:val="none" w:sz="0" w:space="0" w:color="auto"/>
        <w:bottom w:val="none" w:sz="0" w:space="0" w:color="auto"/>
        <w:right w:val="none" w:sz="0" w:space="0" w:color="auto"/>
      </w:divBdr>
    </w:div>
    <w:div w:id="673188895">
      <w:bodyDiv w:val="1"/>
      <w:marLeft w:val="0"/>
      <w:marRight w:val="0"/>
      <w:marTop w:val="0"/>
      <w:marBottom w:val="0"/>
      <w:divBdr>
        <w:top w:val="none" w:sz="0" w:space="0" w:color="auto"/>
        <w:left w:val="none" w:sz="0" w:space="0" w:color="auto"/>
        <w:bottom w:val="none" w:sz="0" w:space="0" w:color="auto"/>
        <w:right w:val="none" w:sz="0" w:space="0" w:color="auto"/>
      </w:divBdr>
    </w:div>
    <w:div w:id="674184923">
      <w:bodyDiv w:val="1"/>
      <w:marLeft w:val="0"/>
      <w:marRight w:val="0"/>
      <w:marTop w:val="0"/>
      <w:marBottom w:val="0"/>
      <w:divBdr>
        <w:top w:val="none" w:sz="0" w:space="0" w:color="auto"/>
        <w:left w:val="none" w:sz="0" w:space="0" w:color="auto"/>
        <w:bottom w:val="none" w:sz="0" w:space="0" w:color="auto"/>
        <w:right w:val="none" w:sz="0" w:space="0" w:color="auto"/>
      </w:divBdr>
    </w:div>
    <w:div w:id="680011811">
      <w:bodyDiv w:val="1"/>
      <w:marLeft w:val="0"/>
      <w:marRight w:val="0"/>
      <w:marTop w:val="0"/>
      <w:marBottom w:val="0"/>
      <w:divBdr>
        <w:top w:val="none" w:sz="0" w:space="0" w:color="auto"/>
        <w:left w:val="none" w:sz="0" w:space="0" w:color="auto"/>
        <w:bottom w:val="none" w:sz="0" w:space="0" w:color="auto"/>
        <w:right w:val="none" w:sz="0" w:space="0" w:color="auto"/>
      </w:divBdr>
    </w:div>
    <w:div w:id="682315907">
      <w:bodyDiv w:val="1"/>
      <w:marLeft w:val="0"/>
      <w:marRight w:val="0"/>
      <w:marTop w:val="0"/>
      <w:marBottom w:val="0"/>
      <w:divBdr>
        <w:top w:val="none" w:sz="0" w:space="0" w:color="auto"/>
        <w:left w:val="none" w:sz="0" w:space="0" w:color="auto"/>
        <w:bottom w:val="none" w:sz="0" w:space="0" w:color="auto"/>
        <w:right w:val="none" w:sz="0" w:space="0" w:color="auto"/>
      </w:divBdr>
    </w:div>
    <w:div w:id="692345521">
      <w:bodyDiv w:val="1"/>
      <w:marLeft w:val="0"/>
      <w:marRight w:val="0"/>
      <w:marTop w:val="0"/>
      <w:marBottom w:val="0"/>
      <w:divBdr>
        <w:top w:val="none" w:sz="0" w:space="0" w:color="auto"/>
        <w:left w:val="none" w:sz="0" w:space="0" w:color="auto"/>
        <w:bottom w:val="none" w:sz="0" w:space="0" w:color="auto"/>
        <w:right w:val="none" w:sz="0" w:space="0" w:color="auto"/>
      </w:divBdr>
    </w:div>
    <w:div w:id="694232603">
      <w:bodyDiv w:val="1"/>
      <w:marLeft w:val="0"/>
      <w:marRight w:val="0"/>
      <w:marTop w:val="0"/>
      <w:marBottom w:val="0"/>
      <w:divBdr>
        <w:top w:val="none" w:sz="0" w:space="0" w:color="auto"/>
        <w:left w:val="none" w:sz="0" w:space="0" w:color="auto"/>
        <w:bottom w:val="none" w:sz="0" w:space="0" w:color="auto"/>
        <w:right w:val="none" w:sz="0" w:space="0" w:color="auto"/>
      </w:divBdr>
    </w:div>
    <w:div w:id="697002223">
      <w:bodyDiv w:val="1"/>
      <w:marLeft w:val="0"/>
      <w:marRight w:val="0"/>
      <w:marTop w:val="0"/>
      <w:marBottom w:val="0"/>
      <w:divBdr>
        <w:top w:val="none" w:sz="0" w:space="0" w:color="auto"/>
        <w:left w:val="none" w:sz="0" w:space="0" w:color="auto"/>
        <w:bottom w:val="none" w:sz="0" w:space="0" w:color="auto"/>
        <w:right w:val="none" w:sz="0" w:space="0" w:color="auto"/>
      </w:divBdr>
    </w:div>
    <w:div w:id="708995926">
      <w:bodyDiv w:val="1"/>
      <w:marLeft w:val="0"/>
      <w:marRight w:val="0"/>
      <w:marTop w:val="0"/>
      <w:marBottom w:val="0"/>
      <w:divBdr>
        <w:top w:val="none" w:sz="0" w:space="0" w:color="auto"/>
        <w:left w:val="none" w:sz="0" w:space="0" w:color="auto"/>
        <w:bottom w:val="none" w:sz="0" w:space="0" w:color="auto"/>
        <w:right w:val="none" w:sz="0" w:space="0" w:color="auto"/>
      </w:divBdr>
    </w:div>
    <w:div w:id="712777135">
      <w:bodyDiv w:val="1"/>
      <w:marLeft w:val="0"/>
      <w:marRight w:val="0"/>
      <w:marTop w:val="0"/>
      <w:marBottom w:val="0"/>
      <w:divBdr>
        <w:top w:val="none" w:sz="0" w:space="0" w:color="auto"/>
        <w:left w:val="none" w:sz="0" w:space="0" w:color="auto"/>
        <w:bottom w:val="none" w:sz="0" w:space="0" w:color="auto"/>
        <w:right w:val="none" w:sz="0" w:space="0" w:color="auto"/>
      </w:divBdr>
    </w:div>
    <w:div w:id="723063110">
      <w:bodyDiv w:val="1"/>
      <w:marLeft w:val="0"/>
      <w:marRight w:val="0"/>
      <w:marTop w:val="0"/>
      <w:marBottom w:val="0"/>
      <w:divBdr>
        <w:top w:val="none" w:sz="0" w:space="0" w:color="auto"/>
        <w:left w:val="none" w:sz="0" w:space="0" w:color="auto"/>
        <w:bottom w:val="none" w:sz="0" w:space="0" w:color="auto"/>
        <w:right w:val="none" w:sz="0" w:space="0" w:color="auto"/>
      </w:divBdr>
    </w:div>
    <w:div w:id="744765341">
      <w:bodyDiv w:val="1"/>
      <w:marLeft w:val="0"/>
      <w:marRight w:val="0"/>
      <w:marTop w:val="0"/>
      <w:marBottom w:val="0"/>
      <w:divBdr>
        <w:top w:val="none" w:sz="0" w:space="0" w:color="auto"/>
        <w:left w:val="none" w:sz="0" w:space="0" w:color="auto"/>
        <w:bottom w:val="none" w:sz="0" w:space="0" w:color="auto"/>
        <w:right w:val="none" w:sz="0" w:space="0" w:color="auto"/>
      </w:divBdr>
    </w:div>
    <w:div w:id="753627455">
      <w:bodyDiv w:val="1"/>
      <w:marLeft w:val="0"/>
      <w:marRight w:val="0"/>
      <w:marTop w:val="0"/>
      <w:marBottom w:val="0"/>
      <w:divBdr>
        <w:top w:val="none" w:sz="0" w:space="0" w:color="auto"/>
        <w:left w:val="none" w:sz="0" w:space="0" w:color="auto"/>
        <w:bottom w:val="none" w:sz="0" w:space="0" w:color="auto"/>
        <w:right w:val="none" w:sz="0" w:space="0" w:color="auto"/>
      </w:divBdr>
    </w:div>
    <w:div w:id="753820833">
      <w:bodyDiv w:val="1"/>
      <w:marLeft w:val="0"/>
      <w:marRight w:val="0"/>
      <w:marTop w:val="0"/>
      <w:marBottom w:val="0"/>
      <w:divBdr>
        <w:top w:val="none" w:sz="0" w:space="0" w:color="auto"/>
        <w:left w:val="none" w:sz="0" w:space="0" w:color="auto"/>
        <w:bottom w:val="none" w:sz="0" w:space="0" w:color="auto"/>
        <w:right w:val="none" w:sz="0" w:space="0" w:color="auto"/>
      </w:divBdr>
    </w:div>
    <w:div w:id="764501157">
      <w:bodyDiv w:val="1"/>
      <w:marLeft w:val="0"/>
      <w:marRight w:val="0"/>
      <w:marTop w:val="0"/>
      <w:marBottom w:val="0"/>
      <w:divBdr>
        <w:top w:val="none" w:sz="0" w:space="0" w:color="auto"/>
        <w:left w:val="none" w:sz="0" w:space="0" w:color="auto"/>
        <w:bottom w:val="none" w:sz="0" w:space="0" w:color="auto"/>
        <w:right w:val="none" w:sz="0" w:space="0" w:color="auto"/>
      </w:divBdr>
    </w:div>
    <w:div w:id="776603392">
      <w:bodyDiv w:val="1"/>
      <w:marLeft w:val="0"/>
      <w:marRight w:val="0"/>
      <w:marTop w:val="0"/>
      <w:marBottom w:val="0"/>
      <w:divBdr>
        <w:top w:val="none" w:sz="0" w:space="0" w:color="auto"/>
        <w:left w:val="none" w:sz="0" w:space="0" w:color="auto"/>
        <w:bottom w:val="none" w:sz="0" w:space="0" w:color="auto"/>
        <w:right w:val="none" w:sz="0" w:space="0" w:color="auto"/>
      </w:divBdr>
    </w:div>
    <w:div w:id="784301714">
      <w:bodyDiv w:val="1"/>
      <w:marLeft w:val="0"/>
      <w:marRight w:val="0"/>
      <w:marTop w:val="0"/>
      <w:marBottom w:val="0"/>
      <w:divBdr>
        <w:top w:val="none" w:sz="0" w:space="0" w:color="auto"/>
        <w:left w:val="none" w:sz="0" w:space="0" w:color="auto"/>
        <w:bottom w:val="none" w:sz="0" w:space="0" w:color="auto"/>
        <w:right w:val="none" w:sz="0" w:space="0" w:color="auto"/>
      </w:divBdr>
    </w:div>
    <w:div w:id="785193001">
      <w:bodyDiv w:val="1"/>
      <w:marLeft w:val="0"/>
      <w:marRight w:val="0"/>
      <w:marTop w:val="0"/>
      <w:marBottom w:val="0"/>
      <w:divBdr>
        <w:top w:val="none" w:sz="0" w:space="0" w:color="auto"/>
        <w:left w:val="none" w:sz="0" w:space="0" w:color="auto"/>
        <w:bottom w:val="none" w:sz="0" w:space="0" w:color="auto"/>
        <w:right w:val="none" w:sz="0" w:space="0" w:color="auto"/>
      </w:divBdr>
    </w:div>
    <w:div w:id="785730766">
      <w:bodyDiv w:val="1"/>
      <w:marLeft w:val="0"/>
      <w:marRight w:val="0"/>
      <w:marTop w:val="0"/>
      <w:marBottom w:val="0"/>
      <w:divBdr>
        <w:top w:val="none" w:sz="0" w:space="0" w:color="auto"/>
        <w:left w:val="none" w:sz="0" w:space="0" w:color="auto"/>
        <w:bottom w:val="none" w:sz="0" w:space="0" w:color="auto"/>
        <w:right w:val="none" w:sz="0" w:space="0" w:color="auto"/>
      </w:divBdr>
    </w:div>
    <w:div w:id="811286970">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32724330">
      <w:bodyDiv w:val="1"/>
      <w:marLeft w:val="0"/>
      <w:marRight w:val="0"/>
      <w:marTop w:val="0"/>
      <w:marBottom w:val="0"/>
      <w:divBdr>
        <w:top w:val="none" w:sz="0" w:space="0" w:color="auto"/>
        <w:left w:val="none" w:sz="0" w:space="0" w:color="auto"/>
        <w:bottom w:val="none" w:sz="0" w:space="0" w:color="auto"/>
        <w:right w:val="none" w:sz="0" w:space="0" w:color="auto"/>
      </w:divBdr>
    </w:div>
    <w:div w:id="835801225">
      <w:bodyDiv w:val="1"/>
      <w:marLeft w:val="0"/>
      <w:marRight w:val="0"/>
      <w:marTop w:val="0"/>
      <w:marBottom w:val="0"/>
      <w:divBdr>
        <w:top w:val="none" w:sz="0" w:space="0" w:color="auto"/>
        <w:left w:val="none" w:sz="0" w:space="0" w:color="auto"/>
        <w:bottom w:val="none" w:sz="0" w:space="0" w:color="auto"/>
        <w:right w:val="none" w:sz="0" w:space="0" w:color="auto"/>
      </w:divBdr>
    </w:div>
    <w:div w:id="839270720">
      <w:bodyDiv w:val="1"/>
      <w:marLeft w:val="0"/>
      <w:marRight w:val="0"/>
      <w:marTop w:val="0"/>
      <w:marBottom w:val="0"/>
      <w:divBdr>
        <w:top w:val="none" w:sz="0" w:space="0" w:color="auto"/>
        <w:left w:val="none" w:sz="0" w:space="0" w:color="auto"/>
        <w:bottom w:val="none" w:sz="0" w:space="0" w:color="auto"/>
        <w:right w:val="none" w:sz="0" w:space="0" w:color="auto"/>
      </w:divBdr>
    </w:div>
    <w:div w:id="841895054">
      <w:bodyDiv w:val="1"/>
      <w:marLeft w:val="0"/>
      <w:marRight w:val="0"/>
      <w:marTop w:val="0"/>
      <w:marBottom w:val="0"/>
      <w:divBdr>
        <w:top w:val="none" w:sz="0" w:space="0" w:color="auto"/>
        <w:left w:val="none" w:sz="0" w:space="0" w:color="auto"/>
        <w:bottom w:val="none" w:sz="0" w:space="0" w:color="auto"/>
        <w:right w:val="none" w:sz="0" w:space="0" w:color="auto"/>
      </w:divBdr>
    </w:div>
    <w:div w:id="852960875">
      <w:bodyDiv w:val="1"/>
      <w:marLeft w:val="0"/>
      <w:marRight w:val="0"/>
      <w:marTop w:val="0"/>
      <w:marBottom w:val="0"/>
      <w:divBdr>
        <w:top w:val="none" w:sz="0" w:space="0" w:color="auto"/>
        <w:left w:val="none" w:sz="0" w:space="0" w:color="auto"/>
        <w:bottom w:val="none" w:sz="0" w:space="0" w:color="auto"/>
        <w:right w:val="none" w:sz="0" w:space="0" w:color="auto"/>
      </w:divBdr>
    </w:div>
    <w:div w:id="863785911">
      <w:bodyDiv w:val="1"/>
      <w:marLeft w:val="0"/>
      <w:marRight w:val="0"/>
      <w:marTop w:val="0"/>
      <w:marBottom w:val="0"/>
      <w:divBdr>
        <w:top w:val="none" w:sz="0" w:space="0" w:color="auto"/>
        <w:left w:val="none" w:sz="0" w:space="0" w:color="auto"/>
        <w:bottom w:val="none" w:sz="0" w:space="0" w:color="auto"/>
        <w:right w:val="none" w:sz="0" w:space="0" w:color="auto"/>
      </w:divBdr>
    </w:div>
    <w:div w:id="867908967">
      <w:bodyDiv w:val="1"/>
      <w:marLeft w:val="0"/>
      <w:marRight w:val="0"/>
      <w:marTop w:val="0"/>
      <w:marBottom w:val="0"/>
      <w:divBdr>
        <w:top w:val="none" w:sz="0" w:space="0" w:color="auto"/>
        <w:left w:val="none" w:sz="0" w:space="0" w:color="auto"/>
        <w:bottom w:val="none" w:sz="0" w:space="0" w:color="auto"/>
        <w:right w:val="none" w:sz="0" w:space="0" w:color="auto"/>
      </w:divBdr>
    </w:div>
    <w:div w:id="869418550">
      <w:bodyDiv w:val="1"/>
      <w:marLeft w:val="0"/>
      <w:marRight w:val="0"/>
      <w:marTop w:val="0"/>
      <w:marBottom w:val="0"/>
      <w:divBdr>
        <w:top w:val="none" w:sz="0" w:space="0" w:color="auto"/>
        <w:left w:val="none" w:sz="0" w:space="0" w:color="auto"/>
        <w:bottom w:val="none" w:sz="0" w:space="0" w:color="auto"/>
        <w:right w:val="none" w:sz="0" w:space="0" w:color="auto"/>
      </w:divBdr>
    </w:div>
    <w:div w:id="872304780">
      <w:bodyDiv w:val="1"/>
      <w:marLeft w:val="0"/>
      <w:marRight w:val="0"/>
      <w:marTop w:val="0"/>
      <w:marBottom w:val="0"/>
      <w:divBdr>
        <w:top w:val="none" w:sz="0" w:space="0" w:color="auto"/>
        <w:left w:val="none" w:sz="0" w:space="0" w:color="auto"/>
        <w:bottom w:val="none" w:sz="0" w:space="0" w:color="auto"/>
        <w:right w:val="none" w:sz="0" w:space="0" w:color="auto"/>
      </w:divBdr>
    </w:div>
    <w:div w:id="875392844">
      <w:bodyDiv w:val="1"/>
      <w:marLeft w:val="0"/>
      <w:marRight w:val="0"/>
      <w:marTop w:val="0"/>
      <w:marBottom w:val="0"/>
      <w:divBdr>
        <w:top w:val="none" w:sz="0" w:space="0" w:color="auto"/>
        <w:left w:val="none" w:sz="0" w:space="0" w:color="auto"/>
        <w:bottom w:val="none" w:sz="0" w:space="0" w:color="auto"/>
        <w:right w:val="none" w:sz="0" w:space="0" w:color="auto"/>
      </w:divBdr>
    </w:div>
    <w:div w:id="875771890">
      <w:bodyDiv w:val="1"/>
      <w:marLeft w:val="0"/>
      <w:marRight w:val="0"/>
      <w:marTop w:val="0"/>
      <w:marBottom w:val="0"/>
      <w:divBdr>
        <w:top w:val="none" w:sz="0" w:space="0" w:color="auto"/>
        <w:left w:val="none" w:sz="0" w:space="0" w:color="auto"/>
        <w:bottom w:val="none" w:sz="0" w:space="0" w:color="auto"/>
        <w:right w:val="none" w:sz="0" w:space="0" w:color="auto"/>
      </w:divBdr>
    </w:div>
    <w:div w:id="880095463">
      <w:bodyDiv w:val="1"/>
      <w:marLeft w:val="0"/>
      <w:marRight w:val="0"/>
      <w:marTop w:val="0"/>
      <w:marBottom w:val="0"/>
      <w:divBdr>
        <w:top w:val="none" w:sz="0" w:space="0" w:color="auto"/>
        <w:left w:val="none" w:sz="0" w:space="0" w:color="auto"/>
        <w:bottom w:val="none" w:sz="0" w:space="0" w:color="auto"/>
        <w:right w:val="none" w:sz="0" w:space="0" w:color="auto"/>
      </w:divBdr>
    </w:div>
    <w:div w:id="892732558">
      <w:bodyDiv w:val="1"/>
      <w:marLeft w:val="0"/>
      <w:marRight w:val="0"/>
      <w:marTop w:val="0"/>
      <w:marBottom w:val="0"/>
      <w:divBdr>
        <w:top w:val="none" w:sz="0" w:space="0" w:color="auto"/>
        <w:left w:val="none" w:sz="0" w:space="0" w:color="auto"/>
        <w:bottom w:val="none" w:sz="0" w:space="0" w:color="auto"/>
        <w:right w:val="none" w:sz="0" w:space="0" w:color="auto"/>
      </w:divBdr>
    </w:div>
    <w:div w:id="901908248">
      <w:bodyDiv w:val="1"/>
      <w:marLeft w:val="0"/>
      <w:marRight w:val="0"/>
      <w:marTop w:val="0"/>
      <w:marBottom w:val="0"/>
      <w:divBdr>
        <w:top w:val="none" w:sz="0" w:space="0" w:color="auto"/>
        <w:left w:val="none" w:sz="0" w:space="0" w:color="auto"/>
        <w:bottom w:val="none" w:sz="0" w:space="0" w:color="auto"/>
        <w:right w:val="none" w:sz="0" w:space="0" w:color="auto"/>
      </w:divBdr>
    </w:div>
    <w:div w:id="921451936">
      <w:bodyDiv w:val="1"/>
      <w:marLeft w:val="0"/>
      <w:marRight w:val="0"/>
      <w:marTop w:val="0"/>
      <w:marBottom w:val="0"/>
      <w:divBdr>
        <w:top w:val="none" w:sz="0" w:space="0" w:color="auto"/>
        <w:left w:val="none" w:sz="0" w:space="0" w:color="auto"/>
        <w:bottom w:val="none" w:sz="0" w:space="0" w:color="auto"/>
        <w:right w:val="none" w:sz="0" w:space="0" w:color="auto"/>
      </w:divBdr>
    </w:div>
    <w:div w:id="922180215">
      <w:bodyDiv w:val="1"/>
      <w:marLeft w:val="0"/>
      <w:marRight w:val="0"/>
      <w:marTop w:val="0"/>
      <w:marBottom w:val="0"/>
      <w:divBdr>
        <w:top w:val="none" w:sz="0" w:space="0" w:color="auto"/>
        <w:left w:val="none" w:sz="0" w:space="0" w:color="auto"/>
        <w:bottom w:val="none" w:sz="0" w:space="0" w:color="auto"/>
        <w:right w:val="none" w:sz="0" w:space="0" w:color="auto"/>
      </w:divBdr>
    </w:div>
    <w:div w:id="929119553">
      <w:bodyDiv w:val="1"/>
      <w:marLeft w:val="0"/>
      <w:marRight w:val="0"/>
      <w:marTop w:val="0"/>
      <w:marBottom w:val="0"/>
      <w:divBdr>
        <w:top w:val="none" w:sz="0" w:space="0" w:color="auto"/>
        <w:left w:val="none" w:sz="0" w:space="0" w:color="auto"/>
        <w:bottom w:val="none" w:sz="0" w:space="0" w:color="auto"/>
        <w:right w:val="none" w:sz="0" w:space="0" w:color="auto"/>
      </w:divBdr>
    </w:div>
    <w:div w:id="937255181">
      <w:bodyDiv w:val="1"/>
      <w:marLeft w:val="0"/>
      <w:marRight w:val="0"/>
      <w:marTop w:val="0"/>
      <w:marBottom w:val="0"/>
      <w:divBdr>
        <w:top w:val="none" w:sz="0" w:space="0" w:color="auto"/>
        <w:left w:val="none" w:sz="0" w:space="0" w:color="auto"/>
        <w:bottom w:val="none" w:sz="0" w:space="0" w:color="auto"/>
        <w:right w:val="none" w:sz="0" w:space="0" w:color="auto"/>
      </w:divBdr>
    </w:div>
    <w:div w:id="947085684">
      <w:bodyDiv w:val="1"/>
      <w:marLeft w:val="0"/>
      <w:marRight w:val="0"/>
      <w:marTop w:val="0"/>
      <w:marBottom w:val="0"/>
      <w:divBdr>
        <w:top w:val="none" w:sz="0" w:space="0" w:color="auto"/>
        <w:left w:val="none" w:sz="0" w:space="0" w:color="auto"/>
        <w:bottom w:val="none" w:sz="0" w:space="0" w:color="auto"/>
        <w:right w:val="none" w:sz="0" w:space="0" w:color="auto"/>
      </w:divBdr>
    </w:div>
    <w:div w:id="950017423">
      <w:bodyDiv w:val="1"/>
      <w:marLeft w:val="0"/>
      <w:marRight w:val="0"/>
      <w:marTop w:val="0"/>
      <w:marBottom w:val="0"/>
      <w:divBdr>
        <w:top w:val="none" w:sz="0" w:space="0" w:color="auto"/>
        <w:left w:val="none" w:sz="0" w:space="0" w:color="auto"/>
        <w:bottom w:val="none" w:sz="0" w:space="0" w:color="auto"/>
        <w:right w:val="none" w:sz="0" w:space="0" w:color="auto"/>
      </w:divBdr>
    </w:div>
    <w:div w:id="955404674">
      <w:bodyDiv w:val="1"/>
      <w:marLeft w:val="0"/>
      <w:marRight w:val="0"/>
      <w:marTop w:val="0"/>
      <w:marBottom w:val="0"/>
      <w:divBdr>
        <w:top w:val="none" w:sz="0" w:space="0" w:color="auto"/>
        <w:left w:val="none" w:sz="0" w:space="0" w:color="auto"/>
        <w:bottom w:val="none" w:sz="0" w:space="0" w:color="auto"/>
        <w:right w:val="none" w:sz="0" w:space="0" w:color="auto"/>
      </w:divBdr>
    </w:div>
    <w:div w:id="955869975">
      <w:bodyDiv w:val="1"/>
      <w:marLeft w:val="0"/>
      <w:marRight w:val="0"/>
      <w:marTop w:val="0"/>
      <w:marBottom w:val="0"/>
      <w:divBdr>
        <w:top w:val="none" w:sz="0" w:space="0" w:color="auto"/>
        <w:left w:val="none" w:sz="0" w:space="0" w:color="auto"/>
        <w:bottom w:val="none" w:sz="0" w:space="0" w:color="auto"/>
        <w:right w:val="none" w:sz="0" w:space="0" w:color="auto"/>
      </w:divBdr>
    </w:div>
    <w:div w:id="961768802">
      <w:bodyDiv w:val="1"/>
      <w:marLeft w:val="0"/>
      <w:marRight w:val="0"/>
      <w:marTop w:val="0"/>
      <w:marBottom w:val="0"/>
      <w:divBdr>
        <w:top w:val="none" w:sz="0" w:space="0" w:color="auto"/>
        <w:left w:val="none" w:sz="0" w:space="0" w:color="auto"/>
        <w:bottom w:val="none" w:sz="0" w:space="0" w:color="auto"/>
        <w:right w:val="none" w:sz="0" w:space="0" w:color="auto"/>
      </w:divBdr>
    </w:div>
    <w:div w:id="968557028">
      <w:bodyDiv w:val="1"/>
      <w:marLeft w:val="0"/>
      <w:marRight w:val="0"/>
      <w:marTop w:val="0"/>
      <w:marBottom w:val="0"/>
      <w:divBdr>
        <w:top w:val="none" w:sz="0" w:space="0" w:color="auto"/>
        <w:left w:val="none" w:sz="0" w:space="0" w:color="auto"/>
        <w:bottom w:val="none" w:sz="0" w:space="0" w:color="auto"/>
        <w:right w:val="none" w:sz="0" w:space="0" w:color="auto"/>
      </w:divBdr>
    </w:div>
    <w:div w:id="969361540">
      <w:bodyDiv w:val="1"/>
      <w:marLeft w:val="0"/>
      <w:marRight w:val="0"/>
      <w:marTop w:val="0"/>
      <w:marBottom w:val="0"/>
      <w:divBdr>
        <w:top w:val="none" w:sz="0" w:space="0" w:color="auto"/>
        <w:left w:val="none" w:sz="0" w:space="0" w:color="auto"/>
        <w:bottom w:val="none" w:sz="0" w:space="0" w:color="auto"/>
        <w:right w:val="none" w:sz="0" w:space="0" w:color="auto"/>
      </w:divBdr>
    </w:div>
    <w:div w:id="978464028">
      <w:bodyDiv w:val="1"/>
      <w:marLeft w:val="0"/>
      <w:marRight w:val="0"/>
      <w:marTop w:val="0"/>
      <w:marBottom w:val="0"/>
      <w:divBdr>
        <w:top w:val="none" w:sz="0" w:space="0" w:color="auto"/>
        <w:left w:val="none" w:sz="0" w:space="0" w:color="auto"/>
        <w:bottom w:val="none" w:sz="0" w:space="0" w:color="auto"/>
        <w:right w:val="none" w:sz="0" w:space="0" w:color="auto"/>
      </w:divBdr>
    </w:div>
    <w:div w:id="980694632">
      <w:bodyDiv w:val="1"/>
      <w:marLeft w:val="0"/>
      <w:marRight w:val="0"/>
      <w:marTop w:val="0"/>
      <w:marBottom w:val="0"/>
      <w:divBdr>
        <w:top w:val="none" w:sz="0" w:space="0" w:color="auto"/>
        <w:left w:val="none" w:sz="0" w:space="0" w:color="auto"/>
        <w:bottom w:val="none" w:sz="0" w:space="0" w:color="auto"/>
        <w:right w:val="none" w:sz="0" w:space="0" w:color="auto"/>
      </w:divBdr>
    </w:div>
    <w:div w:id="998312691">
      <w:bodyDiv w:val="1"/>
      <w:marLeft w:val="0"/>
      <w:marRight w:val="0"/>
      <w:marTop w:val="0"/>
      <w:marBottom w:val="0"/>
      <w:divBdr>
        <w:top w:val="none" w:sz="0" w:space="0" w:color="auto"/>
        <w:left w:val="none" w:sz="0" w:space="0" w:color="auto"/>
        <w:bottom w:val="none" w:sz="0" w:space="0" w:color="auto"/>
        <w:right w:val="none" w:sz="0" w:space="0" w:color="auto"/>
      </w:divBdr>
    </w:div>
    <w:div w:id="1002053085">
      <w:bodyDiv w:val="1"/>
      <w:marLeft w:val="0"/>
      <w:marRight w:val="0"/>
      <w:marTop w:val="0"/>
      <w:marBottom w:val="0"/>
      <w:divBdr>
        <w:top w:val="none" w:sz="0" w:space="0" w:color="auto"/>
        <w:left w:val="none" w:sz="0" w:space="0" w:color="auto"/>
        <w:bottom w:val="none" w:sz="0" w:space="0" w:color="auto"/>
        <w:right w:val="none" w:sz="0" w:space="0" w:color="auto"/>
      </w:divBdr>
    </w:div>
    <w:div w:id="1008291376">
      <w:bodyDiv w:val="1"/>
      <w:marLeft w:val="0"/>
      <w:marRight w:val="0"/>
      <w:marTop w:val="0"/>
      <w:marBottom w:val="0"/>
      <w:divBdr>
        <w:top w:val="none" w:sz="0" w:space="0" w:color="auto"/>
        <w:left w:val="none" w:sz="0" w:space="0" w:color="auto"/>
        <w:bottom w:val="none" w:sz="0" w:space="0" w:color="auto"/>
        <w:right w:val="none" w:sz="0" w:space="0" w:color="auto"/>
      </w:divBdr>
    </w:div>
    <w:div w:id="1012607411">
      <w:bodyDiv w:val="1"/>
      <w:marLeft w:val="0"/>
      <w:marRight w:val="0"/>
      <w:marTop w:val="0"/>
      <w:marBottom w:val="0"/>
      <w:divBdr>
        <w:top w:val="none" w:sz="0" w:space="0" w:color="auto"/>
        <w:left w:val="none" w:sz="0" w:space="0" w:color="auto"/>
        <w:bottom w:val="none" w:sz="0" w:space="0" w:color="auto"/>
        <w:right w:val="none" w:sz="0" w:space="0" w:color="auto"/>
      </w:divBdr>
    </w:div>
    <w:div w:id="1024014205">
      <w:bodyDiv w:val="1"/>
      <w:marLeft w:val="0"/>
      <w:marRight w:val="0"/>
      <w:marTop w:val="0"/>
      <w:marBottom w:val="0"/>
      <w:divBdr>
        <w:top w:val="none" w:sz="0" w:space="0" w:color="auto"/>
        <w:left w:val="none" w:sz="0" w:space="0" w:color="auto"/>
        <w:bottom w:val="none" w:sz="0" w:space="0" w:color="auto"/>
        <w:right w:val="none" w:sz="0" w:space="0" w:color="auto"/>
      </w:divBdr>
    </w:div>
    <w:div w:id="1049500294">
      <w:bodyDiv w:val="1"/>
      <w:marLeft w:val="0"/>
      <w:marRight w:val="0"/>
      <w:marTop w:val="0"/>
      <w:marBottom w:val="0"/>
      <w:divBdr>
        <w:top w:val="none" w:sz="0" w:space="0" w:color="auto"/>
        <w:left w:val="none" w:sz="0" w:space="0" w:color="auto"/>
        <w:bottom w:val="none" w:sz="0" w:space="0" w:color="auto"/>
        <w:right w:val="none" w:sz="0" w:space="0" w:color="auto"/>
      </w:divBdr>
    </w:div>
    <w:div w:id="1051004860">
      <w:bodyDiv w:val="1"/>
      <w:marLeft w:val="0"/>
      <w:marRight w:val="0"/>
      <w:marTop w:val="0"/>
      <w:marBottom w:val="0"/>
      <w:divBdr>
        <w:top w:val="none" w:sz="0" w:space="0" w:color="auto"/>
        <w:left w:val="none" w:sz="0" w:space="0" w:color="auto"/>
        <w:bottom w:val="none" w:sz="0" w:space="0" w:color="auto"/>
        <w:right w:val="none" w:sz="0" w:space="0" w:color="auto"/>
      </w:divBdr>
    </w:div>
    <w:div w:id="1055592225">
      <w:bodyDiv w:val="1"/>
      <w:marLeft w:val="0"/>
      <w:marRight w:val="0"/>
      <w:marTop w:val="0"/>
      <w:marBottom w:val="0"/>
      <w:divBdr>
        <w:top w:val="none" w:sz="0" w:space="0" w:color="auto"/>
        <w:left w:val="none" w:sz="0" w:space="0" w:color="auto"/>
        <w:bottom w:val="none" w:sz="0" w:space="0" w:color="auto"/>
        <w:right w:val="none" w:sz="0" w:space="0" w:color="auto"/>
      </w:divBdr>
    </w:div>
    <w:div w:id="1059330034">
      <w:bodyDiv w:val="1"/>
      <w:marLeft w:val="0"/>
      <w:marRight w:val="0"/>
      <w:marTop w:val="0"/>
      <w:marBottom w:val="0"/>
      <w:divBdr>
        <w:top w:val="none" w:sz="0" w:space="0" w:color="auto"/>
        <w:left w:val="none" w:sz="0" w:space="0" w:color="auto"/>
        <w:bottom w:val="none" w:sz="0" w:space="0" w:color="auto"/>
        <w:right w:val="none" w:sz="0" w:space="0" w:color="auto"/>
      </w:divBdr>
    </w:div>
    <w:div w:id="1059746356">
      <w:bodyDiv w:val="1"/>
      <w:marLeft w:val="0"/>
      <w:marRight w:val="0"/>
      <w:marTop w:val="0"/>
      <w:marBottom w:val="0"/>
      <w:divBdr>
        <w:top w:val="none" w:sz="0" w:space="0" w:color="auto"/>
        <w:left w:val="none" w:sz="0" w:space="0" w:color="auto"/>
        <w:bottom w:val="none" w:sz="0" w:space="0" w:color="auto"/>
        <w:right w:val="none" w:sz="0" w:space="0" w:color="auto"/>
      </w:divBdr>
    </w:div>
    <w:div w:id="1063867735">
      <w:bodyDiv w:val="1"/>
      <w:marLeft w:val="0"/>
      <w:marRight w:val="0"/>
      <w:marTop w:val="0"/>
      <w:marBottom w:val="0"/>
      <w:divBdr>
        <w:top w:val="none" w:sz="0" w:space="0" w:color="auto"/>
        <w:left w:val="none" w:sz="0" w:space="0" w:color="auto"/>
        <w:bottom w:val="none" w:sz="0" w:space="0" w:color="auto"/>
        <w:right w:val="none" w:sz="0" w:space="0" w:color="auto"/>
      </w:divBdr>
    </w:div>
    <w:div w:id="1065683596">
      <w:bodyDiv w:val="1"/>
      <w:marLeft w:val="0"/>
      <w:marRight w:val="0"/>
      <w:marTop w:val="0"/>
      <w:marBottom w:val="0"/>
      <w:divBdr>
        <w:top w:val="none" w:sz="0" w:space="0" w:color="auto"/>
        <w:left w:val="none" w:sz="0" w:space="0" w:color="auto"/>
        <w:bottom w:val="none" w:sz="0" w:space="0" w:color="auto"/>
        <w:right w:val="none" w:sz="0" w:space="0" w:color="auto"/>
      </w:divBdr>
    </w:div>
    <w:div w:id="1069809932">
      <w:bodyDiv w:val="1"/>
      <w:marLeft w:val="0"/>
      <w:marRight w:val="0"/>
      <w:marTop w:val="0"/>
      <w:marBottom w:val="0"/>
      <w:divBdr>
        <w:top w:val="none" w:sz="0" w:space="0" w:color="auto"/>
        <w:left w:val="none" w:sz="0" w:space="0" w:color="auto"/>
        <w:bottom w:val="none" w:sz="0" w:space="0" w:color="auto"/>
        <w:right w:val="none" w:sz="0" w:space="0" w:color="auto"/>
      </w:divBdr>
    </w:div>
    <w:div w:id="1077050895">
      <w:bodyDiv w:val="1"/>
      <w:marLeft w:val="0"/>
      <w:marRight w:val="0"/>
      <w:marTop w:val="0"/>
      <w:marBottom w:val="0"/>
      <w:divBdr>
        <w:top w:val="none" w:sz="0" w:space="0" w:color="auto"/>
        <w:left w:val="none" w:sz="0" w:space="0" w:color="auto"/>
        <w:bottom w:val="none" w:sz="0" w:space="0" w:color="auto"/>
        <w:right w:val="none" w:sz="0" w:space="0" w:color="auto"/>
      </w:divBdr>
    </w:div>
    <w:div w:id="1082331557">
      <w:bodyDiv w:val="1"/>
      <w:marLeft w:val="0"/>
      <w:marRight w:val="0"/>
      <w:marTop w:val="0"/>
      <w:marBottom w:val="0"/>
      <w:divBdr>
        <w:top w:val="none" w:sz="0" w:space="0" w:color="auto"/>
        <w:left w:val="none" w:sz="0" w:space="0" w:color="auto"/>
        <w:bottom w:val="none" w:sz="0" w:space="0" w:color="auto"/>
        <w:right w:val="none" w:sz="0" w:space="0" w:color="auto"/>
      </w:divBdr>
    </w:div>
    <w:div w:id="1087188205">
      <w:bodyDiv w:val="1"/>
      <w:marLeft w:val="0"/>
      <w:marRight w:val="0"/>
      <w:marTop w:val="0"/>
      <w:marBottom w:val="0"/>
      <w:divBdr>
        <w:top w:val="none" w:sz="0" w:space="0" w:color="auto"/>
        <w:left w:val="none" w:sz="0" w:space="0" w:color="auto"/>
        <w:bottom w:val="none" w:sz="0" w:space="0" w:color="auto"/>
        <w:right w:val="none" w:sz="0" w:space="0" w:color="auto"/>
      </w:divBdr>
    </w:div>
    <w:div w:id="1088385991">
      <w:bodyDiv w:val="1"/>
      <w:marLeft w:val="0"/>
      <w:marRight w:val="0"/>
      <w:marTop w:val="0"/>
      <w:marBottom w:val="0"/>
      <w:divBdr>
        <w:top w:val="none" w:sz="0" w:space="0" w:color="auto"/>
        <w:left w:val="none" w:sz="0" w:space="0" w:color="auto"/>
        <w:bottom w:val="none" w:sz="0" w:space="0" w:color="auto"/>
        <w:right w:val="none" w:sz="0" w:space="0" w:color="auto"/>
      </w:divBdr>
    </w:div>
    <w:div w:id="1091705942">
      <w:bodyDiv w:val="1"/>
      <w:marLeft w:val="0"/>
      <w:marRight w:val="0"/>
      <w:marTop w:val="0"/>
      <w:marBottom w:val="0"/>
      <w:divBdr>
        <w:top w:val="none" w:sz="0" w:space="0" w:color="auto"/>
        <w:left w:val="none" w:sz="0" w:space="0" w:color="auto"/>
        <w:bottom w:val="none" w:sz="0" w:space="0" w:color="auto"/>
        <w:right w:val="none" w:sz="0" w:space="0" w:color="auto"/>
      </w:divBdr>
      <w:divsChild>
        <w:div w:id="1385254409">
          <w:marLeft w:val="0"/>
          <w:marRight w:val="0"/>
          <w:marTop w:val="0"/>
          <w:marBottom w:val="0"/>
          <w:divBdr>
            <w:top w:val="none" w:sz="0" w:space="0" w:color="auto"/>
            <w:left w:val="none" w:sz="0" w:space="0" w:color="auto"/>
            <w:bottom w:val="none" w:sz="0" w:space="0" w:color="auto"/>
            <w:right w:val="none" w:sz="0" w:space="0" w:color="auto"/>
          </w:divBdr>
        </w:div>
        <w:div w:id="1060441730">
          <w:marLeft w:val="0"/>
          <w:marRight w:val="0"/>
          <w:marTop w:val="0"/>
          <w:marBottom w:val="0"/>
          <w:divBdr>
            <w:top w:val="none" w:sz="0" w:space="0" w:color="auto"/>
            <w:left w:val="none" w:sz="0" w:space="0" w:color="auto"/>
            <w:bottom w:val="none" w:sz="0" w:space="0" w:color="auto"/>
            <w:right w:val="none" w:sz="0" w:space="0" w:color="auto"/>
          </w:divBdr>
        </w:div>
        <w:div w:id="205920268">
          <w:marLeft w:val="0"/>
          <w:marRight w:val="0"/>
          <w:marTop w:val="0"/>
          <w:marBottom w:val="0"/>
          <w:divBdr>
            <w:top w:val="none" w:sz="0" w:space="0" w:color="auto"/>
            <w:left w:val="none" w:sz="0" w:space="0" w:color="auto"/>
            <w:bottom w:val="none" w:sz="0" w:space="0" w:color="auto"/>
            <w:right w:val="none" w:sz="0" w:space="0" w:color="auto"/>
          </w:divBdr>
        </w:div>
        <w:div w:id="103769300">
          <w:marLeft w:val="0"/>
          <w:marRight w:val="0"/>
          <w:marTop w:val="0"/>
          <w:marBottom w:val="0"/>
          <w:divBdr>
            <w:top w:val="none" w:sz="0" w:space="0" w:color="auto"/>
            <w:left w:val="none" w:sz="0" w:space="0" w:color="auto"/>
            <w:bottom w:val="none" w:sz="0" w:space="0" w:color="auto"/>
            <w:right w:val="none" w:sz="0" w:space="0" w:color="auto"/>
          </w:divBdr>
        </w:div>
      </w:divsChild>
    </w:div>
    <w:div w:id="1094517394">
      <w:bodyDiv w:val="1"/>
      <w:marLeft w:val="0"/>
      <w:marRight w:val="0"/>
      <w:marTop w:val="0"/>
      <w:marBottom w:val="0"/>
      <w:divBdr>
        <w:top w:val="none" w:sz="0" w:space="0" w:color="auto"/>
        <w:left w:val="none" w:sz="0" w:space="0" w:color="auto"/>
        <w:bottom w:val="none" w:sz="0" w:space="0" w:color="auto"/>
        <w:right w:val="none" w:sz="0" w:space="0" w:color="auto"/>
      </w:divBdr>
    </w:div>
    <w:div w:id="1097215450">
      <w:bodyDiv w:val="1"/>
      <w:marLeft w:val="0"/>
      <w:marRight w:val="0"/>
      <w:marTop w:val="0"/>
      <w:marBottom w:val="0"/>
      <w:divBdr>
        <w:top w:val="none" w:sz="0" w:space="0" w:color="auto"/>
        <w:left w:val="none" w:sz="0" w:space="0" w:color="auto"/>
        <w:bottom w:val="none" w:sz="0" w:space="0" w:color="auto"/>
        <w:right w:val="none" w:sz="0" w:space="0" w:color="auto"/>
      </w:divBdr>
    </w:div>
    <w:div w:id="1103723157">
      <w:bodyDiv w:val="1"/>
      <w:marLeft w:val="0"/>
      <w:marRight w:val="0"/>
      <w:marTop w:val="0"/>
      <w:marBottom w:val="0"/>
      <w:divBdr>
        <w:top w:val="none" w:sz="0" w:space="0" w:color="auto"/>
        <w:left w:val="none" w:sz="0" w:space="0" w:color="auto"/>
        <w:bottom w:val="none" w:sz="0" w:space="0" w:color="auto"/>
        <w:right w:val="none" w:sz="0" w:space="0" w:color="auto"/>
      </w:divBdr>
    </w:div>
    <w:div w:id="1111315607">
      <w:bodyDiv w:val="1"/>
      <w:marLeft w:val="0"/>
      <w:marRight w:val="0"/>
      <w:marTop w:val="0"/>
      <w:marBottom w:val="0"/>
      <w:divBdr>
        <w:top w:val="none" w:sz="0" w:space="0" w:color="auto"/>
        <w:left w:val="none" w:sz="0" w:space="0" w:color="auto"/>
        <w:bottom w:val="none" w:sz="0" w:space="0" w:color="auto"/>
        <w:right w:val="none" w:sz="0" w:space="0" w:color="auto"/>
      </w:divBdr>
    </w:div>
    <w:div w:id="1111390711">
      <w:bodyDiv w:val="1"/>
      <w:marLeft w:val="0"/>
      <w:marRight w:val="0"/>
      <w:marTop w:val="0"/>
      <w:marBottom w:val="0"/>
      <w:divBdr>
        <w:top w:val="none" w:sz="0" w:space="0" w:color="auto"/>
        <w:left w:val="none" w:sz="0" w:space="0" w:color="auto"/>
        <w:bottom w:val="none" w:sz="0" w:space="0" w:color="auto"/>
        <w:right w:val="none" w:sz="0" w:space="0" w:color="auto"/>
      </w:divBdr>
    </w:div>
    <w:div w:id="1115563839">
      <w:bodyDiv w:val="1"/>
      <w:marLeft w:val="0"/>
      <w:marRight w:val="0"/>
      <w:marTop w:val="0"/>
      <w:marBottom w:val="0"/>
      <w:divBdr>
        <w:top w:val="none" w:sz="0" w:space="0" w:color="auto"/>
        <w:left w:val="none" w:sz="0" w:space="0" w:color="auto"/>
        <w:bottom w:val="none" w:sz="0" w:space="0" w:color="auto"/>
        <w:right w:val="none" w:sz="0" w:space="0" w:color="auto"/>
      </w:divBdr>
    </w:div>
    <w:div w:id="1117677589">
      <w:bodyDiv w:val="1"/>
      <w:marLeft w:val="0"/>
      <w:marRight w:val="0"/>
      <w:marTop w:val="0"/>
      <w:marBottom w:val="0"/>
      <w:divBdr>
        <w:top w:val="none" w:sz="0" w:space="0" w:color="auto"/>
        <w:left w:val="none" w:sz="0" w:space="0" w:color="auto"/>
        <w:bottom w:val="none" w:sz="0" w:space="0" w:color="auto"/>
        <w:right w:val="none" w:sz="0" w:space="0" w:color="auto"/>
      </w:divBdr>
    </w:div>
    <w:div w:id="1123231063">
      <w:bodyDiv w:val="1"/>
      <w:marLeft w:val="0"/>
      <w:marRight w:val="0"/>
      <w:marTop w:val="0"/>
      <w:marBottom w:val="0"/>
      <w:divBdr>
        <w:top w:val="none" w:sz="0" w:space="0" w:color="auto"/>
        <w:left w:val="none" w:sz="0" w:space="0" w:color="auto"/>
        <w:bottom w:val="none" w:sz="0" w:space="0" w:color="auto"/>
        <w:right w:val="none" w:sz="0" w:space="0" w:color="auto"/>
      </w:divBdr>
    </w:div>
    <w:div w:id="1126193219">
      <w:bodyDiv w:val="1"/>
      <w:marLeft w:val="0"/>
      <w:marRight w:val="0"/>
      <w:marTop w:val="0"/>
      <w:marBottom w:val="0"/>
      <w:divBdr>
        <w:top w:val="none" w:sz="0" w:space="0" w:color="auto"/>
        <w:left w:val="none" w:sz="0" w:space="0" w:color="auto"/>
        <w:bottom w:val="none" w:sz="0" w:space="0" w:color="auto"/>
        <w:right w:val="none" w:sz="0" w:space="0" w:color="auto"/>
      </w:divBdr>
    </w:div>
    <w:div w:id="1127315695">
      <w:bodyDiv w:val="1"/>
      <w:marLeft w:val="0"/>
      <w:marRight w:val="0"/>
      <w:marTop w:val="0"/>
      <w:marBottom w:val="0"/>
      <w:divBdr>
        <w:top w:val="none" w:sz="0" w:space="0" w:color="auto"/>
        <w:left w:val="none" w:sz="0" w:space="0" w:color="auto"/>
        <w:bottom w:val="none" w:sz="0" w:space="0" w:color="auto"/>
        <w:right w:val="none" w:sz="0" w:space="0" w:color="auto"/>
      </w:divBdr>
    </w:div>
    <w:div w:id="1128938003">
      <w:bodyDiv w:val="1"/>
      <w:marLeft w:val="0"/>
      <w:marRight w:val="0"/>
      <w:marTop w:val="0"/>
      <w:marBottom w:val="0"/>
      <w:divBdr>
        <w:top w:val="none" w:sz="0" w:space="0" w:color="auto"/>
        <w:left w:val="none" w:sz="0" w:space="0" w:color="auto"/>
        <w:bottom w:val="none" w:sz="0" w:space="0" w:color="auto"/>
        <w:right w:val="none" w:sz="0" w:space="0" w:color="auto"/>
      </w:divBdr>
    </w:div>
    <w:div w:id="1131629759">
      <w:bodyDiv w:val="1"/>
      <w:marLeft w:val="0"/>
      <w:marRight w:val="0"/>
      <w:marTop w:val="0"/>
      <w:marBottom w:val="0"/>
      <w:divBdr>
        <w:top w:val="none" w:sz="0" w:space="0" w:color="auto"/>
        <w:left w:val="none" w:sz="0" w:space="0" w:color="auto"/>
        <w:bottom w:val="none" w:sz="0" w:space="0" w:color="auto"/>
        <w:right w:val="none" w:sz="0" w:space="0" w:color="auto"/>
      </w:divBdr>
    </w:div>
    <w:div w:id="1142697505">
      <w:bodyDiv w:val="1"/>
      <w:marLeft w:val="0"/>
      <w:marRight w:val="0"/>
      <w:marTop w:val="0"/>
      <w:marBottom w:val="0"/>
      <w:divBdr>
        <w:top w:val="none" w:sz="0" w:space="0" w:color="auto"/>
        <w:left w:val="none" w:sz="0" w:space="0" w:color="auto"/>
        <w:bottom w:val="none" w:sz="0" w:space="0" w:color="auto"/>
        <w:right w:val="none" w:sz="0" w:space="0" w:color="auto"/>
      </w:divBdr>
    </w:div>
    <w:div w:id="1152525391">
      <w:bodyDiv w:val="1"/>
      <w:marLeft w:val="0"/>
      <w:marRight w:val="0"/>
      <w:marTop w:val="0"/>
      <w:marBottom w:val="0"/>
      <w:divBdr>
        <w:top w:val="none" w:sz="0" w:space="0" w:color="auto"/>
        <w:left w:val="none" w:sz="0" w:space="0" w:color="auto"/>
        <w:bottom w:val="none" w:sz="0" w:space="0" w:color="auto"/>
        <w:right w:val="none" w:sz="0" w:space="0" w:color="auto"/>
      </w:divBdr>
    </w:div>
    <w:div w:id="1160972185">
      <w:bodyDiv w:val="1"/>
      <w:marLeft w:val="0"/>
      <w:marRight w:val="0"/>
      <w:marTop w:val="0"/>
      <w:marBottom w:val="0"/>
      <w:divBdr>
        <w:top w:val="none" w:sz="0" w:space="0" w:color="auto"/>
        <w:left w:val="none" w:sz="0" w:space="0" w:color="auto"/>
        <w:bottom w:val="none" w:sz="0" w:space="0" w:color="auto"/>
        <w:right w:val="none" w:sz="0" w:space="0" w:color="auto"/>
      </w:divBdr>
    </w:div>
    <w:div w:id="1165051281">
      <w:bodyDiv w:val="1"/>
      <w:marLeft w:val="0"/>
      <w:marRight w:val="0"/>
      <w:marTop w:val="0"/>
      <w:marBottom w:val="0"/>
      <w:divBdr>
        <w:top w:val="none" w:sz="0" w:space="0" w:color="auto"/>
        <w:left w:val="none" w:sz="0" w:space="0" w:color="auto"/>
        <w:bottom w:val="none" w:sz="0" w:space="0" w:color="auto"/>
        <w:right w:val="none" w:sz="0" w:space="0" w:color="auto"/>
      </w:divBdr>
    </w:div>
    <w:div w:id="1165390012">
      <w:bodyDiv w:val="1"/>
      <w:marLeft w:val="0"/>
      <w:marRight w:val="0"/>
      <w:marTop w:val="0"/>
      <w:marBottom w:val="0"/>
      <w:divBdr>
        <w:top w:val="none" w:sz="0" w:space="0" w:color="auto"/>
        <w:left w:val="none" w:sz="0" w:space="0" w:color="auto"/>
        <w:bottom w:val="none" w:sz="0" w:space="0" w:color="auto"/>
        <w:right w:val="none" w:sz="0" w:space="0" w:color="auto"/>
      </w:divBdr>
    </w:div>
    <w:div w:id="1169250197">
      <w:bodyDiv w:val="1"/>
      <w:marLeft w:val="0"/>
      <w:marRight w:val="0"/>
      <w:marTop w:val="0"/>
      <w:marBottom w:val="0"/>
      <w:divBdr>
        <w:top w:val="none" w:sz="0" w:space="0" w:color="auto"/>
        <w:left w:val="none" w:sz="0" w:space="0" w:color="auto"/>
        <w:bottom w:val="none" w:sz="0" w:space="0" w:color="auto"/>
        <w:right w:val="none" w:sz="0" w:space="0" w:color="auto"/>
      </w:divBdr>
    </w:div>
    <w:div w:id="1171142592">
      <w:bodyDiv w:val="1"/>
      <w:marLeft w:val="0"/>
      <w:marRight w:val="0"/>
      <w:marTop w:val="0"/>
      <w:marBottom w:val="0"/>
      <w:divBdr>
        <w:top w:val="none" w:sz="0" w:space="0" w:color="auto"/>
        <w:left w:val="none" w:sz="0" w:space="0" w:color="auto"/>
        <w:bottom w:val="none" w:sz="0" w:space="0" w:color="auto"/>
        <w:right w:val="none" w:sz="0" w:space="0" w:color="auto"/>
      </w:divBdr>
    </w:div>
    <w:div w:id="1171869337">
      <w:bodyDiv w:val="1"/>
      <w:marLeft w:val="0"/>
      <w:marRight w:val="0"/>
      <w:marTop w:val="0"/>
      <w:marBottom w:val="0"/>
      <w:divBdr>
        <w:top w:val="none" w:sz="0" w:space="0" w:color="auto"/>
        <w:left w:val="none" w:sz="0" w:space="0" w:color="auto"/>
        <w:bottom w:val="none" w:sz="0" w:space="0" w:color="auto"/>
        <w:right w:val="none" w:sz="0" w:space="0" w:color="auto"/>
      </w:divBdr>
    </w:div>
    <w:div w:id="1175001941">
      <w:bodyDiv w:val="1"/>
      <w:marLeft w:val="0"/>
      <w:marRight w:val="0"/>
      <w:marTop w:val="0"/>
      <w:marBottom w:val="0"/>
      <w:divBdr>
        <w:top w:val="none" w:sz="0" w:space="0" w:color="auto"/>
        <w:left w:val="none" w:sz="0" w:space="0" w:color="auto"/>
        <w:bottom w:val="none" w:sz="0" w:space="0" w:color="auto"/>
        <w:right w:val="none" w:sz="0" w:space="0" w:color="auto"/>
      </w:divBdr>
    </w:div>
    <w:div w:id="1176116974">
      <w:bodyDiv w:val="1"/>
      <w:marLeft w:val="0"/>
      <w:marRight w:val="0"/>
      <w:marTop w:val="0"/>
      <w:marBottom w:val="0"/>
      <w:divBdr>
        <w:top w:val="none" w:sz="0" w:space="0" w:color="auto"/>
        <w:left w:val="none" w:sz="0" w:space="0" w:color="auto"/>
        <w:bottom w:val="none" w:sz="0" w:space="0" w:color="auto"/>
        <w:right w:val="none" w:sz="0" w:space="0" w:color="auto"/>
      </w:divBdr>
    </w:div>
    <w:div w:id="1178498465">
      <w:bodyDiv w:val="1"/>
      <w:marLeft w:val="0"/>
      <w:marRight w:val="0"/>
      <w:marTop w:val="0"/>
      <w:marBottom w:val="0"/>
      <w:divBdr>
        <w:top w:val="none" w:sz="0" w:space="0" w:color="auto"/>
        <w:left w:val="none" w:sz="0" w:space="0" w:color="auto"/>
        <w:bottom w:val="none" w:sz="0" w:space="0" w:color="auto"/>
        <w:right w:val="none" w:sz="0" w:space="0" w:color="auto"/>
      </w:divBdr>
    </w:div>
    <w:div w:id="1183394232">
      <w:bodyDiv w:val="1"/>
      <w:marLeft w:val="0"/>
      <w:marRight w:val="0"/>
      <w:marTop w:val="0"/>
      <w:marBottom w:val="0"/>
      <w:divBdr>
        <w:top w:val="none" w:sz="0" w:space="0" w:color="auto"/>
        <w:left w:val="none" w:sz="0" w:space="0" w:color="auto"/>
        <w:bottom w:val="none" w:sz="0" w:space="0" w:color="auto"/>
        <w:right w:val="none" w:sz="0" w:space="0" w:color="auto"/>
      </w:divBdr>
    </w:div>
    <w:div w:id="1186332894">
      <w:bodyDiv w:val="1"/>
      <w:marLeft w:val="0"/>
      <w:marRight w:val="0"/>
      <w:marTop w:val="0"/>
      <w:marBottom w:val="0"/>
      <w:divBdr>
        <w:top w:val="none" w:sz="0" w:space="0" w:color="auto"/>
        <w:left w:val="none" w:sz="0" w:space="0" w:color="auto"/>
        <w:bottom w:val="none" w:sz="0" w:space="0" w:color="auto"/>
        <w:right w:val="none" w:sz="0" w:space="0" w:color="auto"/>
      </w:divBdr>
    </w:div>
    <w:div w:id="1199665424">
      <w:bodyDiv w:val="1"/>
      <w:marLeft w:val="0"/>
      <w:marRight w:val="0"/>
      <w:marTop w:val="0"/>
      <w:marBottom w:val="0"/>
      <w:divBdr>
        <w:top w:val="none" w:sz="0" w:space="0" w:color="auto"/>
        <w:left w:val="none" w:sz="0" w:space="0" w:color="auto"/>
        <w:bottom w:val="none" w:sz="0" w:space="0" w:color="auto"/>
        <w:right w:val="none" w:sz="0" w:space="0" w:color="auto"/>
      </w:divBdr>
    </w:div>
    <w:div w:id="1200704229">
      <w:bodyDiv w:val="1"/>
      <w:marLeft w:val="0"/>
      <w:marRight w:val="0"/>
      <w:marTop w:val="0"/>
      <w:marBottom w:val="0"/>
      <w:divBdr>
        <w:top w:val="none" w:sz="0" w:space="0" w:color="auto"/>
        <w:left w:val="none" w:sz="0" w:space="0" w:color="auto"/>
        <w:bottom w:val="none" w:sz="0" w:space="0" w:color="auto"/>
        <w:right w:val="none" w:sz="0" w:space="0" w:color="auto"/>
      </w:divBdr>
    </w:div>
    <w:div w:id="1202864311">
      <w:bodyDiv w:val="1"/>
      <w:marLeft w:val="0"/>
      <w:marRight w:val="0"/>
      <w:marTop w:val="0"/>
      <w:marBottom w:val="0"/>
      <w:divBdr>
        <w:top w:val="none" w:sz="0" w:space="0" w:color="auto"/>
        <w:left w:val="none" w:sz="0" w:space="0" w:color="auto"/>
        <w:bottom w:val="none" w:sz="0" w:space="0" w:color="auto"/>
        <w:right w:val="none" w:sz="0" w:space="0" w:color="auto"/>
      </w:divBdr>
    </w:div>
    <w:div w:id="1211260468">
      <w:bodyDiv w:val="1"/>
      <w:marLeft w:val="0"/>
      <w:marRight w:val="0"/>
      <w:marTop w:val="0"/>
      <w:marBottom w:val="0"/>
      <w:divBdr>
        <w:top w:val="none" w:sz="0" w:space="0" w:color="auto"/>
        <w:left w:val="none" w:sz="0" w:space="0" w:color="auto"/>
        <w:bottom w:val="none" w:sz="0" w:space="0" w:color="auto"/>
        <w:right w:val="none" w:sz="0" w:space="0" w:color="auto"/>
      </w:divBdr>
    </w:div>
    <w:div w:id="1211529185">
      <w:bodyDiv w:val="1"/>
      <w:marLeft w:val="0"/>
      <w:marRight w:val="0"/>
      <w:marTop w:val="0"/>
      <w:marBottom w:val="0"/>
      <w:divBdr>
        <w:top w:val="none" w:sz="0" w:space="0" w:color="auto"/>
        <w:left w:val="none" w:sz="0" w:space="0" w:color="auto"/>
        <w:bottom w:val="none" w:sz="0" w:space="0" w:color="auto"/>
        <w:right w:val="none" w:sz="0" w:space="0" w:color="auto"/>
      </w:divBdr>
    </w:div>
    <w:div w:id="1220020555">
      <w:bodyDiv w:val="1"/>
      <w:marLeft w:val="0"/>
      <w:marRight w:val="0"/>
      <w:marTop w:val="0"/>
      <w:marBottom w:val="0"/>
      <w:divBdr>
        <w:top w:val="none" w:sz="0" w:space="0" w:color="auto"/>
        <w:left w:val="none" w:sz="0" w:space="0" w:color="auto"/>
        <w:bottom w:val="none" w:sz="0" w:space="0" w:color="auto"/>
        <w:right w:val="none" w:sz="0" w:space="0" w:color="auto"/>
      </w:divBdr>
    </w:div>
    <w:div w:id="1221864377">
      <w:bodyDiv w:val="1"/>
      <w:marLeft w:val="0"/>
      <w:marRight w:val="0"/>
      <w:marTop w:val="0"/>
      <w:marBottom w:val="0"/>
      <w:divBdr>
        <w:top w:val="none" w:sz="0" w:space="0" w:color="auto"/>
        <w:left w:val="none" w:sz="0" w:space="0" w:color="auto"/>
        <w:bottom w:val="none" w:sz="0" w:space="0" w:color="auto"/>
        <w:right w:val="none" w:sz="0" w:space="0" w:color="auto"/>
      </w:divBdr>
    </w:div>
    <w:div w:id="1225415551">
      <w:bodyDiv w:val="1"/>
      <w:marLeft w:val="0"/>
      <w:marRight w:val="0"/>
      <w:marTop w:val="0"/>
      <w:marBottom w:val="0"/>
      <w:divBdr>
        <w:top w:val="none" w:sz="0" w:space="0" w:color="auto"/>
        <w:left w:val="none" w:sz="0" w:space="0" w:color="auto"/>
        <w:bottom w:val="none" w:sz="0" w:space="0" w:color="auto"/>
        <w:right w:val="none" w:sz="0" w:space="0" w:color="auto"/>
      </w:divBdr>
    </w:div>
    <w:div w:id="1227570448">
      <w:bodyDiv w:val="1"/>
      <w:marLeft w:val="0"/>
      <w:marRight w:val="0"/>
      <w:marTop w:val="0"/>
      <w:marBottom w:val="0"/>
      <w:divBdr>
        <w:top w:val="none" w:sz="0" w:space="0" w:color="auto"/>
        <w:left w:val="none" w:sz="0" w:space="0" w:color="auto"/>
        <w:bottom w:val="none" w:sz="0" w:space="0" w:color="auto"/>
        <w:right w:val="none" w:sz="0" w:space="0" w:color="auto"/>
      </w:divBdr>
    </w:div>
    <w:div w:id="1240600184">
      <w:bodyDiv w:val="1"/>
      <w:marLeft w:val="0"/>
      <w:marRight w:val="0"/>
      <w:marTop w:val="0"/>
      <w:marBottom w:val="0"/>
      <w:divBdr>
        <w:top w:val="none" w:sz="0" w:space="0" w:color="auto"/>
        <w:left w:val="none" w:sz="0" w:space="0" w:color="auto"/>
        <w:bottom w:val="none" w:sz="0" w:space="0" w:color="auto"/>
        <w:right w:val="none" w:sz="0" w:space="0" w:color="auto"/>
      </w:divBdr>
    </w:div>
    <w:div w:id="1242982493">
      <w:bodyDiv w:val="1"/>
      <w:marLeft w:val="0"/>
      <w:marRight w:val="0"/>
      <w:marTop w:val="0"/>
      <w:marBottom w:val="0"/>
      <w:divBdr>
        <w:top w:val="none" w:sz="0" w:space="0" w:color="auto"/>
        <w:left w:val="none" w:sz="0" w:space="0" w:color="auto"/>
        <w:bottom w:val="none" w:sz="0" w:space="0" w:color="auto"/>
        <w:right w:val="none" w:sz="0" w:space="0" w:color="auto"/>
      </w:divBdr>
    </w:div>
    <w:div w:id="1257715565">
      <w:bodyDiv w:val="1"/>
      <w:marLeft w:val="0"/>
      <w:marRight w:val="0"/>
      <w:marTop w:val="0"/>
      <w:marBottom w:val="0"/>
      <w:divBdr>
        <w:top w:val="none" w:sz="0" w:space="0" w:color="auto"/>
        <w:left w:val="none" w:sz="0" w:space="0" w:color="auto"/>
        <w:bottom w:val="none" w:sz="0" w:space="0" w:color="auto"/>
        <w:right w:val="none" w:sz="0" w:space="0" w:color="auto"/>
      </w:divBdr>
    </w:div>
    <w:div w:id="1262689762">
      <w:bodyDiv w:val="1"/>
      <w:marLeft w:val="0"/>
      <w:marRight w:val="0"/>
      <w:marTop w:val="0"/>
      <w:marBottom w:val="0"/>
      <w:divBdr>
        <w:top w:val="none" w:sz="0" w:space="0" w:color="auto"/>
        <w:left w:val="none" w:sz="0" w:space="0" w:color="auto"/>
        <w:bottom w:val="none" w:sz="0" w:space="0" w:color="auto"/>
        <w:right w:val="none" w:sz="0" w:space="0" w:color="auto"/>
      </w:divBdr>
    </w:div>
    <w:div w:id="1265578619">
      <w:bodyDiv w:val="1"/>
      <w:marLeft w:val="0"/>
      <w:marRight w:val="0"/>
      <w:marTop w:val="0"/>
      <w:marBottom w:val="0"/>
      <w:divBdr>
        <w:top w:val="none" w:sz="0" w:space="0" w:color="auto"/>
        <w:left w:val="none" w:sz="0" w:space="0" w:color="auto"/>
        <w:bottom w:val="none" w:sz="0" w:space="0" w:color="auto"/>
        <w:right w:val="none" w:sz="0" w:space="0" w:color="auto"/>
      </w:divBdr>
    </w:div>
    <w:div w:id="1267729923">
      <w:bodyDiv w:val="1"/>
      <w:marLeft w:val="0"/>
      <w:marRight w:val="0"/>
      <w:marTop w:val="0"/>
      <w:marBottom w:val="0"/>
      <w:divBdr>
        <w:top w:val="none" w:sz="0" w:space="0" w:color="auto"/>
        <w:left w:val="none" w:sz="0" w:space="0" w:color="auto"/>
        <w:bottom w:val="none" w:sz="0" w:space="0" w:color="auto"/>
        <w:right w:val="none" w:sz="0" w:space="0" w:color="auto"/>
      </w:divBdr>
    </w:div>
    <w:div w:id="1269779038">
      <w:bodyDiv w:val="1"/>
      <w:marLeft w:val="0"/>
      <w:marRight w:val="0"/>
      <w:marTop w:val="0"/>
      <w:marBottom w:val="0"/>
      <w:divBdr>
        <w:top w:val="none" w:sz="0" w:space="0" w:color="auto"/>
        <w:left w:val="none" w:sz="0" w:space="0" w:color="auto"/>
        <w:bottom w:val="none" w:sz="0" w:space="0" w:color="auto"/>
        <w:right w:val="none" w:sz="0" w:space="0" w:color="auto"/>
      </w:divBdr>
    </w:div>
    <w:div w:id="1270091816">
      <w:bodyDiv w:val="1"/>
      <w:marLeft w:val="0"/>
      <w:marRight w:val="0"/>
      <w:marTop w:val="0"/>
      <w:marBottom w:val="0"/>
      <w:divBdr>
        <w:top w:val="none" w:sz="0" w:space="0" w:color="auto"/>
        <w:left w:val="none" w:sz="0" w:space="0" w:color="auto"/>
        <w:bottom w:val="none" w:sz="0" w:space="0" w:color="auto"/>
        <w:right w:val="none" w:sz="0" w:space="0" w:color="auto"/>
      </w:divBdr>
    </w:div>
    <w:div w:id="1281107458">
      <w:bodyDiv w:val="1"/>
      <w:marLeft w:val="0"/>
      <w:marRight w:val="0"/>
      <w:marTop w:val="0"/>
      <w:marBottom w:val="0"/>
      <w:divBdr>
        <w:top w:val="none" w:sz="0" w:space="0" w:color="auto"/>
        <w:left w:val="none" w:sz="0" w:space="0" w:color="auto"/>
        <w:bottom w:val="none" w:sz="0" w:space="0" w:color="auto"/>
        <w:right w:val="none" w:sz="0" w:space="0" w:color="auto"/>
      </w:divBdr>
    </w:div>
    <w:div w:id="1282347879">
      <w:bodyDiv w:val="1"/>
      <w:marLeft w:val="0"/>
      <w:marRight w:val="0"/>
      <w:marTop w:val="0"/>
      <w:marBottom w:val="0"/>
      <w:divBdr>
        <w:top w:val="none" w:sz="0" w:space="0" w:color="auto"/>
        <w:left w:val="none" w:sz="0" w:space="0" w:color="auto"/>
        <w:bottom w:val="none" w:sz="0" w:space="0" w:color="auto"/>
        <w:right w:val="none" w:sz="0" w:space="0" w:color="auto"/>
      </w:divBdr>
    </w:div>
    <w:div w:id="1283027435">
      <w:bodyDiv w:val="1"/>
      <w:marLeft w:val="0"/>
      <w:marRight w:val="0"/>
      <w:marTop w:val="0"/>
      <w:marBottom w:val="0"/>
      <w:divBdr>
        <w:top w:val="none" w:sz="0" w:space="0" w:color="auto"/>
        <w:left w:val="none" w:sz="0" w:space="0" w:color="auto"/>
        <w:bottom w:val="none" w:sz="0" w:space="0" w:color="auto"/>
        <w:right w:val="none" w:sz="0" w:space="0" w:color="auto"/>
      </w:divBdr>
    </w:div>
    <w:div w:id="1284386219">
      <w:bodyDiv w:val="1"/>
      <w:marLeft w:val="0"/>
      <w:marRight w:val="0"/>
      <w:marTop w:val="0"/>
      <w:marBottom w:val="0"/>
      <w:divBdr>
        <w:top w:val="none" w:sz="0" w:space="0" w:color="auto"/>
        <w:left w:val="none" w:sz="0" w:space="0" w:color="auto"/>
        <w:bottom w:val="none" w:sz="0" w:space="0" w:color="auto"/>
        <w:right w:val="none" w:sz="0" w:space="0" w:color="auto"/>
      </w:divBdr>
    </w:div>
    <w:div w:id="1284776203">
      <w:bodyDiv w:val="1"/>
      <w:marLeft w:val="0"/>
      <w:marRight w:val="0"/>
      <w:marTop w:val="0"/>
      <w:marBottom w:val="0"/>
      <w:divBdr>
        <w:top w:val="none" w:sz="0" w:space="0" w:color="auto"/>
        <w:left w:val="none" w:sz="0" w:space="0" w:color="auto"/>
        <w:bottom w:val="none" w:sz="0" w:space="0" w:color="auto"/>
        <w:right w:val="none" w:sz="0" w:space="0" w:color="auto"/>
      </w:divBdr>
    </w:div>
    <w:div w:id="1312708412">
      <w:bodyDiv w:val="1"/>
      <w:marLeft w:val="0"/>
      <w:marRight w:val="0"/>
      <w:marTop w:val="0"/>
      <w:marBottom w:val="0"/>
      <w:divBdr>
        <w:top w:val="none" w:sz="0" w:space="0" w:color="auto"/>
        <w:left w:val="none" w:sz="0" w:space="0" w:color="auto"/>
        <w:bottom w:val="none" w:sz="0" w:space="0" w:color="auto"/>
        <w:right w:val="none" w:sz="0" w:space="0" w:color="auto"/>
      </w:divBdr>
    </w:div>
    <w:div w:id="1320421606">
      <w:bodyDiv w:val="1"/>
      <w:marLeft w:val="0"/>
      <w:marRight w:val="0"/>
      <w:marTop w:val="0"/>
      <w:marBottom w:val="0"/>
      <w:divBdr>
        <w:top w:val="none" w:sz="0" w:space="0" w:color="auto"/>
        <w:left w:val="none" w:sz="0" w:space="0" w:color="auto"/>
        <w:bottom w:val="none" w:sz="0" w:space="0" w:color="auto"/>
        <w:right w:val="none" w:sz="0" w:space="0" w:color="auto"/>
      </w:divBdr>
    </w:div>
    <w:div w:id="1330017820">
      <w:bodyDiv w:val="1"/>
      <w:marLeft w:val="0"/>
      <w:marRight w:val="0"/>
      <w:marTop w:val="0"/>
      <w:marBottom w:val="0"/>
      <w:divBdr>
        <w:top w:val="none" w:sz="0" w:space="0" w:color="auto"/>
        <w:left w:val="none" w:sz="0" w:space="0" w:color="auto"/>
        <w:bottom w:val="none" w:sz="0" w:space="0" w:color="auto"/>
        <w:right w:val="none" w:sz="0" w:space="0" w:color="auto"/>
      </w:divBdr>
    </w:div>
    <w:div w:id="1332877147">
      <w:bodyDiv w:val="1"/>
      <w:marLeft w:val="0"/>
      <w:marRight w:val="0"/>
      <w:marTop w:val="0"/>
      <w:marBottom w:val="0"/>
      <w:divBdr>
        <w:top w:val="none" w:sz="0" w:space="0" w:color="auto"/>
        <w:left w:val="none" w:sz="0" w:space="0" w:color="auto"/>
        <w:bottom w:val="none" w:sz="0" w:space="0" w:color="auto"/>
        <w:right w:val="none" w:sz="0" w:space="0" w:color="auto"/>
      </w:divBdr>
    </w:div>
    <w:div w:id="1336807339">
      <w:bodyDiv w:val="1"/>
      <w:marLeft w:val="0"/>
      <w:marRight w:val="0"/>
      <w:marTop w:val="0"/>
      <w:marBottom w:val="0"/>
      <w:divBdr>
        <w:top w:val="none" w:sz="0" w:space="0" w:color="auto"/>
        <w:left w:val="none" w:sz="0" w:space="0" w:color="auto"/>
        <w:bottom w:val="none" w:sz="0" w:space="0" w:color="auto"/>
        <w:right w:val="none" w:sz="0" w:space="0" w:color="auto"/>
      </w:divBdr>
    </w:div>
    <w:div w:id="1341396820">
      <w:bodyDiv w:val="1"/>
      <w:marLeft w:val="0"/>
      <w:marRight w:val="0"/>
      <w:marTop w:val="0"/>
      <w:marBottom w:val="0"/>
      <w:divBdr>
        <w:top w:val="none" w:sz="0" w:space="0" w:color="auto"/>
        <w:left w:val="none" w:sz="0" w:space="0" w:color="auto"/>
        <w:bottom w:val="none" w:sz="0" w:space="0" w:color="auto"/>
        <w:right w:val="none" w:sz="0" w:space="0" w:color="auto"/>
      </w:divBdr>
    </w:div>
    <w:div w:id="1345471999">
      <w:bodyDiv w:val="1"/>
      <w:marLeft w:val="0"/>
      <w:marRight w:val="0"/>
      <w:marTop w:val="0"/>
      <w:marBottom w:val="0"/>
      <w:divBdr>
        <w:top w:val="none" w:sz="0" w:space="0" w:color="auto"/>
        <w:left w:val="none" w:sz="0" w:space="0" w:color="auto"/>
        <w:bottom w:val="none" w:sz="0" w:space="0" w:color="auto"/>
        <w:right w:val="none" w:sz="0" w:space="0" w:color="auto"/>
      </w:divBdr>
    </w:div>
    <w:div w:id="1347097056">
      <w:bodyDiv w:val="1"/>
      <w:marLeft w:val="0"/>
      <w:marRight w:val="0"/>
      <w:marTop w:val="0"/>
      <w:marBottom w:val="0"/>
      <w:divBdr>
        <w:top w:val="none" w:sz="0" w:space="0" w:color="auto"/>
        <w:left w:val="none" w:sz="0" w:space="0" w:color="auto"/>
        <w:bottom w:val="none" w:sz="0" w:space="0" w:color="auto"/>
        <w:right w:val="none" w:sz="0" w:space="0" w:color="auto"/>
      </w:divBdr>
    </w:div>
    <w:div w:id="1349328104">
      <w:bodyDiv w:val="1"/>
      <w:marLeft w:val="0"/>
      <w:marRight w:val="0"/>
      <w:marTop w:val="0"/>
      <w:marBottom w:val="0"/>
      <w:divBdr>
        <w:top w:val="none" w:sz="0" w:space="0" w:color="auto"/>
        <w:left w:val="none" w:sz="0" w:space="0" w:color="auto"/>
        <w:bottom w:val="none" w:sz="0" w:space="0" w:color="auto"/>
        <w:right w:val="none" w:sz="0" w:space="0" w:color="auto"/>
      </w:divBdr>
    </w:div>
    <w:div w:id="1364164597">
      <w:bodyDiv w:val="1"/>
      <w:marLeft w:val="0"/>
      <w:marRight w:val="0"/>
      <w:marTop w:val="0"/>
      <w:marBottom w:val="0"/>
      <w:divBdr>
        <w:top w:val="none" w:sz="0" w:space="0" w:color="auto"/>
        <w:left w:val="none" w:sz="0" w:space="0" w:color="auto"/>
        <w:bottom w:val="none" w:sz="0" w:space="0" w:color="auto"/>
        <w:right w:val="none" w:sz="0" w:space="0" w:color="auto"/>
      </w:divBdr>
    </w:div>
    <w:div w:id="1370490409">
      <w:bodyDiv w:val="1"/>
      <w:marLeft w:val="0"/>
      <w:marRight w:val="0"/>
      <w:marTop w:val="0"/>
      <w:marBottom w:val="0"/>
      <w:divBdr>
        <w:top w:val="none" w:sz="0" w:space="0" w:color="auto"/>
        <w:left w:val="none" w:sz="0" w:space="0" w:color="auto"/>
        <w:bottom w:val="none" w:sz="0" w:space="0" w:color="auto"/>
        <w:right w:val="none" w:sz="0" w:space="0" w:color="auto"/>
      </w:divBdr>
    </w:div>
    <w:div w:id="1377924849">
      <w:bodyDiv w:val="1"/>
      <w:marLeft w:val="0"/>
      <w:marRight w:val="0"/>
      <w:marTop w:val="0"/>
      <w:marBottom w:val="0"/>
      <w:divBdr>
        <w:top w:val="none" w:sz="0" w:space="0" w:color="auto"/>
        <w:left w:val="none" w:sz="0" w:space="0" w:color="auto"/>
        <w:bottom w:val="none" w:sz="0" w:space="0" w:color="auto"/>
        <w:right w:val="none" w:sz="0" w:space="0" w:color="auto"/>
      </w:divBdr>
    </w:div>
    <w:div w:id="1379470641">
      <w:bodyDiv w:val="1"/>
      <w:marLeft w:val="0"/>
      <w:marRight w:val="0"/>
      <w:marTop w:val="0"/>
      <w:marBottom w:val="0"/>
      <w:divBdr>
        <w:top w:val="none" w:sz="0" w:space="0" w:color="auto"/>
        <w:left w:val="none" w:sz="0" w:space="0" w:color="auto"/>
        <w:bottom w:val="none" w:sz="0" w:space="0" w:color="auto"/>
        <w:right w:val="none" w:sz="0" w:space="0" w:color="auto"/>
      </w:divBdr>
    </w:div>
    <w:div w:id="1383211901">
      <w:bodyDiv w:val="1"/>
      <w:marLeft w:val="0"/>
      <w:marRight w:val="0"/>
      <w:marTop w:val="0"/>
      <w:marBottom w:val="0"/>
      <w:divBdr>
        <w:top w:val="none" w:sz="0" w:space="0" w:color="auto"/>
        <w:left w:val="none" w:sz="0" w:space="0" w:color="auto"/>
        <w:bottom w:val="none" w:sz="0" w:space="0" w:color="auto"/>
        <w:right w:val="none" w:sz="0" w:space="0" w:color="auto"/>
      </w:divBdr>
    </w:div>
    <w:div w:id="1383747575">
      <w:bodyDiv w:val="1"/>
      <w:marLeft w:val="0"/>
      <w:marRight w:val="0"/>
      <w:marTop w:val="0"/>
      <w:marBottom w:val="0"/>
      <w:divBdr>
        <w:top w:val="none" w:sz="0" w:space="0" w:color="auto"/>
        <w:left w:val="none" w:sz="0" w:space="0" w:color="auto"/>
        <w:bottom w:val="none" w:sz="0" w:space="0" w:color="auto"/>
        <w:right w:val="none" w:sz="0" w:space="0" w:color="auto"/>
      </w:divBdr>
    </w:div>
    <w:div w:id="1383869875">
      <w:bodyDiv w:val="1"/>
      <w:marLeft w:val="0"/>
      <w:marRight w:val="0"/>
      <w:marTop w:val="0"/>
      <w:marBottom w:val="0"/>
      <w:divBdr>
        <w:top w:val="none" w:sz="0" w:space="0" w:color="auto"/>
        <w:left w:val="none" w:sz="0" w:space="0" w:color="auto"/>
        <w:bottom w:val="none" w:sz="0" w:space="0" w:color="auto"/>
        <w:right w:val="none" w:sz="0" w:space="0" w:color="auto"/>
      </w:divBdr>
    </w:div>
    <w:div w:id="1384255831">
      <w:bodyDiv w:val="1"/>
      <w:marLeft w:val="0"/>
      <w:marRight w:val="0"/>
      <w:marTop w:val="0"/>
      <w:marBottom w:val="0"/>
      <w:divBdr>
        <w:top w:val="none" w:sz="0" w:space="0" w:color="auto"/>
        <w:left w:val="none" w:sz="0" w:space="0" w:color="auto"/>
        <w:bottom w:val="none" w:sz="0" w:space="0" w:color="auto"/>
        <w:right w:val="none" w:sz="0" w:space="0" w:color="auto"/>
      </w:divBdr>
    </w:div>
    <w:div w:id="1385448255">
      <w:bodyDiv w:val="1"/>
      <w:marLeft w:val="0"/>
      <w:marRight w:val="0"/>
      <w:marTop w:val="0"/>
      <w:marBottom w:val="0"/>
      <w:divBdr>
        <w:top w:val="none" w:sz="0" w:space="0" w:color="auto"/>
        <w:left w:val="none" w:sz="0" w:space="0" w:color="auto"/>
        <w:bottom w:val="none" w:sz="0" w:space="0" w:color="auto"/>
        <w:right w:val="none" w:sz="0" w:space="0" w:color="auto"/>
      </w:divBdr>
    </w:div>
    <w:div w:id="1385565039">
      <w:bodyDiv w:val="1"/>
      <w:marLeft w:val="0"/>
      <w:marRight w:val="0"/>
      <w:marTop w:val="0"/>
      <w:marBottom w:val="0"/>
      <w:divBdr>
        <w:top w:val="none" w:sz="0" w:space="0" w:color="auto"/>
        <w:left w:val="none" w:sz="0" w:space="0" w:color="auto"/>
        <w:bottom w:val="none" w:sz="0" w:space="0" w:color="auto"/>
        <w:right w:val="none" w:sz="0" w:space="0" w:color="auto"/>
      </w:divBdr>
    </w:div>
    <w:div w:id="1386291233">
      <w:bodyDiv w:val="1"/>
      <w:marLeft w:val="0"/>
      <w:marRight w:val="0"/>
      <w:marTop w:val="0"/>
      <w:marBottom w:val="0"/>
      <w:divBdr>
        <w:top w:val="none" w:sz="0" w:space="0" w:color="auto"/>
        <w:left w:val="none" w:sz="0" w:space="0" w:color="auto"/>
        <w:bottom w:val="none" w:sz="0" w:space="0" w:color="auto"/>
        <w:right w:val="none" w:sz="0" w:space="0" w:color="auto"/>
      </w:divBdr>
    </w:div>
    <w:div w:id="1406686043">
      <w:bodyDiv w:val="1"/>
      <w:marLeft w:val="0"/>
      <w:marRight w:val="0"/>
      <w:marTop w:val="0"/>
      <w:marBottom w:val="0"/>
      <w:divBdr>
        <w:top w:val="none" w:sz="0" w:space="0" w:color="auto"/>
        <w:left w:val="none" w:sz="0" w:space="0" w:color="auto"/>
        <w:bottom w:val="none" w:sz="0" w:space="0" w:color="auto"/>
        <w:right w:val="none" w:sz="0" w:space="0" w:color="auto"/>
      </w:divBdr>
    </w:div>
    <w:div w:id="1414203762">
      <w:bodyDiv w:val="1"/>
      <w:marLeft w:val="0"/>
      <w:marRight w:val="0"/>
      <w:marTop w:val="0"/>
      <w:marBottom w:val="0"/>
      <w:divBdr>
        <w:top w:val="none" w:sz="0" w:space="0" w:color="auto"/>
        <w:left w:val="none" w:sz="0" w:space="0" w:color="auto"/>
        <w:bottom w:val="none" w:sz="0" w:space="0" w:color="auto"/>
        <w:right w:val="none" w:sz="0" w:space="0" w:color="auto"/>
      </w:divBdr>
    </w:div>
    <w:div w:id="1417435658">
      <w:bodyDiv w:val="1"/>
      <w:marLeft w:val="0"/>
      <w:marRight w:val="0"/>
      <w:marTop w:val="0"/>
      <w:marBottom w:val="0"/>
      <w:divBdr>
        <w:top w:val="none" w:sz="0" w:space="0" w:color="auto"/>
        <w:left w:val="none" w:sz="0" w:space="0" w:color="auto"/>
        <w:bottom w:val="none" w:sz="0" w:space="0" w:color="auto"/>
        <w:right w:val="none" w:sz="0" w:space="0" w:color="auto"/>
      </w:divBdr>
    </w:div>
    <w:div w:id="1423643745">
      <w:bodyDiv w:val="1"/>
      <w:marLeft w:val="0"/>
      <w:marRight w:val="0"/>
      <w:marTop w:val="0"/>
      <w:marBottom w:val="0"/>
      <w:divBdr>
        <w:top w:val="none" w:sz="0" w:space="0" w:color="auto"/>
        <w:left w:val="none" w:sz="0" w:space="0" w:color="auto"/>
        <w:bottom w:val="none" w:sz="0" w:space="0" w:color="auto"/>
        <w:right w:val="none" w:sz="0" w:space="0" w:color="auto"/>
      </w:divBdr>
    </w:div>
    <w:div w:id="1428498646">
      <w:bodyDiv w:val="1"/>
      <w:marLeft w:val="0"/>
      <w:marRight w:val="0"/>
      <w:marTop w:val="0"/>
      <w:marBottom w:val="0"/>
      <w:divBdr>
        <w:top w:val="none" w:sz="0" w:space="0" w:color="auto"/>
        <w:left w:val="none" w:sz="0" w:space="0" w:color="auto"/>
        <w:bottom w:val="none" w:sz="0" w:space="0" w:color="auto"/>
        <w:right w:val="none" w:sz="0" w:space="0" w:color="auto"/>
      </w:divBdr>
    </w:div>
    <w:div w:id="1435173966">
      <w:bodyDiv w:val="1"/>
      <w:marLeft w:val="0"/>
      <w:marRight w:val="0"/>
      <w:marTop w:val="0"/>
      <w:marBottom w:val="0"/>
      <w:divBdr>
        <w:top w:val="none" w:sz="0" w:space="0" w:color="auto"/>
        <w:left w:val="none" w:sz="0" w:space="0" w:color="auto"/>
        <w:bottom w:val="none" w:sz="0" w:space="0" w:color="auto"/>
        <w:right w:val="none" w:sz="0" w:space="0" w:color="auto"/>
      </w:divBdr>
    </w:div>
    <w:div w:id="1435437452">
      <w:bodyDiv w:val="1"/>
      <w:marLeft w:val="0"/>
      <w:marRight w:val="0"/>
      <w:marTop w:val="0"/>
      <w:marBottom w:val="0"/>
      <w:divBdr>
        <w:top w:val="none" w:sz="0" w:space="0" w:color="auto"/>
        <w:left w:val="none" w:sz="0" w:space="0" w:color="auto"/>
        <w:bottom w:val="none" w:sz="0" w:space="0" w:color="auto"/>
        <w:right w:val="none" w:sz="0" w:space="0" w:color="auto"/>
      </w:divBdr>
    </w:div>
    <w:div w:id="1437141548">
      <w:bodyDiv w:val="1"/>
      <w:marLeft w:val="0"/>
      <w:marRight w:val="0"/>
      <w:marTop w:val="0"/>
      <w:marBottom w:val="0"/>
      <w:divBdr>
        <w:top w:val="none" w:sz="0" w:space="0" w:color="auto"/>
        <w:left w:val="none" w:sz="0" w:space="0" w:color="auto"/>
        <w:bottom w:val="none" w:sz="0" w:space="0" w:color="auto"/>
        <w:right w:val="none" w:sz="0" w:space="0" w:color="auto"/>
      </w:divBdr>
    </w:div>
    <w:div w:id="1446147546">
      <w:bodyDiv w:val="1"/>
      <w:marLeft w:val="0"/>
      <w:marRight w:val="0"/>
      <w:marTop w:val="0"/>
      <w:marBottom w:val="0"/>
      <w:divBdr>
        <w:top w:val="none" w:sz="0" w:space="0" w:color="auto"/>
        <w:left w:val="none" w:sz="0" w:space="0" w:color="auto"/>
        <w:bottom w:val="none" w:sz="0" w:space="0" w:color="auto"/>
        <w:right w:val="none" w:sz="0" w:space="0" w:color="auto"/>
      </w:divBdr>
    </w:div>
    <w:div w:id="1458989483">
      <w:bodyDiv w:val="1"/>
      <w:marLeft w:val="0"/>
      <w:marRight w:val="0"/>
      <w:marTop w:val="0"/>
      <w:marBottom w:val="0"/>
      <w:divBdr>
        <w:top w:val="none" w:sz="0" w:space="0" w:color="auto"/>
        <w:left w:val="none" w:sz="0" w:space="0" w:color="auto"/>
        <w:bottom w:val="none" w:sz="0" w:space="0" w:color="auto"/>
        <w:right w:val="none" w:sz="0" w:space="0" w:color="auto"/>
      </w:divBdr>
    </w:div>
    <w:div w:id="1469931851">
      <w:bodyDiv w:val="1"/>
      <w:marLeft w:val="0"/>
      <w:marRight w:val="0"/>
      <w:marTop w:val="0"/>
      <w:marBottom w:val="0"/>
      <w:divBdr>
        <w:top w:val="none" w:sz="0" w:space="0" w:color="auto"/>
        <w:left w:val="none" w:sz="0" w:space="0" w:color="auto"/>
        <w:bottom w:val="none" w:sz="0" w:space="0" w:color="auto"/>
        <w:right w:val="none" w:sz="0" w:space="0" w:color="auto"/>
      </w:divBdr>
    </w:div>
    <w:div w:id="1472094175">
      <w:bodyDiv w:val="1"/>
      <w:marLeft w:val="0"/>
      <w:marRight w:val="0"/>
      <w:marTop w:val="0"/>
      <w:marBottom w:val="0"/>
      <w:divBdr>
        <w:top w:val="none" w:sz="0" w:space="0" w:color="auto"/>
        <w:left w:val="none" w:sz="0" w:space="0" w:color="auto"/>
        <w:bottom w:val="none" w:sz="0" w:space="0" w:color="auto"/>
        <w:right w:val="none" w:sz="0" w:space="0" w:color="auto"/>
      </w:divBdr>
    </w:div>
    <w:div w:id="1474450630">
      <w:bodyDiv w:val="1"/>
      <w:marLeft w:val="0"/>
      <w:marRight w:val="0"/>
      <w:marTop w:val="0"/>
      <w:marBottom w:val="0"/>
      <w:divBdr>
        <w:top w:val="none" w:sz="0" w:space="0" w:color="auto"/>
        <w:left w:val="none" w:sz="0" w:space="0" w:color="auto"/>
        <w:bottom w:val="none" w:sz="0" w:space="0" w:color="auto"/>
        <w:right w:val="none" w:sz="0" w:space="0" w:color="auto"/>
      </w:divBdr>
    </w:div>
    <w:div w:id="1485273425">
      <w:bodyDiv w:val="1"/>
      <w:marLeft w:val="0"/>
      <w:marRight w:val="0"/>
      <w:marTop w:val="0"/>
      <w:marBottom w:val="0"/>
      <w:divBdr>
        <w:top w:val="none" w:sz="0" w:space="0" w:color="auto"/>
        <w:left w:val="none" w:sz="0" w:space="0" w:color="auto"/>
        <w:bottom w:val="none" w:sz="0" w:space="0" w:color="auto"/>
        <w:right w:val="none" w:sz="0" w:space="0" w:color="auto"/>
      </w:divBdr>
    </w:div>
    <w:div w:id="1487742079">
      <w:bodyDiv w:val="1"/>
      <w:marLeft w:val="0"/>
      <w:marRight w:val="0"/>
      <w:marTop w:val="0"/>
      <w:marBottom w:val="0"/>
      <w:divBdr>
        <w:top w:val="none" w:sz="0" w:space="0" w:color="auto"/>
        <w:left w:val="none" w:sz="0" w:space="0" w:color="auto"/>
        <w:bottom w:val="none" w:sz="0" w:space="0" w:color="auto"/>
        <w:right w:val="none" w:sz="0" w:space="0" w:color="auto"/>
      </w:divBdr>
    </w:div>
    <w:div w:id="1498378643">
      <w:bodyDiv w:val="1"/>
      <w:marLeft w:val="0"/>
      <w:marRight w:val="0"/>
      <w:marTop w:val="0"/>
      <w:marBottom w:val="0"/>
      <w:divBdr>
        <w:top w:val="none" w:sz="0" w:space="0" w:color="auto"/>
        <w:left w:val="none" w:sz="0" w:space="0" w:color="auto"/>
        <w:bottom w:val="none" w:sz="0" w:space="0" w:color="auto"/>
        <w:right w:val="none" w:sz="0" w:space="0" w:color="auto"/>
      </w:divBdr>
    </w:div>
    <w:div w:id="1498767969">
      <w:bodyDiv w:val="1"/>
      <w:marLeft w:val="0"/>
      <w:marRight w:val="0"/>
      <w:marTop w:val="0"/>
      <w:marBottom w:val="0"/>
      <w:divBdr>
        <w:top w:val="none" w:sz="0" w:space="0" w:color="auto"/>
        <w:left w:val="none" w:sz="0" w:space="0" w:color="auto"/>
        <w:bottom w:val="none" w:sz="0" w:space="0" w:color="auto"/>
        <w:right w:val="none" w:sz="0" w:space="0" w:color="auto"/>
      </w:divBdr>
    </w:div>
    <w:div w:id="1515535022">
      <w:bodyDiv w:val="1"/>
      <w:marLeft w:val="0"/>
      <w:marRight w:val="0"/>
      <w:marTop w:val="0"/>
      <w:marBottom w:val="0"/>
      <w:divBdr>
        <w:top w:val="none" w:sz="0" w:space="0" w:color="auto"/>
        <w:left w:val="none" w:sz="0" w:space="0" w:color="auto"/>
        <w:bottom w:val="none" w:sz="0" w:space="0" w:color="auto"/>
        <w:right w:val="none" w:sz="0" w:space="0" w:color="auto"/>
      </w:divBdr>
    </w:div>
    <w:div w:id="1516189270">
      <w:bodyDiv w:val="1"/>
      <w:marLeft w:val="0"/>
      <w:marRight w:val="0"/>
      <w:marTop w:val="0"/>
      <w:marBottom w:val="0"/>
      <w:divBdr>
        <w:top w:val="none" w:sz="0" w:space="0" w:color="auto"/>
        <w:left w:val="none" w:sz="0" w:space="0" w:color="auto"/>
        <w:bottom w:val="none" w:sz="0" w:space="0" w:color="auto"/>
        <w:right w:val="none" w:sz="0" w:space="0" w:color="auto"/>
      </w:divBdr>
    </w:div>
    <w:div w:id="1527252898">
      <w:bodyDiv w:val="1"/>
      <w:marLeft w:val="0"/>
      <w:marRight w:val="0"/>
      <w:marTop w:val="0"/>
      <w:marBottom w:val="0"/>
      <w:divBdr>
        <w:top w:val="none" w:sz="0" w:space="0" w:color="auto"/>
        <w:left w:val="none" w:sz="0" w:space="0" w:color="auto"/>
        <w:bottom w:val="none" w:sz="0" w:space="0" w:color="auto"/>
        <w:right w:val="none" w:sz="0" w:space="0" w:color="auto"/>
      </w:divBdr>
    </w:div>
    <w:div w:id="1529104937">
      <w:bodyDiv w:val="1"/>
      <w:marLeft w:val="0"/>
      <w:marRight w:val="0"/>
      <w:marTop w:val="0"/>
      <w:marBottom w:val="0"/>
      <w:divBdr>
        <w:top w:val="none" w:sz="0" w:space="0" w:color="auto"/>
        <w:left w:val="none" w:sz="0" w:space="0" w:color="auto"/>
        <w:bottom w:val="none" w:sz="0" w:space="0" w:color="auto"/>
        <w:right w:val="none" w:sz="0" w:space="0" w:color="auto"/>
      </w:divBdr>
    </w:div>
    <w:div w:id="1534002274">
      <w:bodyDiv w:val="1"/>
      <w:marLeft w:val="0"/>
      <w:marRight w:val="0"/>
      <w:marTop w:val="0"/>
      <w:marBottom w:val="0"/>
      <w:divBdr>
        <w:top w:val="none" w:sz="0" w:space="0" w:color="auto"/>
        <w:left w:val="none" w:sz="0" w:space="0" w:color="auto"/>
        <w:bottom w:val="none" w:sz="0" w:space="0" w:color="auto"/>
        <w:right w:val="none" w:sz="0" w:space="0" w:color="auto"/>
      </w:divBdr>
    </w:div>
    <w:div w:id="1535732097">
      <w:bodyDiv w:val="1"/>
      <w:marLeft w:val="0"/>
      <w:marRight w:val="0"/>
      <w:marTop w:val="0"/>
      <w:marBottom w:val="0"/>
      <w:divBdr>
        <w:top w:val="none" w:sz="0" w:space="0" w:color="auto"/>
        <w:left w:val="none" w:sz="0" w:space="0" w:color="auto"/>
        <w:bottom w:val="none" w:sz="0" w:space="0" w:color="auto"/>
        <w:right w:val="none" w:sz="0" w:space="0" w:color="auto"/>
      </w:divBdr>
    </w:div>
    <w:div w:id="1537233432">
      <w:bodyDiv w:val="1"/>
      <w:marLeft w:val="0"/>
      <w:marRight w:val="0"/>
      <w:marTop w:val="0"/>
      <w:marBottom w:val="0"/>
      <w:divBdr>
        <w:top w:val="none" w:sz="0" w:space="0" w:color="auto"/>
        <w:left w:val="none" w:sz="0" w:space="0" w:color="auto"/>
        <w:bottom w:val="none" w:sz="0" w:space="0" w:color="auto"/>
        <w:right w:val="none" w:sz="0" w:space="0" w:color="auto"/>
      </w:divBdr>
    </w:div>
    <w:div w:id="1540046302">
      <w:bodyDiv w:val="1"/>
      <w:marLeft w:val="0"/>
      <w:marRight w:val="0"/>
      <w:marTop w:val="0"/>
      <w:marBottom w:val="0"/>
      <w:divBdr>
        <w:top w:val="none" w:sz="0" w:space="0" w:color="auto"/>
        <w:left w:val="none" w:sz="0" w:space="0" w:color="auto"/>
        <w:bottom w:val="none" w:sz="0" w:space="0" w:color="auto"/>
        <w:right w:val="none" w:sz="0" w:space="0" w:color="auto"/>
      </w:divBdr>
    </w:div>
    <w:div w:id="1551452645">
      <w:bodyDiv w:val="1"/>
      <w:marLeft w:val="0"/>
      <w:marRight w:val="0"/>
      <w:marTop w:val="0"/>
      <w:marBottom w:val="0"/>
      <w:divBdr>
        <w:top w:val="none" w:sz="0" w:space="0" w:color="auto"/>
        <w:left w:val="none" w:sz="0" w:space="0" w:color="auto"/>
        <w:bottom w:val="none" w:sz="0" w:space="0" w:color="auto"/>
        <w:right w:val="none" w:sz="0" w:space="0" w:color="auto"/>
      </w:divBdr>
    </w:div>
    <w:div w:id="1551965238">
      <w:bodyDiv w:val="1"/>
      <w:marLeft w:val="0"/>
      <w:marRight w:val="0"/>
      <w:marTop w:val="0"/>
      <w:marBottom w:val="0"/>
      <w:divBdr>
        <w:top w:val="none" w:sz="0" w:space="0" w:color="auto"/>
        <w:left w:val="none" w:sz="0" w:space="0" w:color="auto"/>
        <w:bottom w:val="none" w:sz="0" w:space="0" w:color="auto"/>
        <w:right w:val="none" w:sz="0" w:space="0" w:color="auto"/>
      </w:divBdr>
    </w:div>
    <w:div w:id="1562516966">
      <w:bodyDiv w:val="1"/>
      <w:marLeft w:val="0"/>
      <w:marRight w:val="0"/>
      <w:marTop w:val="0"/>
      <w:marBottom w:val="0"/>
      <w:divBdr>
        <w:top w:val="none" w:sz="0" w:space="0" w:color="auto"/>
        <w:left w:val="none" w:sz="0" w:space="0" w:color="auto"/>
        <w:bottom w:val="none" w:sz="0" w:space="0" w:color="auto"/>
        <w:right w:val="none" w:sz="0" w:space="0" w:color="auto"/>
      </w:divBdr>
    </w:div>
    <w:div w:id="1567378233">
      <w:bodyDiv w:val="1"/>
      <w:marLeft w:val="0"/>
      <w:marRight w:val="0"/>
      <w:marTop w:val="0"/>
      <w:marBottom w:val="0"/>
      <w:divBdr>
        <w:top w:val="none" w:sz="0" w:space="0" w:color="auto"/>
        <w:left w:val="none" w:sz="0" w:space="0" w:color="auto"/>
        <w:bottom w:val="none" w:sz="0" w:space="0" w:color="auto"/>
        <w:right w:val="none" w:sz="0" w:space="0" w:color="auto"/>
      </w:divBdr>
    </w:div>
    <w:div w:id="1587030398">
      <w:bodyDiv w:val="1"/>
      <w:marLeft w:val="0"/>
      <w:marRight w:val="0"/>
      <w:marTop w:val="0"/>
      <w:marBottom w:val="0"/>
      <w:divBdr>
        <w:top w:val="none" w:sz="0" w:space="0" w:color="auto"/>
        <w:left w:val="none" w:sz="0" w:space="0" w:color="auto"/>
        <w:bottom w:val="none" w:sz="0" w:space="0" w:color="auto"/>
        <w:right w:val="none" w:sz="0" w:space="0" w:color="auto"/>
      </w:divBdr>
    </w:div>
    <w:div w:id="1587031112">
      <w:bodyDiv w:val="1"/>
      <w:marLeft w:val="0"/>
      <w:marRight w:val="0"/>
      <w:marTop w:val="0"/>
      <w:marBottom w:val="0"/>
      <w:divBdr>
        <w:top w:val="none" w:sz="0" w:space="0" w:color="auto"/>
        <w:left w:val="none" w:sz="0" w:space="0" w:color="auto"/>
        <w:bottom w:val="none" w:sz="0" w:space="0" w:color="auto"/>
        <w:right w:val="none" w:sz="0" w:space="0" w:color="auto"/>
      </w:divBdr>
    </w:div>
    <w:div w:id="1590580726">
      <w:bodyDiv w:val="1"/>
      <w:marLeft w:val="0"/>
      <w:marRight w:val="0"/>
      <w:marTop w:val="0"/>
      <w:marBottom w:val="0"/>
      <w:divBdr>
        <w:top w:val="none" w:sz="0" w:space="0" w:color="auto"/>
        <w:left w:val="none" w:sz="0" w:space="0" w:color="auto"/>
        <w:bottom w:val="none" w:sz="0" w:space="0" w:color="auto"/>
        <w:right w:val="none" w:sz="0" w:space="0" w:color="auto"/>
      </w:divBdr>
      <w:divsChild>
        <w:div w:id="1515614080">
          <w:marLeft w:val="0"/>
          <w:marRight w:val="0"/>
          <w:marTop w:val="0"/>
          <w:marBottom w:val="0"/>
          <w:divBdr>
            <w:top w:val="none" w:sz="0" w:space="0" w:color="auto"/>
            <w:left w:val="none" w:sz="0" w:space="0" w:color="auto"/>
            <w:bottom w:val="none" w:sz="0" w:space="0" w:color="auto"/>
            <w:right w:val="none" w:sz="0" w:space="0" w:color="auto"/>
          </w:divBdr>
        </w:div>
        <w:div w:id="900605195">
          <w:marLeft w:val="0"/>
          <w:marRight w:val="0"/>
          <w:marTop w:val="0"/>
          <w:marBottom w:val="0"/>
          <w:divBdr>
            <w:top w:val="none" w:sz="0" w:space="0" w:color="auto"/>
            <w:left w:val="none" w:sz="0" w:space="0" w:color="auto"/>
            <w:bottom w:val="none" w:sz="0" w:space="0" w:color="auto"/>
            <w:right w:val="none" w:sz="0" w:space="0" w:color="auto"/>
          </w:divBdr>
        </w:div>
        <w:div w:id="672531566">
          <w:marLeft w:val="0"/>
          <w:marRight w:val="0"/>
          <w:marTop w:val="0"/>
          <w:marBottom w:val="0"/>
          <w:divBdr>
            <w:top w:val="none" w:sz="0" w:space="0" w:color="auto"/>
            <w:left w:val="none" w:sz="0" w:space="0" w:color="auto"/>
            <w:bottom w:val="none" w:sz="0" w:space="0" w:color="auto"/>
            <w:right w:val="none" w:sz="0" w:space="0" w:color="auto"/>
          </w:divBdr>
        </w:div>
        <w:div w:id="2051415046">
          <w:marLeft w:val="0"/>
          <w:marRight w:val="0"/>
          <w:marTop w:val="0"/>
          <w:marBottom w:val="0"/>
          <w:divBdr>
            <w:top w:val="none" w:sz="0" w:space="0" w:color="auto"/>
            <w:left w:val="none" w:sz="0" w:space="0" w:color="auto"/>
            <w:bottom w:val="none" w:sz="0" w:space="0" w:color="auto"/>
            <w:right w:val="none" w:sz="0" w:space="0" w:color="auto"/>
          </w:divBdr>
        </w:div>
        <w:div w:id="532812760">
          <w:marLeft w:val="0"/>
          <w:marRight w:val="0"/>
          <w:marTop w:val="0"/>
          <w:marBottom w:val="0"/>
          <w:divBdr>
            <w:top w:val="none" w:sz="0" w:space="0" w:color="auto"/>
            <w:left w:val="none" w:sz="0" w:space="0" w:color="auto"/>
            <w:bottom w:val="none" w:sz="0" w:space="0" w:color="auto"/>
            <w:right w:val="none" w:sz="0" w:space="0" w:color="auto"/>
          </w:divBdr>
        </w:div>
        <w:div w:id="1607543622">
          <w:marLeft w:val="0"/>
          <w:marRight w:val="0"/>
          <w:marTop w:val="0"/>
          <w:marBottom w:val="0"/>
          <w:divBdr>
            <w:top w:val="none" w:sz="0" w:space="0" w:color="auto"/>
            <w:left w:val="none" w:sz="0" w:space="0" w:color="auto"/>
            <w:bottom w:val="none" w:sz="0" w:space="0" w:color="auto"/>
            <w:right w:val="none" w:sz="0" w:space="0" w:color="auto"/>
          </w:divBdr>
        </w:div>
        <w:div w:id="528103418">
          <w:marLeft w:val="0"/>
          <w:marRight w:val="0"/>
          <w:marTop w:val="0"/>
          <w:marBottom w:val="0"/>
          <w:divBdr>
            <w:top w:val="none" w:sz="0" w:space="0" w:color="auto"/>
            <w:left w:val="none" w:sz="0" w:space="0" w:color="auto"/>
            <w:bottom w:val="none" w:sz="0" w:space="0" w:color="auto"/>
            <w:right w:val="none" w:sz="0" w:space="0" w:color="auto"/>
          </w:divBdr>
        </w:div>
        <w:div w:id="2081516081">
          <w:marLeft w:val="0"/>
          <w:marRight w:val="0"/>
          <w:marTop w:val="0"/>
          <w:marBottom w:val="0"/>
          <w:divBdr>
            <w:top w:val="none" w:sz="0" w:space="0" w:color="auto"/>
            <w:left w:val="none" w:sz="0" w:space="0" w:color="auto"/>
            <w:bottom w:val="none" w:sz="0" w:space="0" w:color="auto"/>
            <w:right w:val="none" w:sz="0" w:space="0" w:color="auto"/>
          </w:divBdr>
        </w:div>
        <w:div w:id="213085679">
          <w:marLeft w:val="0"/>
          <w:marRight w:val="0"/>
          <w:marTop w:val="0"/>
          <w:marBottom w:val="0"/>
          <w:divBdr>
            <w:top w:val="none" w:sz="0" w:space="0" w:color="auto"/>
            <w:left w:val="none" w:sz="0" w:space="0" w:color="auto"/>
            <w:bottom w:val="none" w:sz="0" w:space="0" w:color="auto"/>
            <w:right w:val="none" w:sz="0" w:space="0" w:color="auto"/>
          </w:divBdr>
        </w:div>
        <w:div w:id="595482685">
          <w:marLeft w:val="0"/>
          <w:marRight w:val="0"/>
          <w:marTop w:val="0"/>
          <w:marBottom w:val="0"/>
          <w:divBdr>
            <w:top w:val="none" w:sz="0" w:space="0" w:color="auto"/>
            <w:left w:val="none" w:sz="0" w:space="0" w:color="auto"/>
            <w:bottom w:val="none" w:sz="0" w:space="0" w:color="auto"/>
            <w:right w:val="none" w:sz="0" w:space="0" w:color="auto"/>
          </w:divBdr>
        </w:div>
        <w:div w:id="1166634233">
          <w:marLeft w:val="0"/>
          <w:marRight w:val="0"/>
          <w:marTop w:val="0"/>
          <w:marBottom w:val="0"/>
          <w:divBdr>
            <w:top w:val="none" w:sz="0" w:space="0" w:color="auto"/>
            <w:left w:val="none" w:sz="0" w:space="0" w:color="auto"/>
            <w:bottom w:val="none" w:sz="0" w:space="0" w:color="auto"/>
            <w:right w:val="none" w:sz="0" w:space="0" w:color="auto"/>
          </w:divBdr>
        </w:div>
        <w:div w:id="1107895124">
          <w:marLeft w:val="0"/>
          <w:marRight w:val="0"/>
          <w:marTop w:val="0"/>
          <w:marBottom w:val="0"/>
          <w:divBdr>
            <w:top w:val="none" w:sz="0" w:space="0" w:color="auto"/>
            <w:left w:val="none" w:sz="0" w:space="0" w:color="auto"/>
            <w:bottom w:val="none" w:sz="0" w:space="0" w:color="auto"/>
            <w:right w:val="none" w:sz="0" w:space="0" w:color="auto"/>
          </w:divBdr>
        </w:div>
        <w:div w:id="1509366439">
          <w:marLeft w:val="0"/>
          <w:marRight w:val="0"/>
          <w:marTop w:val="0"/>
          <w:marBottom w:val="0"/>
          <w:divBdr>
            <w:top w:val="none" w:sz="0" w:space="0" w:color="auto"/>
            <w:left w:val="none" w:sz="0" w:space="0" w:color="auto"/>
            <w:bottom w:val="none" w:sz="0" w:space="0" w:color="auto"/>
            <w:right w:val="none" w:sz="0" w:space="0" w:color="auto"/>
          </w:divBdr>
        </w:div>
        <w:div w:id="176046411">
          <w:marLeft w:val="0"/>
          <w:marRight w:val="0"/>
          <w:marTop w:val="0"/>
          <w:marBottom w:val="0"/>
          <w:divBdr>
            <w:top w:val="none" w:sz="0" w:space="0" w:color="auto"/>
            <w:left w:val="none" w:sz="0" w:space="0" w:color="auto"/>
            <w:bottom w:val="none" w:sz="0" w:space="0" w:color="auto"/>
            <w:right w:val="none" w:sz="0" w:space="0" w:color="auto"/>
          </w:divBdr>
        </w:div>
        <w:div w:id="1799294153">
          <w:marLeft w:val="0"/>
          <w:marRight w:val="0"/>
          <w:marTop w:val="0"/>
          <w:marBottom w:val="0"/>
          <w:divBdr>
            <w:top w:val="none" w:sz="0" w:space="0" w:color="auto"/>
            <w:left w:val="none" w:sz="0" w:space="0" w:color="auto"/>
            <w:bottom w:val="none" w:sz="0" w:space="0" w:color="auto"/>
            <w:right w:val="none" w:sz="0" w:space="0" w:color="auto"/>
          </w:divBdr>
        </w:div>
        <w:div w:id="177886713">
          <w:marLeft w:val="0"/>
          <w:marRight w:val="0"/>
          <w:marTop w:val="0"/>
          <w:marBottom w:val="0"/>
          <w:divBdr>
            <w:top w:val="none" w:sz="0" w:space="0" w:color="auto"/>
            <w:left w:val="none" w:sz="0" w:space="0" w:color="auto"/>
            <w:bottom w:val="none" w:sz="0" w:space="0" w:color="auto"/>
            <w:right w:val="none" w:sz="0" w:space="0" w:color="auto"/>
          </w:divBdr>
        </w:div>
        <w:div w:id="1387296393">
          <w:marLeft w:val="0"/>
          <w:marRight w:val="0"/>
          <w:marTop w:val="0"/>
          <w:marBottom w:val="0"/>
          <w:divBdr>
            <w:top w:val="none" w:sz="0" w:space="0" w:color="auto"/>
            <w:left w:val="none" w:sz="0" w:space="0" w:color="auto"/>
            <w:bottom w:val="none" w:sz="0" w:space="0" w:color="auto"/>
            <w:right w:val="none" w:sz="0" w:space="0" w:color="auto"/>
          </w:divBdr>
        </w:div>
        <w:div w:id="566578388">
          <w:marLeft w:val="0"/>
          <w:marRight w:val="0"/>
          <w:marTop w:val="0"/>
          <w:marBottom w:val="0"/>
          <w:divBdr>
            <w:top w:val="none" w:sz="0" w:space="0" w:color="auto"/>
            <w:left w:val="none" w:sz="0" w:space="0" w:color="auto"/>
            <w:bottom w:val="none" w:sz="0" w:space="0" w:color="auto"/>
            <w:right w:val="none" w:sz="0" w:space="0" w:color="auto"/>
          </w:divBdr>
        </w:div>
        <w:div w:id="235555474">
          <w:marLeft w:val="0"/>
          <w:marRight w:val="0"/>
          <w:marTop w:val="0"/>
          <w:marBottom w:val="0"/>
          <w:divBdr>
            <w:top w:val="none" w:sz="0" w:space="0" w:color="auto"/>
            <w:left w:val="none" w:sz="0" w:space="0" w:color="auto"/>
            <w:bottom w:val="none" w:sz="0" w:space="0" w:color="auto"/>
            <w:right w:val="none" w:sz="0" w:space="0" w:color="auto"/>
          </w:divBdr>
        </w:div>
      </w:divsChild>
    </w:div>
    <w:div w:id="1595749802">
      <w:bodyDiv w:val="1"/>
      <w:marLeft w:val="0"/>
      <w:marRight w:val="0"/>
      <w:marTop w:val="0"/>
      <w:marBottom w:val="0"/>
      <w:divBdr>
        <w:top w:val="none" w:sz="0" w:space="0" w:color="auto"/>
        <w:left w:val="none" w:sz="0" w:space="0" w:color="auto"/>
        <w:bottom w:val="none" w:sz="0" w:space="0" w:color="auto"/>
        <w:right w:val="none" w:sz="0" w:space="0" w:color="auto"/>
      </w:divBdr>
    </w:div>
    <w:div w:id="1607735442">
      <w:bodyDiv w:val="1"/>
      <w:marLeft w:val="0"/>
      <w:marRight w:val="0"/>
      <w:marTop w:val="0"/>
      <w:marBottom w:val="0"/>
      <w:divBdr>
        <w:top w:val="none" w:sz="0" w:space="0" w:color="auto"/>
        <w:left w:val="none" w:sz="0" w:space="0" w:color="auto"/>
        <w:bottom w:val="none" w:sz="0" w:space="0" w:color="auto"/>
        <w:right w:val="none" w:sz="0" w:space="0" w:color="auto"/>
      </w:divBdr>
    </w:div>
    <w:div w:id="1618102967">
      <w:bodyDiv w:val="1"/>
      <w:marLeft w:val="0"/>
      <w:marRight w:val="0"/>
      <w:marTop w:val="0"/>
      <w:marBottom w:val="0"/>
      <w:divBdr>
        <w:top w:val="none" w:sz="0" w:space="0" w:color="auto"/>
        <w:left w:val="none" w:sz="0" w:space="0" w:color="auto"/>
        <w:bottom w:val="none" w:sz="0" w:space="0" w:color="auto"/>
        <w:right w:val="none" w:sz="0" w:space="0" w:color="auto"/>
      </w:divBdr>
    </w:div>
    <w:div w:id="1618609257">
      <w:bodyDiv w:val="1"/>
      <w:marLeft w:val="0"/>
      <w:marRight w:val="0"/>
      <w:marTop w:val="0"/>
      <w:marBottom w:val="0"/>
      <w:divBdr>
        <w:top w:val="none" w:sz="0" w:space="0" w:color="auto"/>
        <w:left w:val="none" w:sz="0" w:space="0" w:color="auto"/>
        <w:bottom w:val="none" w:sz="0" w:space="0" w:color="auto"/>
        <w:right w:val="none" w:sz="0" w:space="0" w:color="auto"/>
      </w:divBdr>
    </w:div>
    <w:div w:id="1619875137">
      <w:bodyDiv w:val="1"/>
      <w:marLeft w:val="0"/>
      <w:marRight w:val="0"/>
      <w:marTop w:val="0"/>
      <w:marBottom w:val="0"/>
      <w:divBdr>
        <w:top w:val="none" w:sz="0" w:space="0" w:color="auto"/>
        <w:left w:val="none" w:sz="0" w:space="0" w:color="auto"/>
        <w:bottom w:val="none" w:sz="0" w:space="0" w:color="auto"/>
        <w:right w:val="none" w:sz="0" w:space="0" w:color="auto"/>
      </w:divBdr>
    </w:div>
    <w:div w:id="1638560420">
      <w:bodyDiv w:val="1"/>
      <w:marLeft w:val="0"/>
      <w:marRight w:val="0"/>
      <w:marTop w:val="0"/>
      <w:marBottom w:val="0"/>
      <w:divBdr>
        <w:top w:val="none" w:sz="0" w:space="0" w:color="auto"/>
        <w:left w:val="none" w:sz="0" w:space="0" w:color="auto"/>
        <w:bottom w:val="none" w:sz="0" w:space="0" w:color="auto"/>
        <w:right w:val="none" w:sz="0" w:space="0" w:color="auto"/>
      </w:divBdr>
    </w:div>
    <w:div w:id="1642491822">
      <w:bodyDiv w:val="1"/>
      <w:marLeft w:val="0"/>
      <w:marRight w:val="0"/>
      <w:marTop w:val="0"/>
      <w:marBottom w:val="0"/>
      <w:divBdr>
        <w:top w:val="none" w:sz="0" w:space="0" w:color="auto"/>
        <w:left w:val="none" w:sz="0" w:space="0" w:color="auto"/>
        <w:bottom w:val="none" w:sz="0" w:space="0" w:color="auto"/>
        <w:right w:val="none" w:sz="0" w:space="0" w:color="auto"/>
      </w:divBdr>
    </w:div>
    <w:div w:id="1648629819">
      <w:bodyDiv w:val="1"/>
      <w:marLeft w:val="0"/>
      <w:marRight w:val="0"/>
      <w:marTop w:val="0"/>
      <w:marBottom w:val="0"/>
      <w:divBdr>
        <w:top w:val="none" w:sz="0" w:space="0" w:color="auto"/>
        <w:left w:val="none" w:sz="0" w:space="0" w:color="auto"/>
        <w:bottom w:val="none" w:sz="0" w:space="0" w:color="auto"/>
        <w:right w:val="none" w:sz="0" w:space="0" w:color="auto"/>
      </w:divBdr>
    </w:div>
    <w:div w:id="1651133432">
      <w:bodyDiv w:val="1"/>
      <w:marLeft w:val="0"/>
      <w:marRight w:val="0"/>
      <w:marTop w:val="0"/>
      <w:marBottom w:val="0"/>
      <w:divBdr>
        <w:top w:val="none" w:sz="0" w:space="0" w:color="auto"/>
        <w:left w:val="none" w:sz="0" w:space="0" w:color="auto"/>
        <w:bottom w:val="none" w:sz="0" w:space="0" w:color="auto"/>
        <w:right w:val="none" w:sz="0" w:space="0" w:color="auto"/>
      </w:divBdr>
    </w:div>
    <w:div w:id="1652325075">
      <w:bodyDiv w:val="1"/>
      <w:marLeft w:val="0"/>
      <w:marRight w:val="0"/>
      <w:marTop w:val="0"/>
      <w:marBottom w:val="0"/>
      <w:divBdr>
        <w:top w:val="none" w:sz="0" w:space="0" w:color="auto"/>
        <w:left w:val="none" w:sz="0" w:space="0" w:color="auto"/>
        <w:bottom w:val="none" w:sz="0" w:space="0" w:color="auto"/>
        <w:right w:val="none" w:sz="0" w:space="0" w:color="auto"/>
      </w:divBdr>
    </w:div>
    <w:div w:id="1653172660">
      <w:bodyDiv w:val="1"/>
      <w:marLeft w:val="0"/>
      <w:marRight w:val="0"/>
      <w:marTop w:val="0"/>
      <w:marBottom w:val="0"/>
      <w:divBdr>
        <w:top w:val="none" w:sz="0" w:space="0" w:color="auto"/>
        <w:left w:val="none" w:sz="0" w:space="0" w:color="auto"/>
        <w:bottom w:val="none" w:sz="0" w:space="0" w:color="auto"/>
        <w:right w:val="none" w:sz="0" w:space="0" w:color="auto"/>
      </w:divBdr>
    </w:div>
    <w:div w:id="1654528753">
      <w:bodyDiv w:val="1"/>
      <w:marLeft w:val="0"/>
      <w:marRight w:val="0"/>
      <w:marTop w:val="0"/>
      <w:marBottom w:val="0"/>
      <w:divBdr>
        <w:top w:val="none" w:sz="0" w:space="0" w:color="auto"/>
        <w:left w:val="none" w:sz="0" w:space="0" w:color="auto"/>
        <w:bottom w:val="none" w:sz="0" w:space="0" w:color="auto"/>
        <w:right w:val="none" w:sz="0" w:space="0" w:color="auto"/>
      </w:divBdr>
    </w:div>
    <w:div w:id="1664971358">
      <w:bodyDiv w:val="1"/>
      <w:marLeft w:val="0"/>
      <w:marRight w:val="0"/>
      <w:marTop w:val="0"/>
      <w:marBottom w:val="0"/>
      <w:divBdr>
        <w:top w:val="none" w:sz="0" w:space="0" w:color="auto"/>
        <w:left w:val="none" w:sz="0" w:space="0" w:color="auto"/>
        <w:bottom w:val="none" w:sz="0" w:space="0" w:color="auto"/>
        <w:right w:val="none" w:sz="0" w:space="0" w:color="auto"/>
      </w:divBdr>
    </w:div>
    <w:div w:id="1670864378">
      <w:bodyDiv w:val="1"/>
      <w:marLeft w:val="0"/>
      <w:marRight w:val="0"/>
      <w:marTop w:val="0"/>
      <w:marBottom w:val="0"/>
      <w:divBdr>
        <w:top w:val="none" w:sz="0" w:space="0" w:color="auto"/>
        <w:left w:val="none" w:sz="0" w:space="0" w:color="auto"/>
        <w:bottom w:val="none" w:sz="0" w:space="0" w:color="auto"/>
        <w:right w:val="none" w:sz="0" w:space="0" w:color="auto"/>
      </w:divBdr>
    </w:div>
    <w:div w:id="1690835356">
      <w:bodyDiv w:val="1"/>
      <w:marLeft w:val="0"/>
      <w:marRight w:val="0"/>
      <w:marTop w:val="0"/>
      <w:marBottom w:val="0"/>
      <w:divBdr>
        <w:top w:val="none" w:sz="0" w:space="0" w:color="auto"/>
        <w:left w:val="none" w:sz="0" w:space="0" w:color="auto"/>
        <w:bottom w:val="none" w:sz="0" w:space="0" w:color="auto"/>
        <w:right w:val="none" w:sz="0" w:space="0" w:color="auto"/>
      </w:divBdr>
    </w:div>
    <w:div w:id="1691375184">
      <w:bodyDiv w:val="1"/>
      <w:marLeft w:val="0"/>
      <w:marRight w:val="0"/>
      <w:marTop w:val="0"/>
      <w:marBottom w:val="0"/>
      <w:divBdr>
        <w:top w:val="none" w:sz="0" w:space="0" w:color="auto"/>
        <w:left w:val="none" w:sz="0" w:space="0" w:color="auto"/>
        <w:bottom w:val="none" w:sz="0" w:space="0" w:color="auto"/>
        <w:right w:val="none" w:sz="0" w:space="0" w:color="auto"/>
      </w:divBdr>
    </w:div>
    <w:div w:id="1696616232">
      <w:bodyDiv w:val="1"/>
      <w:marLeft w:val="0"/>
      <w:marRight w:val="0"/>
      <w:marTop w:val="0"/>
      <w:marBottom w:val="0"/>
      <w:divBdr>
        <w:top w:val="none" w:sz="0" w:space="0" w:color="auto"/>
        <w:left w:val="none" w:sz="0" w:space="0" w:color="auto"/>
        <w:bottom w:val="none" w:sz="0" w:space="0" w:color="auto"/>
        <w:right w:val="none" w:sz="0" w:space="0" w:color="auto"/>
      </w:divBdr>
    </w:div>
    <w:div w:id="1700623156">
      <w:bodyDiv w:val="1"/>
      <w:marLeft w:val="0"/>
      <w:marRight w:val="0"/>
      <w:marTop w:val="0"/>
      <w:marBottom w:val="0"/>
      <w:divBdr>
        <w:top w:val="none" w:sz="0" w:space="0" w:color="auto"/>
        <w:left w:val="none" w:sz="0" w:space="0" w:color="auto"/>
        <w:bottom w:val="none" w:sz="0" w:space="0" w:color="auto"/>
        <w:right w:val="none" w:sz="0" w:space="0" w:color="auto"/>
      </w:divBdr>
    </w:div>
    <w:div w:id="1714770757">
      <w:bodyDiv w:val="1"/>
      <w:marLeft w:val="0"/>
      <w:marRight w:val="0"/>
      <w:marTop w:val="0"/>
      <w:marBottom w:val="0"/>
      <w:divBdr>
        <w:top w:val="none" w:sz="0" w:space="0" w:color="auto"/>
        <w:left w:val="none" w:sz="0" w:space="0" w:color="auto"/>
        <w:bottom w:val="none" w:sz="0" w:space="0" w:color="auto"/>
        <w:right w:val="none" w:sz="0" w:space="0" w:color="auto"/>
      </w:divBdr>
    </w:div>
    <w:div w:id="1720937881">
      <w:bodyDiv w:val="1"/>
      <w:marLeft w:val="0"/>
      <w:marRight w:val="0"/>
      <w:marTop w:val="0"/>
      <w:marBottom w:val="0"/>
      <w:divBdr>
        <w:top w:val="none" w:sz="0" w:space="0" w:color="auto"/>
        <w:left w:val="none" w:sz="0" w:space="0" w:color="auto"/>
        <w:bottom w:val="none" w:sz="0" w:space="0" w:color="auto"/>
        <w:right w:val="none" w:sz="0" w:space="0" w:color="auto"/>
      </w:divBdr>
    </w:div>
    <w:div w:id="1724209630">
      <w:bodyDiv w:val="1"/>
      <w:marLeft w:val="0"/>
      <w:marRight w:val="0"/>
      <w:marTop w:val="0"/>
      <w:marBottom w:val="0"/>
      <w:divBdr>
        <w:top w:val="none" w:sz="0" w:space="0" w:color="auto"/>
        <w:left w:val="none" w:sz="0" w:space="0" w:color="auto"/>
        <w:bottom w:val="none" w:sz="0" w:space="0" w:color="auto"/>
        <w:right w:val="none" w:sz="0" w:space="0" w:color="auto"/>
      </w:divBdr>
    </w:div>
    <w:div w:id="1725760119">
      <w:bodyDiv w:val="1"/>
      <w:marLeft w:val="0"/>
      <w:marRight w:val="0"/>
      <w:marTop w:val="0"/>
      <w:marBottom w:val="0"/>
      <w:divBdr>
        <w:top w:val="none" w:sz="0" w:space="0" w:color="auto"/>
        <w:left w:val="none" w:sz="0" w:space="0" w:color="auto"/>
        <w:bottom w:val="none" w:sz="0" w:space="0" w:color="auto"/>
        <w:right w:val="none" w:sz="0" w:space="0" w:color="auto"/>
      </w:divBdr>
    </w:div>
    <w:div w:id="1727140738">
      <w:bodyDiv w:val="1"/>
      <w:marLeft w:val="0"/>
      <w:marRight w:val="0"/>
      <w:marTop w:val="0"/>
      <w:marBottom w:val="0"/>
      <w:divBdr>
        <w:top w:val="none" w:sz="0" w:space="0" w:color="auto"/>
        <w:left w:val="none" w:sz="0" w:space="0" w:color="auto"/>
        <w:bottom w:val="none" w:sz="0" w:space="0" w:color="auto"/>
        <w:right w:val="none" w:sz="0" w:space="0" w:color="auto"/>
      </w:divBdr>
    </w:div>
    <w:div w:id="1728063257">
      <w:bodyDiv w:val="1"/>
      <w:marLeft w:val="0"/>
      <w:marRight w:val="0"/>
      <w:marTop w:val="0"/>
      <w:marBottom w:val="0"/>
      <w:divBdr>
        <w:top w:val="none" w:sz="0" w:space="0" w:color="auto"/>
        <w:left w:val="none" w:sz="0" w:space="0" w:color="auto"/>
        <w:bottom w:val="none" w:sz="0" w:space="0" w:color="auto"/>
        <w:right w:val="none" w:sz="0" w:space="0" w:color="auto"/>
      </w:divBdr>
    </w:div>
    <w:div w:id="1753693801">
      <w:bodyDiv w:val="1"/>
      <w:marLeft w:val="0"/>
      <w:marRight w:val="0"/>
      <w:marTop w:val="0"/>
      <w:marBottom w:val="0"/>
      <w:divBdr>
        <w:top w:val="none" w:sz="0" w:space="0" w:color="auto"/>
        <w:left w:val="none" w:sz="0" w:space="0" w:color="auto"/>
        <w:bottom w:val="none" w:sz="0" w:space="0" w:color="auto"/>
        <w:right w:val="none" w:sz="0" w:space="0" w:color="auto"/>
      </w:divBdr>
    </w:div>
    <w:div w:id="1764959906">
      <w:bodyDiv w:val="1"/>
      <w:marLeft w:val="0"/>
      <w:marRight w:val="0"/>
      <w:marTop w:val="0"/>
      <w:marBottom w:val="0"/>
      <w:divBdr>
        <w:top w:val="none" w:sz="0" w:space="0" w:color="auto"/>
        <w:left w:val="none" w:sz="0" w:space="0" w:color="auto"/>
        <w:bottom w:val="none" w:sz="0" w:space="0" w:color="auto"/>
        <w:right w:val="none" w:sz="0" w:space="0" w:color="auto"/>
      </w:divBdr>
    </w:div>
    <w:div w:id="1775904438">
      <w:bodyDiv w:val="1"/>
      <w:marLeft w:val="0"/>
      <w:marRight w:val="0"/>
      <w:marTop w:val="0"/>
      <w:marBottom w:val="0"/>
      <w:divBdr>
        <w:top w:val="none" w:sz="0" w:space="0" w:color="auto"/>
        <w:left w:val="none" w:sz="0" w:space="0" w:color="auto"/>
        <w:bottom w:val="none" w:sz="0" w:space="0" w:color="auto"/>
        <w:right w:val="none" w:sz="0" w:space="0" w:color="auto"/>
      </w:divBdr>
    </w:div>
    <w:div w:id="1796019938">
      <w:bodyDiv w:val="1"/>
      <w:marLeft w:val="0"/>
      <w:marRight w:val="0"/>
      <w:marTop w:val="0"/>
      <w:marBottom w:val="0"/>
      <w:divBdr>
        <w:top w:val="none" w:sz="0" w:space="0" w:color="auto"/>
        <w:left w:val="none" w:sz="0" w:space="0" w:color="auto"/>
        <w:bottom w:val="none" w:sz="0" w:space="0" w:color="auto"/>
        <w:right w:val="none" w:sz="0" w:space="0" w:color="auto"/>
      </w:divBdr>
    </w:div>
    <w:div w:id="1805075243">
      <w:bodyDiv w:val="1"/>
      <w:marLeft w:val="0"/>
      <w:marRight w:val="0"/>
      <w:marTop w:val="0"/>
      <w:marBottom w:val="0"/>
      <w:divBdr>
        <w:top w:val="none" w:sz="0" w:space="0" w:color="auto"/>
        <w:left w:val="none" w:sz="0" w:space="0" w:color="auto"/>
        <w:bottom w:val="none" w:sz="0" w:space="0" w:color="auto"/>
        <w:right w:val="none" w:sz="0" w:space="0" w:color="auto"/>
      </w:divBdr>
    </w:div>
    <w:div w:id="1805610875">
      <w:bodyDiv w:val="1"/>
      <w:marLeft w:val="0"/>
      <w:marRight w:val="0"/>
      <w:marTop w:val="0"/>
      <w:marBottom w:val="0"/>
      <w:divBdr>
        <w:top w:val="none" w:sz="0" w:space="0" w:color="auto"/>
        <w:left w:val="none" w:sz="0" w:space="0" w:color="auto"/>
        <w:bottom w:val="none" w:sz="0" w:space="0" w:color="auto"/>
        <w:right w:val="none" w:sz="0" w:space="0" w:color="auto"/>
      </w:divBdr>
    </w:div>
    <w:div w:id="1828547569">
      <w:bodyDiv w:val="1"/>
      <w:marLeft w:val="0"/>
      <w:marRight w:val="0"/>
      <w:marTop w:val="0"/>
      <w:marBottom w:val="0"/>
      <w:divBdr>
        <w:top w:val="none" w:sz="0" w:space="0" w:color="auto"/>
        <w:left w:val="none" w:sz="0" w:space="0" w:color="auto"/>
        <w:bottom w:val="none" w:sz="0" w:space="0" w:color="auto"/>
        <w:right w:val="none" w:sz="0" w:space="0" w:color="auto"/>
      </w:divBdr>
    </w:div>
    <w:div w:id="1829400895">
      <w:bodyDiv w:val="1"/>
      <w:marLeft w:val="0"/>
      <w:marRight w:val="0"/>
      <w:marTop w:val="0"/>
      <w:marBottom w:val="0"/>
      <w:divBdr>
        <w:top w:val="none" w:sz="0" w:space="0" w:color="auto"/>
        <w:left w:val="none" w:sz="0" w:space="0" w:color="auto"/>
        <w:bottom w:val="none" w:sz="0" w:space="0" w:color="auto"/>
        <w:right w:val="none" w:sz="0" w:space="0" w:color="auto"/>
      </w:divBdr>
    </w:div>
    <w:div w:id="1835299861">
      <w:bodyDiv w:val="1"/>
      <w:marLeft w:val="0"/>
      <w:marRight w:val="0"/>
      <w:marTop w:val="0"/>
      <w:marBottom w:val="0"/>
      <w:divBdr>
        <w:top w:val="none" w:sz="0" w:space="0" w:color="auto"/>
        <w:left w:val="none" w:sz="0" w:space="0" w:color="auto"/>
        <w:bottom w:val="none" w:sz="0" w:space="0" w:color="auto"/>
        <w:right w:val="none" w:sz="0" w:space="0" w:color="auto"/>
      </w:divBdr>
    </w:div>
    <w:div w:id="1841576478">
      <w:bodyDiv w:val="1"/>
      <w:marLeft w:val="0"/>
      <w:marRight w:val="0"/>
      <w:marTop w:val="0"/>
      <w:marBottom w:val="0"/>
      <w:divBdr>
        <w:top w:val="none" w:sz="0" w:space="0" w:color="auto"/>
        <w:left w:val="none" w:sz="0" w:space="0" w:color="auto"/>
        <w:bottom w:val="none" w:sz="0" w:space="0" w:color="auto"/>
        <w:right w:val="none" w:sz="0" w:space="0" w:color="auto"/>
      </w:divBdr>
    </w:div>
    <w:div w:id="1849975788">
      <w:bodyDiv w:val="1"/>
      <w:marLeft w:val="0"/>
      <w:marRight w:val="0"/>
      <w:marTop w:val="0"/>
      <w:marBottom w:val="0"/>
      <w:divBdr>
        <w:top w:val="none" w:sz="0" w:space="0" w:color="auto"/>
        <w:left w:val="none" w:sz="0" w:space="0" w:color="auto"/>
        <w:bottom w:val="none" w:sz="0" w:space="0" w:color="auto"/>
        <w:right w:val="none" w:sz="0" w:space="0" w:color="auto"/>
      </w:divBdr>
    </w:div>
    <w:div w:id="1850370547">
      <w:bodyDiv w:val="1"/>
      <w:marLeft w:val="0"/>
      <w:marRight w:val="0"/>
      <w:marTop w:val="0"/>
      <w:marBottom w:val="0"/>
      <w:divBdr>
        <w:top w:val="none" w:sz="0" w:space="0" w:color="auto"/>
        <w:left w:val="none" w:sz="0" w:space="0" w:color="auto"/>
        <w:bottom w:val="none" w:sz="0" w:space="0" w:color="auto"/>
        <w:right w:val="none" w:sz="0" w:space="0" w:color="auto"/>
      </w:divBdr>
    </w:div>
    <w:div w:id="1855880845">
      <w:bodyDiv w:val="1"/>
      <w:marLeft w:val="0"/>
      <w:marRight w:val="0"/>
      <w:marTop w:val="0"/>
      <w:marBottom w:val="0"/>
      <w:divBdr>
        <w:top w:val="none" w:sz="0" w:space="0" w:color="auto"/>
        <w:left w:val="none" w:sz="0" w:space="0" w:color="auto"/>
        <w:bottom w:val="none" w:sz="0" w:space="0" w:color="auto"/>
        <w:right w:val="none" w:sz="0" w:space="0" w:color="auto"/>
      </w:divBdr>
    </w:div>
    <w:div w:id="1857500901">
      <w:bodyDiv w:val="1"/>
      <w:marLeft w:val="0"/>
      <w:marRight w:val="0"/>
      <w:marTop w:val="0"/>
      <w:marBottom w:val="0"/>
      <w:divBdr>
        <w:top w:val="none" w:sz="0" w:space="0" w:color="auto"/>
        <w:left w:val="none" w:sz="0" w:space="0" w:color="auto"/>
        <w:bottom w:val="none" w:sz="0" w:space="0" w:color="auto"/>
        <w:right w:val="none" w:sz="0" w:space="0" w:color="auto"/>
      </w:divBdr>
    </w:div>
    <w:div w:id="1863740085">
      <w:bodyDiv w:val="1"/>
      <w:marLeft w:val="0"/>
      <w:marRight w:val="0"/>
      <w:marTop w:val="0"/>
      <w:marBottom w:val="0"/>
      <w:divBdr>
        <w:top w:val="none" w:sz="0" w:space="0" w:color="auto"/>
        <w:left w:val="none" w:sz="0" w:space="0" w:color="auto"/>
        <w:bottom w:val="none" w:sz="0" w:space="0" w:color="auto"/>
        <w:right w:val="none" w:sz="0" w:space="0" w:color="auto"/>
      </w:divBdr>
    </w:div>
    <w:div w:id="1865170383">
      <w:bodyDiv w:val="1"/>
      <w:marLeft w:val="0"/>
      <w:marRight w:val="0"/>
      <w:marTop w:val="0"/>
      <w:marBottom w:val="0"/>
      <w:divBdr>
        <w:top w:val="none" w:sz="0" w:space="0" w:color="auto"/>
        <w:left w:val="none" w:sz="0" w:space="0" w:color="auto"/>
        <w:bottom w:val="none" w:sz="0" w:space="0" w:color="auto"/>
        <w:right w:val="none" w:sz="0" w:space="0" w:color="auto"/>
      </w:divBdr>
    </w:div>
    <w:div w:id="1869221249">
      <w:bodyDiv w:val="1"/>
      <w:marLeft w:val="0"/>
      <w:marRight w:val="0"/>
      <w:marTop w:val="0"/>
      <w:marBottom w:val="0"/>
      <w:divBdr>
        <w:top w:val="none" w:sz="0" w:space="0" w:color="auto"/>
        <w:left w:val="none" w:sz="0" w:space="0" w:color="auto"/>
        <w:bottom w:val="none" w:sz="0" w:space="0" w:color="auto"/>
        <w:right w:val="none" w:sz="0" w:space="0" w:color="auto"/>
      </w:divBdr>
    </w:div>
    <w:div w:id="1872956390">
      <w:bodyDiv w:val="1"/>
      <w:marLeft w:val="0"/>
      <w:marRight w:val="0"/>
      <w:marTop w:val="0"/>
      <w:marBottom w:val="0"/>
      <w:divBdr>
        <w:top w:val="none" w:sz="0" w:space="0" w:color="auto"/>
        <w:left w:val="none" w:sz="0" w:space="0" w:color="auto"/>
        <w:bottom w:val="none" w:sz="0" w:space="0" w:color="auto"/>
        <w:right w:val="none" w:sz="0" w:space="0" w:color="auto"/>
      </w:divBdr>
    </w:div>
    <w:div w:id="1880899959">
      <w:bodyDiv w:val="1"/>
      <w:marLeft w:val="0"/>
      <w:marRight w:val="0"/>
      <w:marTop w:val="0"/>
      <w:marBottom w:val="0"/>
      <w:divBdr>
        <w:top w:val="none" w:sz="0" w:space="0" w:color="auto"/>
        <w:left w:val="none" w:sz="0" w:space="0" w:color="auto"/>
        <w:bottom w:val="none" w:sz="0" w:space="0" w:color="auto"/>
        <w:right w:val="none" w:sz="0" w:space="0" w:color="auto"/>
      </w:divBdr>
    </w:div>
    <w:div w:id="1881090181">
      <w:bodyDiv w:val="1"/>
      <w:marLeft w:val="0"/>
      <w:marRight w:val="0"/>
      <w:marTop w:val="0"/>
      <w:marBottom w:val="0"/>
      <w:divBdr>
        <w:top w:val="none" w:sz="0" w:space="0" w:color="auto"/>
        <w:left w:val="none" w:sz="0" w:space="0" w:color="auto"/>
        <w:bottom w:val="none" w:sz="0" w:space="0" w:color="auto"/>
        <w:right w:val="none" w:sz="0" w:space="0" w:color="auto"/>
      </w:divBdr>
    </w:div>
    <w:div w:id="1886790579">
      <w:bodyDiv w:val="1"/>
      <w:marLeft w:val="0"/>
      <w:marRight w:val="0"/>
      <w:marTop w:val="0"/>
      <w:marBottom w:val="0"/>
      <w:divBdr>
        <w:top w:val="none" w:sz="0" w:space="0" w:color="auto"/>
        <w:left w:val="none" w:sz="0" w:space="0" w:color="auto"/>
        <w:bottom w:val="none" w:sz="0" w:space="0" w:color="auto"/>
        <w:right w:val="none" w:sz="0" w:space="0" w:color="auto"/>
      </w:divBdr>
    </w:div>
    <w:div w:id="1889953252">
      <w:bodyDiv w:val="1"/>
      <w:marLeft w:val="0"/>
      <w:marRight w:val="0"/>
      <w:marTop w:val="0"/>
      <w:marBottom w:val="0"/>
      <w:divBdr>
        <w:top w:val="none" w:sz="0" w:space="0" w:color="auto"/>
        <w:left w:val="none" w:sz="0" w:space="0" w:color="auto"/>
        <w:bottom w:val="none" w:sz="0" w:space="0" w:color="auto"/>
        <w:right w:val="none" w:sz="0" w:space="0" w:color="auto"/>
      </w:divBdr>
    </w:div>
    <w:div w:id="1894465108">
      <w:bodyDiv w:val="1"/>
      <w:marLeft w:val="0"/>
      <w:marRight w:val="0"/>
      <w:marTop w:val="0"/>
      <w:marBottom w:val="0"/>
      <w:divBdr>
        <w:top w:val="none" w:sz="0" w:space="0" w:color="auto"/>
        <w:left w:val="none" w:sz="0" w:space="0" w:color="auto"/>
        <w:bottom w:val="none" w:sz="0" w:space="0" w:color="auto"/>
        <w:right w:val="none" w:sz="0" w:space="0" w:color="auto"/>
      </w:divBdr>
    </w:div>
    <w:div w:id="1894808471">
      <w:bodyDiv w:val="1"/>
      <w:marLeft w:val="0"/>
      <w:marRight w:val="0"/>
      <w:marTop w:val="0"/>
      <w:marBottom w:val="0"/>
      <w:divBdr>
        <w:top w:val="none" w:sz="0" w:space="0" w:color="auto"/>
        <w:left w:val="none" w:sz="0" w:space="0" w:color="auto"/>
        <w:bottom w:val="none" w:sz="0" w:space="0" w:color="auto"/>
        <w:right w:val="none" w:sz="0" w:space="0" w:color="auto"/>
      </w:divBdr>
    </w:div>
    <w:div w:id="1896812965">
      <w:bodyDiv w:val="1"/>
      <w:marLeft w:val="0"/>
      <w:marRight w:val="0"/>
      <w:marTop w:val="0"/>
      <w:marBottom w:val="0"/>
      <w:divBdr>
        <w:top w:val="none" w:sz="0" w:space="0" w:color="auto"/>
        <w:left w:val="none" w:sz="0" w:space="0" w:color="auto"/>
        <w:bottom w:val="none" w:sz="0" w:space="0" w:color="auto"/>
        <w:right w:val="none" w:sz="0" w:space="0" w:color="auto"/>
      </w:divBdr>
    </w:div>
    <w:div w:id="1898204323">
      <w:bodyDiv w:val="1"/>
      <w:marLeft w:val="0"/>
      <w:marRight w:val="0"/>
      <w:marTop w:val="0"/>
      <w:marBottom w:val="0"/>
      <w:divBdr>
        <w:top w:val="none" w:sz="0" w:space="0" w:color="auto"/>
        <w:left w:val="none" w:sz="0" w:space="0" w:color="auto"/>
        <w:bottom w:val="none" w:sz="0" w:space="0" w:color="auto"/>
        <w:right w:val="none" w:sz="0" w:space="0" w:color="auto"/>
      </w:divBdr>
    </w:div>
    <w:div w:id="1901089210">
      <w:bodyDiv w:val="1"/>
      <w:marLeft w:val="0"/>
      <w:marRight w:val="0"/>
      <w:marTop w:val="0"/>
      <w:marBottom w:val="0"/>
      <w:divBdr>
        <w:top w:val="none" w:sz="0" w:space="0" w:color="auto"/>
        <w:left w:val="none" w:sz="0" w:space="0" w:color="auto"/>
        <w:bottom w:val="none" w:sz="0" w:space="0" w:color="auto"/>
        <w:right w:val="none" w:sz="0" w:space="0" w:color="auto"/>
      </w:divBdr>
    </w:div>
    <w:div w:id="1902135697">
      <w:bodyDiv w:val="1"/>
      <w:marLeft w:val="0"/>
      <w:marRight w:val="0"/>
      <w:marTop w:val="0"/>
      <w:marBottom w:val="0"/>
      <w:divBdr>
        <w:top w:val="none" w:sz="0" w:space="0" w:color="auto"/>
        <w:left w:val="none" w:sz="0" w:space="0" w:color="auto"/>
        <w:bottom w:val="none" w:sz="0" w:space="0" w:color="auto"/>
        <w:right w:val="none" w:sz="0" w:space="0" w:color="auto"/>
      </w:divBdr>
    </w:div>
    <w:div w:id="1905752955">
      <w:bodyDiv w:val="1"/>
      <w:marLeft w:val="0"/>
      <w:marRight w:val="0"/>
      <w:marTop w:val="0"/>
      <w:marBottom w:val="0"/>
      <w:divBdr>
        <w:top w:val="none" w:sz="0" w:space="0" w:color="auto"/>
        <w:left w:val="none" w:sz="0" w:space="0" w:color="auto"/>
        <w:bottom w:val="none" w:sz="0" w:space="0" w:color="auto"/>
        <w:right w:val="none" w:sz="0" w:space="0" w:color="auto"/>
      </w:divBdr>
    </w:div>
    <w:div w:id="1923485510">
      <w:bodyDiv w:val="1"/>
      <w:marLeft w:val="0"/>
      <w:marRight w:val="0"/>
      <w:marTop w:val="0"/>
      <w:marBottom w:val="0"/>
      <w:divBdr>
        <w:top w:val="none" w:sz="0" w:space="0" w:color="auto"/>
        <w:left w:val="none" w:sz="0" w:space="0" w:color="auto"/>
        <w:bottom w:val="none" w:sz="0" w:space="0" w:color="auto"/>
        <w:right w:val="none" w:sz="0" w:space="0" w:color="auto"/>
      </w:divBdr>
    </w:div>
    <w:div w:id="1924340009">
      <w:bodyDiv w:val="1"/>
      <w:marLeft w:val="0"/>
      <w:marRight w:val="0"/>
      <w:marTop w:val="0"/>
      <w:marBottom w:val="0"/>
      <w:divBdr>
        <w:top w:val="none" w:sz="0" w:space="0" w:color="auto"/>
        <w:left w:val="none" w:sz="0" w:space="0" w:color="auto"/>
        <w:bottom w:val="none" w:sz="0" w:space="0" w:color="auto"/>
        <w:right w:val="none" w:sz="0" w:space="0" w:color="auto"/>
      </w:divBdr>
    </w:div>
    <w:div w:id="1932084149">
      <w:bodyDiv w:val="1"/>
      <w:marLeft w:val="0"/>
      <w:marRight w:val="0"/>
      <w:marTop w:val="0"/>
      <w:marBottom w:val="0"/>
      <w:divBdr>
        <w:top w:val="none" w:sz="0" w:space="0" w:color="auto"/>
        <w:left w:val="none" w:sz="0" w:space="0" w:color="auto"/>
        <w:bottom w:val="none" w:sz="0" w:space="0" w:color="auto"/>
        <w:right w:val="none" w:sz="0" w:space="0" w:color="auto"/>
      </w:divBdr>
    </w:div>
    <w:div w:id="1933080553">
      <w:bodyDiv w:val="1"/>
      <w:marLeft w:val="0"/>
      <w:marRight w:val="0"/>
      <w:marTop w:val="0"/>
      <w:marBottom w:val="0"/>
      <w:divBdr>
        <w:top w:val="none" w:sz="0" w:space="0" w:color="auto"/>
        <w:left w:val="none" w:sz="0" w:space="0" w:color="auto"/>
        <w:bottom w:val="none" w:sz="0" w:space="0" w:color="auto"/>
        <w:right w:val="none" w:sz="0" w:space="0" w:color="auto"/>
      </w:divBdr>
    </w:div>
    <w:div w:id="1937320570">
      <w:bodyDiv w:val="1"/>
      <w:marLeft w:val="0"/>
      <w:marRight w:val="0"/>
      <w:marTop w:val="0"/>
      <w:marBottom w:val="0"/>
      <w:divBdr>
        <w:top w:val="none" w:sz="0" w:space="0" w:color="auto"/>
        <w:left w:val="none" w:sz="0" w:space="0" w:color="auto"/>
        <w:bottom w:val="none" w:sz="0" w:space="0" w:color="auto"/>
        <w:right w:val="none" w:sz="0" w:space="0" w:color="auto"/>
      </w:divBdr>
    </w:div>
    <w:div w:id="1938050577">
      <w:bodyDiv w:val="1"/>
      <w:marLeft w:val="0"/>
      <w:marRight w:val="0"/>
      <w:marTop w:val="0"/>
      <w:marBottom w:val="0"/>
      <w:divBdr>
        <w:top w:val="none" w:sz="0" w:space="0" w:color="auto"/>
        <w:left w:val="none" w:sz="0" w:space="0" w:color="auto"/>
        <w:bottom w:val="none" w:sz="0" w:space="0" w:color="auto"/>
        <w:right w:val="none" w:sz="0" w:space="0" w:color="auto"/>
      </w:divBdr>
    </w:div>
    <w:div w:id="1938323807">
      <w:bodyDiv w:val="1"/>
      <w:marLeft w:val="0"/>
      <w:marRight w:val="0"/>
      <w:marTop w:val="0"/>
      <w:marBottom w:val="0"/>
      <w:divBdr>
        <w:top w:val="none" w:sz="0" w:space="0" w:color="auto"/>
        <w:left w:val="none" w:sz="0" w:space="0" w:color="auto"/>
        <w:bottom w:val="none" w:sz="0" w:space="0" w:color="auto"/>
        <w:right w:val="none" w:sz="0" w:space="0" w:color="auto"/>
      </w:divBdr>
    </w:div>
    <w:div w:id="1946158208">
      <w:bodyDiv w:val="1"/>
      <w:marLeft w:val="0"/>
      <w:marRight w:val="0"/>
      <w:marTop w:val="0"/>
      <w:marBottom w:val="0"/>
      <w:divBdr>
        <w:top w:val="none" w:sz="0" w:space="0" w:color="auto"/>
        <w:left w:val="none" w:sz="0" w:space="0" w:color="auto"/>
        <w:bottom w:val="none" w:sz="0" w:space="0" w:color="auto"/>
        <w:right w:val="none" w:sz="0" w:space="0" w:color="auto"/>
      </w:divBdr>
    </w:div>
    <w:div w:id="1946420600">
      <w:bodyDiv w:val="1"/>
      <w:marLeft w:val="0"/>
      <w:marRight w:val="0"/>
      <w:marTop w:val="0"/>
      <w:marBottom w:val="0"/>
      <w:divBdr>
        <w:top w:val="none" w:sz="0" w:space="0" w:color="auto"/>
        <w:left w:val="none" w:sz="0" w:space="0" w:color="auto"/>
        <w:bottom w:val="none" w:sz="0" w:space="0" w:color="auto"/>
        <w:right w:val="none" w:sz="0" w:space="0" w:color="auto"/>
      </w:divBdr>
    </w:div>
    <w:div w:id="1955481074">
      <w:bodyDiv w:val="1"/>
      <w:marLeft w:val="0"/>
      <w:marRight w:val="0"/>
      <w:marTop w:val="0"/>
      <w:marBottom w:val="0"/>
      <w:divBdr>
        <w:top w:val="none" w:sz="0" w:space="0" w:color="auto"/>
        <w:left w:val="none" w:sz="0" w:space="0" w:color="auto"/>
        <w:bottom w:val="none" w:sz="0" w:space="0" w:color="auto"/>
        <w:right w:val="none" w:sz="0" w:space="0" w:color="auto"/>
      </w:divBdr>
    </w:div>
    <w:div w:id="1966156860">
      <w:bodyDiv w:val="1"/>
      <w:marLeft w:val="0"/>
      <w:marRight w:val="0"/>
      <w:marTop w:val="0"/>
      <w:marBottom w:val="0"/>
      <w:divBdr>
        <w:top w:val="none" w:sz="0" w:space="0" w:color="auto"/>
        <w:left w:val="none" w:sz="0" w:space="0" w:color="auto"/>
        <w:bottom w:val="none" w:sz="0" w:space="0" w:color="auto"/>
        <w:right w:val="none" w:sz="0" w:space="0" w:color="auto"/>
      </w:divBdr>
    </w:div>
    <w:div w:id="1967589049">
      <w:bodyDiv w:val="1"/>
      <w:marLeft w:val="0"/>
      <w:marRight w:val="0"/>
      <w:marTop w:val="0"/>
      <w:marBottom w:val="0"/>
      <w:divBdr>
        <w:top w:val="none" w:sz="0" w:space="0" w:color="auto"/>
        <w:left w:val="none" w:sz="0" w:space="0" w:color="auto"/>
        <w:bottom w:val="none" w:sz="0" w:space="0" w:color="auto"/>
        <w:right w:val="none" w:sz="0" w:space="0" w:color="auto"/>
      </w:divBdr>
    </w:div>
    <w:div w:id="1969120887">
      <w:bodyDiv w:val="1"/>
      <w:marLeft w:val="0"/>
      <w:marRight w:val="0"/>
      <w:marTop w:val="0"/>
      <w:marBottom w:val="0"/>
      <w:divBdr>
        <w:top w:val="none" w:sz="0" w:space="0" w:color="auto"/>
        <w:left w:val="none" w:sz="0" w:space="0" w:color="auto"/>
        <w:bottom w:val="none" w:sz="0" w:space="0" w:color="auto"/>
        <w:right w:val="none" w:sz="0" w:space="0" w:color="auto"/>
      </w:divBdr>
    </w:div>
    <w:div w:id="1971549486">
      <w:bodyDiv w:val="1"/>
      <w:marLeft w:val="0"/>
      <w:marRight w:val="0"/>
      <w:marTop w:val="0"/>
      <w:marBottom w:val="0"/>
      <w:divBdr>
        <w:top w:val="none" w:sz="0" w:space="0" w:color="auto"/>
        <w:left w:val="none" w:sz="0" w:space="0" w:color="auto"/>
        <w:bottom w:val="none" w:sz="0" w:space="0" w:color="auto"/>
        <w:right w:val="none" w:sz="0" w:space="0" w:color="auto"/>
      </w:divBdr>
    </w:div>
    <w:div w:id="1973947427">
      <w:bodyDiv w:val="1"/>
      <w:marLeft w:val="0"/>
      <w:marRight w:val="0"/>
      <w:marTop w:val="0"/>
      <w:marBottom w:val="0"/>
      <w:divBdr>
        <w:top w:val="none" w:sz="0" w:space="0" w:color="auto"/>
        <w:left w:val="none" w:sz="0" w:space="0" w:color="auto"/>
        <w:bottom w:val="none" w:sz="0" w:space="0" w:color="auto"/>
        <w:right w:val="none" w:sz="0" w:space="0" w:color="auto"/>
      </w:divBdr>
    </w:div>
    <w:div w:id="1976250949">
      <w:bodyDiv w:val="1"/>
      <w:marLeft w:val="0"/>
      <w:marRight w:val="0"/>
      <w:marTop w:val="0"/>
      <w:marBottom w:val="0"/>
      <w:divBdr>
        <w:top w:val="none" w:sz="0" w:space="0" w:color="auto"/>
        <w:left w:val="none" w:sz="0" w:space="0" w:color="auto"/>
        <w:bottom w:val="none" w:sz="0" w:space="0" w:color="auto"/>
        <w:right w:val="none" w:sz="0" w:space="0" w:color="auto"/>
      </w:divBdr>
    </w:div>
    <w:div w:id="1982147542">
      <w:bodyDiv w:val="1"/>
      <w:marLeft w:val="0"/>
      <w:marRight w:val="0"/>
      <w:marTop w:val="0"/>
      <w:marBottom w:val="0"/>
      <w:divBdr>
        <w:top w:val="none" w:sz="0" w:space="0" w:color="auto"/>
        <w:left w:val="none" w:sz="0" w:space="0" w:color="auto"/>
        <w:bottom w:val="none" w:sz="0" w:space="0" w:color="auto"/>
        <w:right w:val="none" w:sz="0" w:space="0" w:color="auto"/>
      </w:divBdr>
      <w:divsChild>
        <w:div w:id="768038963">
          <w:marLeft w:val="0"/>
          <w:marRight w:val="0"/>
          <w:marTop w:val="0"/>
          <w:marBottom w:val="0"/>
          <w:divBdr>
            <w:top w:val="none" w:sz="0" w:space="0" w:color="auto"/>
            <w:left w:val="none" w:sz="0" w:space="0" w:color="auto"/>
            <w:bottom w:val="none" w:sz="0" w:space="0" w:color="auto"/>
            <w:right w:val="none" w:sz="0" w:space="0" w:color="auto"/>
          </w:divBdr>
        </w:div>
        <w:div w:id="1271935692">
          <w:marLeft w:val="0"/>
          <w:marRight w:val="0"/>
          <w:marTop w:val="0"/>
          <w:marBottom w:val="0"/>
          <w:divBdr>
            <w:top w:val="none" w:sz="0" w:space="0" w:color="auto"/>
            <w:left w:val="none" w:sz="0" w:space="0" w:color="auto"/>
            <w:bottom w:val="none" w:sz="0" w:space="0" w:color="auto"/>
            <w:right w:val="none" w:sz="0" w:space="0" w:color="auto"/>
          </w:divBdr>
        </w:div>
        <w:div w:id="1172253765">
          <w:marLeft w:val="0"/>
          <w:marRight w:val="0"/>
          <w:marTop w:val="0"/>
          <w:marBottom w:val="0"/>
          <w:divBdr>
            <w:top w:val="none" w:sz="0" w:space="0" w:color="auto"/>
            <w:left w:val="none" w:sz="0" w:space="0" w:color="auto"/>
            <w:bottom w:val="none" w:sz="0" w:space="0" w:color="auto"/>
            <w:right w:val="none" w:sz="0" w:space="0" w:color="auto"/>
          </w:divBdr>
        </w:div>
        <w:div w:id="2033410575">
          <w:marLeft w:val="0"/>
          <w:marRight w:val="0"/>
          <w:marTop w:val="0"/>
          <w:marBottom w:val="0"/>
          <w:divBdr>
            <w:top w:val="none" w:sz="0" w:space="0" w:color="auto"/>
            <w:left w:val="none" w:sz="0" w:space="0" w:color="auto"/>
            <w:bottom w:val="none" w:sz="0" w:space="0" w:color="auto"/>
            <w:right w:val="none" w:sz="0" w:space="0" w:color="auto"/>
          </w:divBdr>
        </w:div>
      </w:divsChild>
    </w:div>
    <w:div w:id="1986663641">
      <w:bodyDiv w:val="1"/>
      <w:marLeft w:val="0"/>
      <w:marRight w:val="0"/>
      <w:marTop w:val="0"/>
      <w:marBottom w:val="0"/>
      <w:divBdr>
        <w:top w:val="none" w:sz="0" w:space="0" w:color="auto"/>
        <w:left w:val="none" w:sz="0" w:space="0" w:color="auto"/>
        <w:bottom w:val="none" w:sz="0" w:space="0" w:color="auto"/>
        <w:right w:val="none" w:sz="0" w:space="0" w:color="auto"/>
      </w:divBdr>
    </w:div>
    <w:div w:id="1988053691">
      <w:bodyDiv w:val="1"/>
      <w:marLeft w:val="0"/>
      <w:marRight w:val="0"/>
      <w:marTop w:val="0"/>
      <w:marBottom w:val="0"/>
      <w:divBdr>
        <w:top w:val="none" w:sz="0" w:space="0" w:color="auto"/>
        <w:left w:val="none" w:sz="0" w:space="0" w:color="auto"/>
        <w:bottom w:val="none" w:sz="0" w:space="0" w:color="auto"/>
        <w:right w:val="none" w:sz="0" w:space="0" w:color="auto"/>
      </w:divBdr>
    </w:div>
    <w:div w:id="1988430974">
      <w:bodyDiv w:val="1"/>
      <w:marLeft w:val="0"/>
      <w:marRight w:val="0"/>
      <w:marTop w:val="0"/>
      <w:marBottom w:val="0"/>
      <w:divBdr>
        <w:top w:val="none" w:sz="0" w:space="0" w:color="auto"/>
        <w:left w:val="none" w:sz="0" w:space="0" w:color="auto"/>
        <w:bottom w:val="none" w:sz="0" w:space="0" w:color="auto"/>
        <w:right w:val="none" w:sz="0" w:space="0" w:color="auto"/>
      </w:divBdr>
    </w:div>
    <w:div w:id="1990403755">
      <w:bodyDiv w:val="1"/>
      <w:marLeft w:val="0"/>
      <w:marRight w:val="0"/>
      <w:marTop w:val="0"/>
      <w:marBottom w:val="0"/>
      <w:divBdr>
        <w:top w:val="none" w:sz="0" w:space="0" w:color="auto"/>
        <w:left w:val="none" w:sz="0" w:space="0" w:color="auto"/>
        <w:bottom w:val="none" w:sz="0" w:space="0" w:color="auto"/>
        <w:right w:val="none" w:sz="0" w:space="0" w:color="auto"/>
      </w:divBdr>
    </w:div>
    <w:div w:id="1990749273">
      <w:bodyDiv w:val="1"/>
      <w:marLeft w:val="0"/>
      <w:marRight w:val="0"/>
      <w:marTop w:val="0"/>
      <w:marBottom w:val="0"/>
      <w:divBdr>
        <w:top w:val="none" w:sz="0" w:space="0" w:color="auto"/>
        <w:left w:val="none" w:sz="0" w:space="0" w:color="auto"/>
        <w:bottom w:val="none" w:sz="0" w:space="0" w:color="auto"/>
        <w:right w:val="none" w:sz="0" w:space="0" w:color="auto"/>
      </w:divBdr>
    </w:div>
    <w:div w:id="2009013533">
      <w:bodyDiv w:val="1"/>
      <w:marLeft w:val="0"/>
      <w:marRight w:val="0"/>
      <w:marTop w:val="0"/>
      <w:marBottom w:val="0"/>
      <w:divBdr>
        <w:top w:val="none" w:sz="0" w:space="0" w:color="auto"/>
        <w:left w:val="none" w:sz="0" w:space="0" w:color="auto"/>
        <w:bottom w:val="none" w:sz="0" w:space="0" w:color="auto"/>
        <w:right w:val="none" w:sz="0" w:space="0" w:color="auto"/>
      </w:divBdr>
    </w:div>
    <w:div w:id="2017338988">
      <w:bodyDiv w:val="1"/>
      <w:marLeft w:val="0"/>
      <w:marRight w:val="0"/>
      <w:marTop w:val="0"/>
      <w:marBottom w:val="0"/>
      <w:divBdr>
        <w:top w:val="none" w:sz="0" w:space="0" w:color="auto"/>
        <w:left w:val="none" w:sz="0" w:space="0" w:color="auto"/>
        <w:bottom w:val="none" w:sz="0" w:space="0" w:color="auto"/>
        <w:right w:val="none" w:sz="0" w:space="0" w:color="auto"/>
      </w:divBdr>
    </w:div>
    <w:div w:id="2020352157">
      <w:bodyDiv w:val="1"/>
      <w:marLeft w:val="0"/>
      <w:marRight w:val="0"/>
      <w:marTop w:val="0"/>
      <w:marBottom w:val="0"/>
      <w:divBdr>
        <w:top w:val="none" w:sz="0" w:space="0" w:color="auto"/>
        <w:left w:val="none" w:sz="0" w:space="0" w:color="auto"/>
        <w:bottom w:val="none" w:sz="0" w:space="0" w:color="auto"/>
        <w:right w:val="none" w:sz="0" w:space="0" w:color="auto"/>
      </w:divBdr>
    </w:div>
    <w:div w:id="2022312729">
      <w:bodyDiv w:val="1"/>
      <w:marLeft w:val="0"/>
      <w:marRight w:val="0"/>
      <w:marTop w:val="0"/>
      <w:marBottom w:val="0"/>
      <w:divBdr>
        <w:top w:val="none" w:sz="0" w:space="0" w:color="auto"/>
        <w:left w:val="none" w:sz="0" w:space="0" w:color="auto"/>
        <w:bottom w:val="none" w:sz="0" w:space="0" w:color="auto"/>
        <w:right w:val="none" w:sz="0" w:space="0" w:color="auto"/>
      </w:divBdr>
    </w:div>
    <w:div w:id="2025092812">
      <w:bodyDiv w:val="1"/>
      <w:marLeft w:val="0"/>
      <w:marRight w:val="0"/>
      <w:marTop w:val="0"/>
      <w:marBottom w:val="0"/>
      <w:divBdr>
        <w:top w:val="none" w:sz="0" w:space="0" w:color="auto"/>
        <w:left w:val="none" w:sz="0" w:space="0" w:color="auto"/>
        <w:bottom w:val="none" w:sz="0" w:space="0" w:color="auto"/>
        <w:right w:val="none" w:sz="0" w:space="0" w:color="auto"/>
      </w:divBdr>
    </w:div>
    <w:div w:id="2027321194">
      <w:bodyDiv w:val="1"/>
      <w:marLeft w:val="0"/>
      <w:marRight w:val="0"/>
      <w:marTop w:val="0"/>
      <w:marBottom w:val="0"/>
      <w:divBdr>
        <w:top w:val="none" w:sz="0" w:space="0" w:color="auto"/>
        <w:left w:val="none" w:sz="0" w:space="0" w:color="auto"/>
        <w:bottom w:val="none" w:sz="0" w:space="0" w:color="auto"/>
        <w:right w:val="none" w:sz="0" w:space="0" w:color="auto"/>
      </w:divBdr>
    </w:div>
    <w:div w:id="2032295936">
      <w:bodyDiv w:val="1"/>
      <w:marLeft w:val="0"/>
      <w:marRight w:val="0"/>
      <w:marTop w:val="0"/>
      <w:marBottom w:val="0"/>
      <w:divBdr>
        <w:top w:val="none" w:sz="0" w:space="0" w:color="auto"/>
        <w:left w:val="none" w:sz="0" w:space="0" w:color="auto"/>
        <w:bottom w:val="none" w:sz="0" w:space="0" w:color="auto"/>
        <w:right w:val="none" w:sz="0" w:space="0" w:color="auto"/>
      </w:divBdr>
    </w:div>
    <w:div w:id="2034650410">
      <w:bodyDiv w:val="1"/>
      <w:marLeft w:val="0"/>
      <w:marRight w:val="0"/>
      <w:marTop w:val="0"/>
      <w:marBottom w:val="0"/>
      <w:divBdr>
        <w:top w:val="none" w:sz="0" w:space="0" w:color="auto"/>
        <w:left w:val="none" w:sz="0" w:space="0" w:color="auto"/>
        <w:bottom w:val="none" w:sz="0" w:space="0" w:color="auto"/>
        <w:right w:val="none" w:sz="0" w:space="0" w:color="auto"/>
      </w:divBdr>
    </w:div>
    <w:div w:id="2037995601">
      <w:bodyDiv w:val="1"/>
      <w:marLeft w:val="0"/>
      <w:marRight w:val="0"/>
      <w:marTop w:val="0"/>
      <w:marBottom w:val="0"/>
      <w:divBdr>
        <w:top w:val="none" w:sz="0" w:space="0" w:color="auto"/>
        <w:left w:val="none" w:sz="0" w:space="0" w:color="auto"/>
        <w:bottom w:val="none" w:sz="0" w:space="0" w:color="auto"/>
        <w:right w:val="none" w:sz="0" w:space="0" w:color="auto"/>
      </w:divBdr>
    </w:div>
    <w:div w:id="2046829374">
      <w:bodyDiv w:val="1"/>
      <w:marLeft w:val="0"/>
      <w:marRight w:val="0"/>
      <w:marTop w:val="0"/>
      <w:marBottom w:val="0"/>
      <w:divBdr>
        <w:top w:val="none" w:sz="0" w:space="0" w:color="auto"/>
        <w:left w:val="none" w:sz="0" w:space="0" w:color="auto"/>
        <w:bottom w:val="none" w:sz="0" w:space="0" w:color="auto"/>
        <w:right w:val="none" w:sz="0" w:space="0" w:color="auto"/>
      </w:divBdr>
    </w:div>
    <w:div w:id="2055036530">
      <w:bodyDiv w:val="1"/>
      <w:marLeft w:val="0"/>
      <w:marRight w:val="0"/>
      <w:marTop w:val="0"/>
      <w:marBottom w:val="0"/>
      <w:divBdr>
        <w:top w:val="none" w:sz="0" w:space="0" w:color="auto"/>
        <w:left w:val="none" w:sz="0" w:space="0" w:color="auto"/>
        <w:bottom w:val="none" w:sz="0" w:space="0" w:color="auto"/>
        <w:right w:val="none" w:sz="0" w:space="0" w:color="auto"/>
      </w:divBdr>
    </w:div>
    <w:div w:id="2058115161">
      <w:bodyDiv w:val="1"/>
      <w:marLeft w:val="0"/>
      <w:marRight w:val="0"/>
      <w:marTop w:val="0"/>
      <w:marBottom w:val="0"/>
      <w:divBdr>
        <w:top w:val="none" w:sz="0" w:space="0" w:color="auto"/>
        <w:left w:val="none" w:sz="0" w:space="0" w:color="auto"/>
        <w:bottom w:val="none" w:sz="0" w:space="0" w:color="auto"/>
        <w:right w:val="none" w:sz="0" w:space="0" w:color="auto"/>
      </w:divBdr>
    </w:div>
    <w:div w:id="2070179710">
      <w:bodyDiv w:val="1"/>
      <w:marLeft w:val="0"/>
      <w:marRight w:val="0"/>
      <w:marTop w:val="0"/>
      <w:marBottom w:val="0"/>
      <w:divBdr>
        <w:top w:val="none" w:sz="0" w:space="0" w:color="auto"/>
        <w:left w:val="none" w:sz="0" w:space="0" w:color="auto"/>
        <w:bottom w:val="none" w:sz="0" w:space="0" w:color="auto"/>
        <w:right w:val="none" w:sz="0" w:space="0" w:color="auto"/>
      </w:divBdr>
    </w:div>
    <w:div w:id="2071879118">
      <w:bodyDiv w:val="1"/>
      <w:marLeft w:val="0"/>
      <w:marRight w:val="0"/>
      <w:marTop w:val="0"/>
      <w:marBottom w:val="0"/>
      <w:divBdr>
        <w:top w:val="none" w:sz="0" w:space="0" w:color="auto"/>
        <w:left w:val="none" w:sz="0" w:space="0" w:color="auto"/>
        <w:bottom w:val="none" w:sz="0" w:space="0" w:color="auto"/>
        <w:right w:val="none" w:sz="0" w:space="0" w:color="auto"/>
      </w:divBdr>
    </w:div>
    <w:div w:id="2071880944">
      <w:bodyDiv w:val="1"/>
      <w:marLeft w:val="0"/>
      <w:marRight w:val="0"/>
      <w:marTop w:val="0"/>
      <w:marBottom w:val="0"/>
      <w:divBdr>
        <w:top w:val="none" w:sz="0" w:space="0" w:color="auto"/>
        <w:left w:val="none" w:sz="0" w:space="0" w:color="auto"/>
        <w:bottom w:val="none" w:sz="0" w:space="0" w:color="auto"/>
        <w:right w:val="none" w:sz="0" w:space="0" w:color="auto"/>
      </w:divBdr>
    </w:div>
    <w:div w:id="2078168408">
      <w:bodyDiv w:val="1"/>
      <w:marLeft w:val="0"/>
      <w:marRight w:val="0"/>
      <w:marTop w:val="0"/>
      <w:marBottom w:val="0"/>
      <w:divBdr>
        <w:top w:val="none" w:sz="0" w:space="0" w:color="auto"/>
        <w:left w:val="none" w:sz="0" w:space="0" w:color="auto"/>
        <w:bottom w:val="none" w:sz="0" w:space="0" w:color="auto"/>
        <w:right w:val="none" w:sz="0" w:space="0" w:color="auto"/>
      </w:divBdr>
    </w:div>
    <w:div w:id="2078700438">
      <w:bodyDiv w:val="1"/>
      <w:marLeft w:val="0"/>
      <w:marRight w:val="0"/>
      <w:marTop w:val="0"/>
      <w:marBottom w:val="0"/>
      <w:divBdr>
        <w:top w:val="none" w:sz="0" w:space="0" w:color="auto"/>
        <w:left w:val="none" w:sz="0" w:space="0" w:color="auto"/>
        <w:bottom w:val="none" w:sz="0" w:space="0" w:color="auto"/>
        <w:right w:val="none" w:sz="0" w:space="0" w:color="auto"/>
      </w:divBdr>
    </w:div>
    <w:div w:id="2086339548">
      <w:bodyDiv w:val="1"/>
      <w:marLeft w:val="0"/>
      <w:marRight w:val="0"/>
      <w:marTop w:val="0"/>
      <w:marBottom w:val="0"/>
      <w:divBdr>
        <w:top w:val="none" w:sz="0" w:space="0" w:color="auto"/>
        <w:left w:val="none" w:sz="0" w:space="0" w:color="auto"/>
        <w:bottom w:val="none" w:sz="0" w:space="0" w:color="auto"/>
        <w:right w:val="none" w:sz="0" w:space="0" w:color="auto"/>
      </w:divBdr>
    </w:div>
    <w:div w:id="2091728719">
      <w:bodyDiv w:val="1"/>
      <w:marLeft w:val="0"/>
      <w:marRight w:val="0"/>
      <w:marTop w:val="0"/>
      <w:marBottom w:val="0"/>
      <w:divBdr>
        <w:top w:val="none" w:sz="0" w:space="0" w:color="auto"/>
        <w:left w:val="none" w:sz="0" w:space="0" w:color="auto"/>
        <w:bottom w:val="none" w:sz="0" w:space="0" w:color="auto"/>
        <w:right w:val="none" w:sz="0" w:space="0" w:color="auto"/>
      </w:divBdr>
    </w:div>
    <w:div w:id="2093768830">
      <w:bodyDiv w:val="1"/>
      <w:marLeft w:val="0"/>
      <w:marRight w:val="0"/>
      <w:marTop w:val="0"/>
      <w:marBottom w:val="0"/>
      <w:divBdr>
        <w:top w:val="none" w:sz="0" w:space="0" w:color="auto"/>
        <w:left w:val="none" w:sz="0" w:space="0" w:color="auto"/>
        <w:bottom w:val="none" w:sz="0" w:space="0" w:color="auto"/>
        <w:right w:val="none" w:sz="0" w:space="0" w:color="auto"/>
      </w:divBdr>
    </w:div>
    <w:div w:id="2098817813">
      <w:bodyDiv w:val="1"/>
      <w:marLeft w:val="0"/>
      <w:marRight w:val="0"/>
      <w:marTop w:val="0"/>
      <w:marBottom w:val="0"/>
      <w:divBdr>
        <w:top w:val="none" w:sz="0" w:space="0" w:color="auto"/>
        <w:left w:val="none" w:sz="0" w:space="0" w:color="auto"/>
        <w:bottom w:val="none" w:sz="0" w:space="0" w:color="auto"/>
        <w:right w:val="none" w:sz="0" w:space="0" w:color="auto"/>
      </w:divBdr>
    </w:div>
    <w:div w:id="2102800062">
      <w:bodyDiv w:val="1"/>
      <w:marLeft w:val="0"/>
      <w:marRight w:val="0"/>
      <w:marTop w:val="0"/>
      <w:marBottom w:val="0"/>
      <w:divBdr>
        <w:top w:val="none" w:sz="0" w:space="0" w:color="auto"/>
        <w:left w:val="none" w:sz="0" w:space="0" w:color="auto"/>
        <w:bottom w:val="none" w:sz="0" w:space="0" w:color="auto"/>
        <w:right w:val="none" w:sz="0" w:space="0" w:color="auto"/>
      </w:divBdr>
    </w:div>
    <w:div w:id="2106341626">
      <w:bodyDiv w:val="1"/>
      <w:marLeft w:val="0"/>
      <w:marRight w:val="0"/>
      <w:marTop w:val="0"/>
      <w:marBottom w:val="0"/>
      <w:divBdr>
        <w:top w:val="none" w:sz="0" w:space="0" w:color="auto"/>
        <w:left w:val="none" w:sz="0" w:space="0" w:color="auto"/>
        <w:bottom w:val="none" w:sz="0" w:space="0" w:color="auto"/>
        <w:right w:val="none" w:sz="0" w:space="0" w:color="auto"/>
      </w:divBdr>
    </w:div>
    <w:div w:id="2111317778">
      <w:bodyDiv w:val="1"/>
      <w:marLeft w:val="0"/>
      <w:marRight w:val="0"/>
      <w:marTop w:val="0"/>
      <w:marBottom w:val="0"/>
      <w:divBdr>
        <w:top w:val="none" w:sz="0" w:space="0" w:color="auto"/>
        <w:left w:val="none" w:sz="0" w:space="0" w:color="auto"/>
        <w:bottom w:val="none" w:sz="0" w:space="0" w:color="auto"/>
        <w:right w:val="none" w:sz="0" w:space="0" w:color="auto"/>
      </w:divBdr>
    </w:div>
    <w:div w:id="2114015287">
      <w:bodyDiv w:val="1"/>
      <w:marLeft w:val="0"/>
      <w:marRight w:val="0"/>
      <w:marTop w:val="0"/>
      <w:marBottom w:val="0"/>
      <w:divBdr>
        <w:top w:val="none" w:sz="0" w:space="0" w:color="auto"/>
        <w:left w:val="none" w:sz="0" w:space="0" w:color="auto"/>
        <w:bottom w:val="none" w:sz="0" w:space="0" w:color="auto"/>
        <w:right w:val="none" w:sz="0" w:space="0" w:color="auto"/>
      </w:divBdr>
    </w:div>
    <w:div w:id="2116632299">
      <w:bodyDiv w:val="1"/>
      <w:marLeft w:val="0"/>
      <w:marRight w:val="0"/>
      <w:marTop w:val="0"/>
      <w:marBottom w:val="0"/>
      <w:divBdr>
        <w:top w:val="none" w:sz="0" w:space="0" w:color="auto"/>
        <w:left w:val="none" w:sz="0" w:space="0" w:color="auto"/>
        <w:bottom w:val="none" w:sz="0" w:space="0" w:color="auto"/>
        <w:right w:val="none" w:sz="0" w:space="0" w:color="auto"/>
      </w:divBdr>
    </w:div>
    <w:div w:id="2117559956">
      <w:bodyDiv w:val="1"/>
      <w:marLeft w:val="0"/>
      <w:marRight w:val="0"/>
      <w:marTop w:val="0"/>
      <w:marBottom w:val="0"/>
      <w:divBdr>
        <w:top w:val="none" w:sz="0" w:space="0" w:color="auto"/>
        <w:left w:val="none" w:sz="0" w:space="0" w:color="auto"/>
        <w:bottom w:val="none" w:sz="0" w:space="0" w:color="auto"/>
        <w:right w:val="none" w:sz="0" w:space="0" w:color="auto"/>
      </w:divBdr>
    </w:div>
    <w:div w:id="2121409247">
      <w:bodyDiv w:val="1"/>
      <w:marLeft w:val="0"/>
      <w:marRight w:val="0"/>
      <w:marTop w:val="0"/>
      <w:marBottom w:val="0"/>
      <w:divBdr>
        <w:top w:val="none" w:sz="0" w:space="0" w:color="auto"/>
        <w:left w:val="none" w:sz="0" w:space="0" w:color="auto"/>
        <w:bottom w:val="none" w:sz="0" w:space="0" w:color="auto"/>
        <w:right w:val="none" w:sz="0" w:space="0" w:color="auto"/>
      </w:divBdr>
    </w:div>
    <w:div w:id="2142071346">
      <w:bodyDiv w:val="1"/>
      <w:marLeft w:val="0"/>
      <w:marRight w:val="0"/>
      <w:marTop w:val="0"/>
      <w:marBottom w:val="0"/>
      <w:divBdr>
        <w:top w:val="none" w:sz="0" w:space="0" w:color="auto"/>
        <w:left w:val="none" w:sz="0" w:space="0" w:color="auto"/>
        <w:bottom w:val="none" w:sz="0" w:space="0" w:color="auto"/>
        <w:right w:val="none" w:sz="0" w:space="0" w:color="auto"/>
      </w:divBdr>
    </w:div>
    <w:div w:id="21451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888DF-9253-4492-A921-705527DB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28491</Words>
  <Characters>153855</Characters>
  <Application>Microsoft Office Word</Application>
  <DocSecurity>0</DocSecurity>
  <Lines>1282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dc:creator>
  <cp:keywords/>
  <dc:description/>
  <cp:lastModifiedBy>Ioanna Christodoulou</cp:lastModifiedBy>
  <cp:revision>3</cp:revision>
  <cp:lastPrinted>2021-11-24T13:44:00Z</cp:lastPrinted>
  <dcterms:created xsi:type="dcterms:W3CDTF">2021-12-06T08:29:00Z</dcterms:created>
  <dcterms:modified xsi:type="dcterms:W3CDTF">2021-12-07T09:41:00Z</dcterms:modified>
</cp:coreProperties>
</file>