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EF" w:rsidRPr="00CE6659" w:rsidRDefault="00EA139A" w:rsidP="008E12F2">
      <w:pPr>
        <w:jc w:val="center"/>
        <w:rPr>
          <w:rFonts w:ascii="Arial" w:hAnsi="Arial" w:cs="Arial"/>
          <w:b/>
          <w:sz w:val="24"/>
          <w:u w:val="single"/>
        </w:rPr>
      </w:pPr>
      <w:r w:rsidRPr="00CE6659">
        <w:rPr>
          <w:rFonts w:ascii="Arial" w:hAnsi="Arial" w:cs="Arial"/>
          <w:b/>
          <w:sz w:val="24"/>
          <w:u w:val="single"/>
        </w:rPr>
        <w:t>ΟΡΓΑΝΙΣΜΟΣ ΧΡΗΜΑΤΟΔΟΤΗΣΕΩΣ ΣΤΕΓΗΣ</w:t>
      </w:r>
    </w:p>
    <w:p w:rsidR="005163D6" w:rsidRPr="00CE6659" w:rsidRDefault="00005F88" w:rsidP="00A941A7">
      <w:pPr>
        <w:jc w:val="center"/>
        <w:rPr>
          <w:rFonts w:ascii="Arial" w:hAnsi="Arial" w:cs="Arial"/>
          <w:b/>
          <w:sz w:val="24"/>
          <w:szCs w:val="24"/>
          <w:u w:val="single"/>
        </w:rPr>
      </w:pPr>
      <w:r>
        <w:rPr>
          <w:rFonts w:ascii="Arial" w:hAnsi="Arial" w:cs="Arial"/>
          <w:b/>
          <w:sz w:val="24"/>
          <w:u w:val="single"/>
        </w:rPr>
        <w:t>ΠΡΟΥΠΟΛΟΓΙΣΜΟΣ ΓΙΑ ΤΟ ΕΤΟΣ 202</w:t>
      </w:r>
      <w:r w:rsidR="00FF53EE" w:rsidRPr="00880E70">
        <w:rPr>
          <w:rFonts w:ascii="Arial" w:hAnsi="Arial" w:cs="Arial"/>
          <w:b/>
          <w:sz w:val="24"/>
          <w:u w:val="single"/>
        </w:rPr>
        <w:t>2</w:t>
      </w:r>
      <w:r>
        <w:rPr>
          <w:rFonts w:ascii="Arial" w:hAnsi="Arial" w:cs="Arial"/>
          <w:b/>
          <w:sz w:val="24"/>
          <w:u w:val="single"/>
        </w:rPr>
        <w:t xml:space="preserve"> </w:t>
      </w:r>
      <w:r w:rsidR="00A941A7">
        <w:rPr>
          <w:rFonts w:ascii="Arial" w:hAnsi="Arial" w:cs="Arial"/>
          <w:b/>
          <w:sz w:val="24"/>
          <w:szCs w:val="24"/>
          <w:u w:val="single"/>
        </w:rPr>
        <w:t xml:space="preserve">- </w:t>
      </w:r>
      <w:r w:rsidR="005163D6" w:rsidRPr="00CE6659">
        <w:rPr>
          <w:rFonts w:ascii="Arial" w:hAnsi="Arial" w:cs="Arial"/>
          <w:b/>
          <w:sz w:val="24"/>
          <w:szCs w:val="24"/>
          <w:u w:val="single"/>
        </w:rPr>
        <w:t xml:space="preserve">ΕΠΕΞΗΓΗΜΑΤΙΚΟ </w:t>
      </w:r>
      <w:r w:rsidR="00751A15" w:rsidRPr="00CE6659">
        <w:rPr>
          <w:rFonts w:ascii="Arial" w:hAnsi="Arial" w:cs="Arial"/>
          <w:b/>
          <w:sz w:val="24"/>
          <w:szCs w:val="24"/>
          <w:u w:val="single"/>
        </w:rPr>
        <w:t>ΥΠΟΜΝΗΜΑ</w:t>
      </w:r>
    </w:p>
    <w:p w:rsidR="0027047B" w:rsidRDefault="008D0ADB" w:rsidP="000915DB">
      <w:pPr>
        <w:jc w:val="both"/>
        <w:rPr>
          <w:rFonts w:ascii="Arial" w:hAnsi="Arial" w:cs="Arial"/>
          <w:sz w:val="20"/>
          <w:szCs w:val="20"/>
        </w:rPr>
      </w:pPr>
      <w:r w:rsidRPr="00E12C27">
        <w:rPr>
          <w:rFonts w:ascii="Arial" w:hAnsi="Arial" w:cs="Arial"/>
          <w:sz w:val="20"/>
          <w:szCs w:val="20"/>
        </w:rPr>
        <w:t xml:space="preserve">Ο Οργανισμός Χρηματοδοτήσεως Στέγης ιδρύθηκε το 1980 με κύριο σκοπό την παροχή δανείων για στεγαστικούς σκοπούς, κατά προτεραιότητα σε πρόσωπα που έχουν μέτριο ή χαμηλό εισόδημα.  Ο Οργανισμός Χρηματοδοτήσεως Στέγης (Οργανισμός ή ΟΧΣ) διοικείται από το Διοικητικό </w:t>
      </w:r>
      <w:r w:rsidR="00E13BBA" w:rsidRPr="00E12C27">
        <w:rPr>
          <w:rFonts w:ascii="Arial" w:hAnsi="Arial" w:cs="Arial"/>
          <w:sz w:val="20"/>
          <w:szCs w:val="20"/>
        </w:rPr>
        <w:t xml:space="preserve"> Όργανο</w:t>
      </w:r>
      <w:r w:rsidRPr="00E12C27">
        <w:rPr>
          <w:rFonts w:ascii="Arial" w:hAnsi="Arial" w:cs="Arial"/>
          <w:sz w:val="20"/>
          <w:szCs w:val="20"/>
        </w:rPr>
        <w:t xml:space="preserve"> το οποίο </w:t>
      </w:r>
      <w:r w:rsidR="0027047B">
        <w:rPr>
          <w:rFonts w:ascii="Arial" w:hAnsi="Arial" w:cs="Arial"/>
          <w:sz w:val="20"/>
          <w:szCs w:val="20"/>
        </w:rPr>
        <w:t>τ</w:t>
      </w:r>
      <w:r w:rsidR="0027047B" w:rsidRPr="0027047B">
        <w:rPr>
          <w:rFonts w:ascii="Arial" w:hAnsi="Arial" w:cs="Arial"/>
          <w:sz w:val="20"/>
          <w:szCs w:val="20"/>
        </w:rPr>
        <w:t>ηρουμένων των διατάξεων του περί Εργασιών Πιστωτικών Ιδρυμάτων Νόμου και των σχετικών Οδηγιών της Κεντρικής Τράπεζας της Κύπρου,</w:t>
      </w:r>
      <w:r w:rsidR="0027047B">
        <w:rPr>
          <w:rFonts w:ascii="Arial" w:hAnsi="Arial" w:cs="Arial"/>
          <w:sz w:val="20"/>
          <w:szCs w:val="20"/>
        </w:rPr>
        <w:t xml:space="preserve"> διορίζεται από το Υπουργικό Συμβούλιο και </w:t>
      </w:r>
      <w:r w:rsidR="0027047B" w:rsidRPr="0027047B">
        <w:rPr>
          <w:rFonts w:ascii="Arial" w:hAnsi="Arial" w:cs="Arial"/>
          <w:sz w:val="20"/>
          <w:szCs w:val="20"/>
        </w:rPr>
        <w:t>απαρτίζεται από εννέα (9) μέλη, εκ των οποίων τα δύο (2) είναι εκτελεστικά και τα επτά (7) μη εκτελεστικά και η πλειοψηφία των οποίων είναι ανεξάρτητα μέλη</w:t>
      </w:r>
      <w:r w:rsidR="0027047B">
        <w:rPr>
          <w:rFonts w:ascii="Arial" w:hAnsi="Arial" w:cs="Arial"/>
          <w:sz w:val="20"/>
          <w:szCs w:val="20"/>
        </w:rPr>
        <w:t xml:space="preserve">. </w:t>
      </w:r>
    </w:p>
    <w:p w:rsidR="00B21922" w:rsidRDefault="00BF1632" w:rsidP="000915DB">
      <w:pPr>
        <w:jc w:val="both"/>
      </w:pPr>
      <w:r w:rsidRPr="00E12C27" w:rsidDel="00910971">
        <w:rPr>
          <w:rFonts w:ascii="Arial" w:hAnsi="Arial" w:cs="Arial"/>
          <w:sz w:val="20"/>
          <w:szCs w:val="20"/>
        </w:rPr>
        <w:t>Όραμα και αποστολή του Οργανισμού είναι η εκπλήρωση της αποστολής</w:t>
      </w:r>
      <w:r w:rsidR="0027047B">
        <w:rPr>
          <w:rFonts w:ascii="Arial" w:hAnsi="Arial" w:cs="Arial"/>
          <w:sz w:val="20"/>
          <w:szCs w:val="20"/>
        </w:rPr>
        <w:t xml:space="preserve"> του η οποία καθορίζεται από την Νομοθεσία του</w:t>
      </w:r>
      <w:r w:rsidRPr="00E12C27" w:rsidDel="00910971">
        <w:rPr>
          <w:rFonts w:ascii="Arial" w:hAnsi="Arial" w:cs="Arial"/>
          <w:sz w:val="20"/>
          <w:szCs w:val="20"/>
        </w:rPr>
        <w:t xml:space="preserve"> και η διατήρηση του ως εξειδικευμένου χρηματοοικονομικού ιδρύματος για την παροχή χρηματοδότησης </w:t>
      </w:r>
      <w:r w:rsidR="0027047B">
        <w:rPr>
          <w:rFonts w:ascii="Arial" w:hAnsi="Arial" w:cs="Arial"/>
          <w:sz w:val="20"/>
          <w:szCs w:val="20"/>
        </w:rPr>
        <w:t xml:space="preserve">για την  απόκτηση οικογενειακής </w:t>
      </w:r>
      <w:r w:rsidRPr="00E12C27" w:rsidDel="00910971">
        <w:rPr>
          <w:rFonts w:ascii="Arial" w:hAnsi="Arial" w:cs="Arial"/>
          <w:sz w:val="20"/>
          <w:szCs w:val="20"/>
        </w:rPr>
        <w:t xml:space="preserve">στέγης και </w:t>
      </w:r>
      <w:r w:rsidR="0027047B">
        <w:rPr>
          <w:rFonts w:ascii="Arial" w:hAnsi="Arial" w:cs="Arial"/>
          <w:sz w:val="20"/>
          <w:szCs w:val="20"/>
        </w:rPr>
        <w:t xml:space="preserve">στην </w:t>
      </w:r>
      <w:r w:rsidRPr="00E12C27" w:rsidDel="00910971">
        <w:rPr>
          <w:rFonts w:ascii="Arial" w:hAnsi="Arial" w:cs="Arial"/>
          <w:sz w:val="20"/>
          <w:szCs w:val="20"/>
        </w:rPr>
        <w:t>ευρύτερη κάλυψη των χρηματοδοτικών αναγκών της οικογένειας.</w:t>
      </w:r>
      <w:r w:rsidR="0027047B" w:rsidRPr="0027047B">
        <w:t xml:space="preserve"> </w:t>
      </w:r>
    </w:p>
    <w:p w:rsidR="00E971D9" w:rsidRDefault="00E971D9" w:rsidP="000915DB">
      <w:pPr>
        <w:jc w:val="both"/>
        <w:rPr>
          <w:rFonts w:ascii="Arial" w:hAnsi="Arial" w:cs="Arial"/>
          <w:sz w:val="20"/>
          <w:szCs w:val="20"/>
        </w:rPr>
      </w:pPr>
      <w:r w:rsidRPr="008025D7">
        <w:rPr>
          <w:rFonts w:ascii="Arial" w:hAnsi="Arial" w:cs="Arial"/>
          <w:sz w:val="20"/>
          <w:szCs w:val="20"/>
        </w:rPr>
        <w:t>Οι μεσοπρόθεσμες προτεραιότητες του Οργανισμού παραμένουν ξεκάθαρες, με την προσοχή να συνεχίζει να εστιάζεται στην ενίσχυση του ισολογισμού και τη βελτίωση της ποιότητας του δανειακού χαρτοφυλακίου και της αποδοτικότητας, διατηρώντας παράλληλα καλή κεφαλαιακή βάση, για να συνεχίσει να έχει ζωτικό ρόλο στη στήριξη της Κυπριακής οικογένειας. Ο Οργανισμός συνεχίζει να εξερευνά τις επιλογές του για ενίσχυση των εσόδων με βέλτιστη διαχείριση κεφαλαίων και τη βελτίωση της αποδοτικότητας μέσω της τεχνολογικής αναβάθμισης ώστε να παρέχει προϊόντα και υπηρεσίες, με μειωμένο λειτουργικό κόστος</w:t>
      </w:r>
      <w:r>
        <w:rPr>
          <w:rFonts w:ascii="Arial" w:hAnsi="Arial" w:cs="Arial"/>
          <w:sz w:val="20"/>
          <w:szCs w:val="20"/>
        </w:rPr>
        <w:t xml:space="preserve">. </w:t>
      </w:r>
    </w:p>
    <w:p w:rsidR="00E971D9" w:rsidRPr="00E971D9" w:rsidRDefault="00E971D9" w:rsidP="00E971D9">
      <w:pPr>
        <w:jc w:val="both"/>
        <w:rPr>
          <w:rFonts w:ascii="Arial" w:hAnsi="Arial" w:cs="Arial"/>
          <w:sz w:val="20"/>
          <w:szCs w:val="20"/>
        </w:rPr>
      </w:pPr>
      <w:r w:rsidRPr="00E971D9">
        <w:rPr>
          <w:rFonts w:ascii="Arial" w:hAnsi="Arial" w:cs="Arial"/>
          <w:sz w:val="20"/>
          <w:szCs w:val="20"/>
        </w:rPr>
        <w:t xml:space="preserve">Ο Οργανισμός προχωρεί στην ψηφιακή εποχή και προς τούτο βρίσκεται σε διαδικασία τεχνολογικής μεταμόρφωσης του με την αγορά, διαμόρφωση και εγκατάσταση νέων ιδιόκτητων συστημάτων τεχνολογίας. </w:t>
      </w:r>
      <w:r>
        <w:rPr>
          <w:rFonts w:ascii="Arial" w:hAnsi="Arial" w:cs="Arial"/>
          <w:sz w:val="20"/>
          <w:szCs w:val="20"/>
        </w:rPr>
        <w:t>Ο</w:t>
      </w:r>
      <w:r w:rsidRPr="00E971D9">
        <w:rPr>
          <w:rFonts w:ascii="Arial" w:hAnsi="Arial" w:cs="Arial"/>
          <w:sz w:val="20"/>
          <w:szCs w:val="20"/>
        </w:rPr>
        <w:t xml:space="preserve"> Οργανισμός προχώρησε σε υπογραφή συμφωνίας για την παροχή, υλοποίηση και συντήρηση της νέας τεχνολογικής πλατφόρμας του Οργανισμού, αποτελούμενη από το τραπεζικό σύστημα, περιφερειακά συστήματα και εξοπλισμό, με συνολικό κόστος €10.245 χιλ. </w:t>
      </w:r>
    </w:p>
    <w:p w:rsidR="00E971D9" w:rsidRPr="008025D7" w:rsidRDefault="00E971D9" w:rsidP="00E971D9">
      <w:pPr>
        <w:jc w:val="both"/>
        <w:rPr>
          <w:rFonts w:ascii="Arial" w:hAnsi="Arial" w:cs="Arial"/>
          <w:sz w:val="20"/>
          <w:szCs w:val="20"/>
        </w:rPr>
      </w:pPr>
      <w:r w:rsidRPr="00E971D9">
        <w:rPr>
          <w:rFonts w:ascii="Arial" w:hAnsi="Arial" w:cs="Arial"/>
          <w:sz w:val="20"/>
          <w:szCs w:val="20"/>
        </w:rPr>
        <w:t xml:space="preserve">Ο εκσυγχρονισμός της τεχνολογικής υποδομής του Οργανισμού αποτελεί προτεραιότητα και </w:t>
      </w:r>
      <w:r>
        <w:rPr>
          <w:rFonts w:ascii="Arial" w:hAnsi="Arial" w:cs="Arial"/>
          <w:sz w:val="20"/>
          <w:szCs w:val="20"/>
        </w:rPr>
        <w:t xml:space="preserve">στόχος παραμένει η υλοποίηση του έργου </w:t>
      </w:r>
      <w:r w:rsidRPr="00E971D9">
        <w:rPr>
          <w:rFonts w:ascii="Arial" w:hAnsi="Arial" w:cs="Arial"/>
          <w:sz w:val="20"/>
          <w:szCs w:val="20"/>
        </w:rPr>
        <w:t>με τρόπο που να επιτυγχάνει τους στρατηγικούς στόχους του Οργανισμού για το ψηφιακό μετασχηματισμό, ο οποίος να ανταποκρίνεται στις σημερινές ανάγκες των πελατών του.</w:t>
      </w:r>
    </w:p>
    <w:p w:rsidR="00005F88" w:rsidRPr="00E12C27" w:rsidRDefault="00005F88" w:rsidP="000915DB">
      <w:pPr>
        <w:tabs>
          <w:tab w:val="left" w:pos="1470"/>
        </w:tabs>
        <w:jc w:val="both"/>
        <w:rPr>
          <w:rFonts w:ascii="Arial" w:hAnsi="Arial" w:cs="Arial"/>
          <w:b/>
          <w:smallCaps/>
          <w:sz w:val="20"/>
          <w:szCs w:val="20"/>
          <w:u w:val="single"/>
        </w:rPr>
      </w:pPr>
      <w:r w:rsidRPr="00E12C27">
        <w:rPr>
          <w:rFonts w:ascii="Arial" w:hAnsi="Arial" w:cs="Arial"/>
          <w:b/>
          <w:smallCaps/>
          <w:sz w:val="20"/>
          <w:szCs w:val="20"/>
          <w:u w:val="single"/>
        </w:rPr>
        <w:t>Οικονομικοί Δείκτες</w:t>
      </w:r>
    </w:p>
    <w:p w:rsidR="00721202" w:rsidRPr="001D6A2A" w:rsidRDefault="00E338F1" w:rsidP="008505F9">
      <w:pPr>
        <w:jc w:val="both"/>
        <w:rPr>
          <w:rFonts w:ascii="Arial" w:hAnsi="Arial" w:cs="Arial"/>
          <w:sz w:val="20"/>
          <w:szCs w:val="20"/>
        </w:rPr>
      </w:pPr>
      <w:r w:rsidRPr="008025D7">
        <w:rPr>
          <w:rFonts w:ascii="Arial" w:eastAsia="Calibri" w:hAnsi="Arial" w:cs="Arial"/>
          <w:sz w:val="20"/>
        </w:rPr>
        <w:t xml:space="preserve">Στους πίνακες </w:t>
      </w:r>
      <w:r w:rsidR="00721202" w:rsidRPr="008025D7">
        <w:rPr>
          <w:rFonts w:ascii="Arial" w:eastAsia="Calibri" w:hAnsi="Arial" w:cs="Arial"/>
          <w:sz w:val="20"/>
        </w:rPr>
        <w:t>πιο κάτω παρατίθενται επιλεγμένοι οικονομικοί δείκτες όπως έχουν διαμορφωθεί τα τελευταία έτη και πως</w:t>
      </w:r>
      <w:r w:rsidR="00721202" w:rsidRPr="00E12C27">
        <w:rPr>
          <w:rFonts w:ascii="Arial" w:hAnsi="Arial" w:cs="Arial"/>
          <w:sz w:val="20"/>
          <w:szCs w:val="20"/>
        </w:rPr>
        <w:t xml:space="preserve"> αναμένεται</w:t>
      </w:r>
      <w:r w:rsidR="0077198E" w:rsidRPr="00E12C27">
        <w:rPr>
          <w:rFonts w:ascii="Arial" w:hAnsi="Arial" w:cs="Arial"/>
          <w:sz w:val="20"/>
          <w:szCs w:val="20"/>
        </w:rPr>
        <w:t xml:space="preserve"> να διαμορφωθεί για το έτος </w:t>
      </w:r>
      <w:r w:rsidR="00B24F5E" w:rsidRPr="00E12C27">
        <w:rPr>
          <w:rFonts w:ascii="Arial" w:hAnsi="Arial" w:cs="Arial"/>
          <w:sz w:val="20"/>
          <w:szCs w:val="20"/>
        </w:rPr>
        <w:t>202</w:t>
      </w:r>
      <w:r w:rsidR="007A23FA" w:rsidRPr="00880E70">
        <w:rPr>
          <w:rFonts w:ascii="Arial" w:hAnsi="Arial" w:cs="Arial"/>
          <w:sz w:val="20"/>
          <w:szCs w:val="20"/>
        </w:rPr>
        <w:t>2</w:t>
      </w:r>
      <w:r w:rsidR="00B24F5E" w:rsidRPr="00E12C27">
        <w:rPr>
          <w:rFonts w:ascii="Arial" w:hAnsi="Arial" w:cs="Arial"/>
          <w:sz w:val="20"/>
          <w:szCs w:val="20"/>
        </w:rPr>
        <w:t xml:space="preserve">  </w:t>
      </w:r>
      <w:r w:rsidR="00721202" w:rsidRPr="00E12C27">
        <w:rPr>
          <w:rFonts w:ascii="Arial" w:hAnsi="Arial" w:cs="Arial"/>
          <w:sz w:val="20"/>
          <w:szCs w:val="20"/>
        </w:rPr>
        <w:t xml:space="preserve">βάση του υφιστάμενου προϋπολογισμού.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1050"/>
        <w:gridCol w:w="916"/>
        <w:gridCol w:w="915"/>
        <w:gridCol w:w="917"/>
        <w:gridCol w:w="915"/>
        <w:gridCol w:w="917"/>
        <w:gridCol w:w="915"/>
      </w:tblGrid>
      <w:tr w:rsidR="005A32B0" w:rsidRPr="00012686" w:rsidTr="008025D7">
        <w:trPr>
          <w:trHeight w:val="199"/>
        </w:trPr>
        <w:tc>
          <w:tcPr>
            <w:tcW w:w="1530" w:type="pct"/>
            <w:shd w:val="clear" w:color="auto" w:fill="auto"/>
            <w:noWrap/>
            <w:vAlign w:val="bottom"/>
            <w:hideMark/>
          </w:tcPr>
          <w:p w:rsidR="004F2D5C" w:rsidRDefault="004F2D5C" w:rsidP="004F2D5C">
            <w:pPr>
              <w:spacing w:after="0" w:line="240" w:lineRule="auto"/>
              <w:jc w:val="right"/>
              <w:rPr>
                <w:rFonts w:ascii="Arial" w:eastAsia="Times New Roman" w:hAnsi="Arial" w:cs="Arial"/>
                <w:b/>
                <w:bCs/>
                <w:sz w:val="18"/>
                <w:szCs w:val="18"/>
                <w:u w:val="single"/>
              </w:rPr>
            </w:pPr>
          </w:p>
          <w:p w:rsidR="004F2D5C" w:rsidRPr="004E35D4" w:rsidRDefault="004F2D5C" w:rsidP="004F2D5C">
            <w:pPr>
              <w:spacing w:after="0" w:line="240" w:lineRule="auto"/>
              <w:jc w:val="right"/>
              <w:rPr>
                <w:rFonts w:ascii="Arial" w:eastAsia="Times New Roman" w:hAnsi="Arial" w:cs="Arial"/>
                <w:b/>
                <w:bCs/>
                <w:sz w:val="18"/>
                <w:szCs w:val="18"/>
                <w:u w:val="single"/>
              </w:rPr>
            </w:pPr>
          </w:p>
        </w:tc>
        <w:tc>
          <w:tcPr>
            <w:tcW w:w="557" w:type="pct"/>
            <w:vAlign w:val="bottom"/>
          </w:tcPr>
          <w:p w:rsidR="004F2D5C" w:rsidRPr="004E35D4" w:rsidRDefault="004F2D5C" w:rsidP="004F2D5C">
            <w:pPr>
              <w:spacing w:after="0" w:line="240" w:lineRule="auto"/>
              <w:jc w:val="right"/>
              <w:rPr>
                <w:rFonts w:ascii="Arial" w:eastAsia="Times New Roman" w:hAnsi="Arial" w:cs="Arial"/>
                <w:b/>
                <w:bCs/>
                <w:sz w:val="18"/>
                <w:szCs w:val="18"/>
                <w:u w:val="single"/>
                <w:lang w:val="en-US"/>
              </w:rPr>
            </w:pPr>
            <w:r w:rsidRPr="00342288">
              <w:rPr>
                <w:rFonts w:ascii="Arial" w:eastAsia="Times New Roman" w:hAnsi="Arial" w:cs="Arial"/>
                <w:b/>
                <w:bCs/>
                <w:sz w:val="18"/>
                <w:szCs w:val="18"/>
                <w:u w:val="single"/>
                <w:lang w:val="en-US"/>
              </w:rPr>
              <w:t>20</w:t>
            </w:r>
            <w:r>
              <w:rPr>
                <w:rFonts w:ascii="Arial" w:eastAsia="Times New Roman" w:hAnsi="Arial" w:cs="Arial"/>
                <w:b/>
                <w:bCs/>
                <w:sz w:val="18"/>
                <w:szCs w:val="18"/>
                <w:u w:val="single"/>
              </w:rPr>
              <w:t>19</w:t>
            </w:r>
            <w:r w:rsidRPr="004E35D4">
              <w:rPr>
                <w:rFonts w:ascii="Arial" w:eastAsia="Times New Roman" w:hAnsi="Arial" w:cs="Arial"/>
                <w:b/>
                <w:bCs/>
                <w:sz w:val="18"/>
                <w:szCs w:val="18"/>
                <w:u w:val="single"/>
              </w:rPr>
              <w:t xml:space="preserve"> Α</w:t>
            </w:r>
          </w:p>
        </w:tc>
        <w:tc>
          <w:tcPr>
            <w:tcW w:w="486" w:type="pct"/>
            <w:vAlign w:val="bottom"/>
          </w:tcPr>
          <w:p w:rsidR="004F2D5C" w:rsidRDefault="004F2D5C" w:rsidP="004F2D5C">
            <w:pPr>
              <w:spacing w:after="0" w:line="240" w:lineRule="auto"/>
              <w:jc w:val="right"/>
              <w:rPr>
                <w:rFonts w:ascii="Arial" w:eastAsia="Times New Roman" w:hAnsi="Arial" w:cs="Arial"/>
                <w:b/>
                <w:bCs/>
                <w:sz w:val="18"/>
                <w:szCs w:val="18"/>
                <w:u w:val="single"/>
              </w:rPr>
            </w:pPr>
            <w:r>
              <w:rPr>
                <w:rFonts w:ascii="Arial" w:eastAsia="Times New Roman" w:hAnsi="Arial" w:cs="Arial"/>
                <w:b/>
                <w:bCs/>
                <w:sz w:val="18"/>
                <w:szCs w:val="18"/>
                <w:u w:val="single"/>
                <w:lang w:val="en-US"/>
              </w:rPr>
              <w:t>2020</w:t>
            </w:r>
            <w:r w:rsidRPr="004E35D4">
              <w:rPr>
                <w:rFonts w:ascii="Arial" w:eastAsia="Times New Roman" w:hAnsi="Arial" w:cs="Arial"/>
                <w:b/>
                <w:bCs/>
                <w:sz w:val="18"/>
                <w:szCs w:val="18"/>
                <w:u w:val="single"/>
                <w:lang w:val="en-US"/>
              </w:rPr>
              <w:t xml:space="preserve"> A</w:t>
            </w:r>
          </w:p>
        </w:tc>
        <w:tc>
          <w:tcPr>
            <w:tcW w:w="485" w:type="pct"/>
            <w:shd w:val="clear" w:color="auto" w:fill="auto"/>
            <w:noWrap/>
            <w:vAlign w:val="bottom"/>
            <w:hideMark/>
          </w:tcPr>
          <w:p w:rsidR="004F2D5C" w:rsidRPr="00DA0929" w:rsidRDefault="0037655D" w:rsidP="004F2D5C">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rPr>
              <w:t>6Μ 2021</w:t>
            </w:r>
            <w:r w:rsidR="001C314A">
              <w:rPr>
                <w:rFonts w:ascii="Arial" w:eastAsia="Times New Roman" w:hAnsi="Arial" w:cs="Arial"/>
                <w:b/>
                <w:bCs/>
                <w:sz w:val="18"/>
                <w:szCs w:val="18"/>
                <w:u w:val="single"/>
              </w:rPr>
              <w:t xml:space="preserve"> Α</w:t>
            </w:r>
          </w:p>
        </w:tc>
        <w:tc>
          <w:tcPr>
            <w:tcW w:w="486" w:type="pct"/>
            <w:shd w:val="clear" w:color="auto" w:fill="auto"/>
            <w:noWrap/>
            <w:vAlign w:val="bottom"/>
            <w:hideMark/>
          </w:tcPr>
          <w:p w:rsidR="004F2D5C" w:rsidRPr="00DA0929" w:rsidRDefault="004F2D5C" w:rsidP="0003768A">
            <w:pPr>
              <w:spacing w:after="0" w:line="240" w:lineRule="auto"/>
              <w:jc w:val="right"/>
              <w:rPr>
                <w:rFonts w:ascii="Arial" w:eastAsia="Times New Roman" w:hAnsi="Arial" w:cs="Arial"/>
                <w:b/>
                <w:bCs/>
                <w:sz w:val="18"/>
                <w:szCs w:val="18"/>
                <w:u w:val="single"/>
              </w:rPr>
            </w:pPr>
            <w:r w:rsidRPr="004E35D4">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1</w:t>
            </w:r>
            <w:r w:rsidRPr="004E35D4">
              <w:rPr>
                <w:rFonts w:ascii="Arial" w:eastAsia="Times New Roman" w:hAnsi="Arial" w:cs="Arial"/>
                <w:b/>
                <w:bCs/>
                <w:sz w:val="18"/>
                <w:szCs w:val="18"/>
                <w:u w:val="single"/>
              </w:rPr>
              <w:t xml:space="preserve"> Π</w:t>
            </w:r>
          </w:p>
        </w:tc>
        <w:tc>
          <w:tcPr>
            <w:tcW w:w="485" w:type="pct"/>
            <w:shd w:val="clear" w:color="auto" w:fill="auto"/>
            <w:noWrap/>
            <w:vAlign w:val="bottom"/>
            <w:hideMark/>
          </w:tcPr>
          <w:p w:rsidR="004F2D5C" w:rsidRPr="00A02311" w:rsidRDefault="004F2D5C" w:rsidP="004F2D5C">
            <w:pPr>
              <w:spacing w:after="0" w:line="240" w:lineRule="auto"/>
              <w:jc w:val="right"/>
              <w:rPr>
                <w:rFonts w:ascii="Arial" w:eastAsia="Times New Roman" w:hAnsi="Arial" w:cs="Arial"/>
                <w:b/>
                <w:bCs/>
                <w:sz w:val="18"/>
                <w:szCs w:val="18"/>
                <w:u w:val="single"/>
              </w:rPr>
            </w:pPr>
            <w:r w:rsidRPr="00342288">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2</w:t>
            </w:r>
            <w:r w:rsidRPr="00342288">
              <w:rPr>
                <w:rFonts w:ascii="Arial" w:eastAsia="Times New Roman" w:hAnsi="Arial" w:cs="Arial"/>
                <w:b/>
                <w:bCs/>
                <w:sz w:val="18"/>
                <w:szCs w:val="18"/>
                <w:u w:val="single"/>
              </w:rPr>
              <w:t xml:space="preserve"> Π</w:t>
            </w:r>
          </w:p>
        </w:tc>
        <w:tc>
          <w:tcPr>
            <w:tcW w:w="486" w:type="pct"/>
            <w:shd w:val="clear" w:color="auto" w:fill="auto"/>
            <w:noWrap/>
            <w:vAlign w:val="bottom"/>
            <w:hideMark/>
          </w:tcPr>
          <w:p w:rsidR="004F2D5C" w:rsidRPr="00D93B0A" w:rsidRDefault="004F2D5C" w:rsidP="0003768A">
            <w:pPr>
              <w:spacing w:after="0" w:line="240" w:lineRule="auto"/>
              <w:jc w:val="right"/>
              <w:rPr>
                <w:rFonts w:ascii="Arial" w:eastAsia="Times New Roman" w:hAnsi="Arial" w:cs="Arial"/>
                <w:b/>
                <w:bCs/>
                <w:sz w:val="18"/>
                <w:szCs w:val="18"/>
                <w:u w:val="single"/>
              </w:rPr>
            </w:pPr>
            <w:r w:rsidRPr="00F01D07">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3</w:t>
            </w:r>
            <w:r w:rsidRPr="00F01D07">
              <w:rPr>
                <w:rFonts w:ascii="Arial" w:eastAsia="Times New Roman" w:hAnsi="Arial" w:cs="Arial"/>
                <w:b/>
                <w:bCs/>
                <w:sz w:val="18"/>
                <w:szCs w:val="18"/>
                <w:u w:val="single"/>
              </w:rPr>
              <w:t>Π</w:t>
            </w:r>
          </w:p>
        </w:tc>
        <w:tc>
          <w:tcPr>
            <w:tcW w:w="485" w:type="pct"/>
            <w:shd w:val="clear" w:color="auto" w:fill="auto"/>
            <w:noWrap/>
            <w:vAlign w:val="bottom"/>
            <w:hideMark/>
          </w:tcPr>
          <w:p w:rsidR="004F2D5C" w:rsidRPr="008B2A39" w:rsidRDefault="004F2D5C" w:rsidP="004F2D5C">
            <w:pPr>
              <w:spacing w:after="0" w:line="240" w:lineRule="auto"/>
              <w:jc w:val="right"/>
              <w:rPr>
                <w:rFonts w:ascii="Arial" w:eastAsia="Times New Roman" w:hAnsi="Arial" w:cs="Arial"/>
                <w:b/>
                <w:bCs/>
                <w:sz w:val="18"/>
                <w:szCs w:val="18"/>
                <w:u w:val="single"/>
              </w:rPr>
            </w:pPr>
            <w:r w:rsidRPr="00D93B0A">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4</w:t>
            </w:r>
            <w:r w:rsidRPr="008B2A39">
              <w:rPr>
                <w:rFonts w:ascii="Arial" w:eastAsia="Times New Roman" w:hAnsi="Arial" w:cs="Arial"/>
                <w:b/>
                <w:bCs/>
                <w:sz w:val="18"/>
                <w:szCs w:val="18"/>
                <w:u w:val="single"/>
              </w:rPr>
              <w:t xml:space="preserve"> Π</w:t>
            </w:r>
          </w:p>
        </w:tc>
      </w:tr>
      <w:tr w:rsidR="000F6278" w:rsidRPr="00012686" w:rsidTr="008025D7">
        <w:trPr>
          <w:trHeight w:val="199"/>
        </w:trPr>
        <w:tc>
          <w:tcPr>
            <w:tcW w:w="5000" w:type="pct"/>
            <w:gridSpan w:val="8"/>
            <w:shd w:val="clear" w:color="auto" w:fill="F2F2F2" w:themeFill="background1" w:themeFillShade="F2"/>
            <w:noWrap/>
            <w:vAlign w:val="bottom"/>
          </w:tcPr>
          <w:p w:rsidR="000F6278" w:rsidRPr="008025D7" w:rsidRDefault="000F6278" w:rsidP="008025D7">
            <w:pPr>
              <w:spacing w:after="0" w:line="240" w:lineRule="auto"/>
              <w:rPr>
                <w:rFonts w:ascii="Arial" w:eastAsia="Times New Roman" w:hAnsi="Arial" w:cs="Arial"/>
                <w:b/>
                <w:bCs/>
                <w:sz w:val="18"/>
                <w:szCs w:val="18"/>
                <w:u w:val="single"/>
              </w:rPr>
            </w:pPr>
            <w:r>
              <w:rPr>
                <w:rFonts w:ascii="Arial" w:eastAsia="Times New Roman" w:hAnsi="Arial" w:cs="Arial"/>
                <w:b/>
                <w:bCs/>
                <w:sz w:val="18"/>
                <w:szCs w:val="18"/>
                <w:u w:val="single"/>
              </w:rPr>
              <w:t>ΑΠΟΔΟΣΗΣ/ ΚΕΡΔΟΦΟΡΙΑΣ</w:t>
            </w:r>
          </w:p>
        </w:tc>
      </w:tr>
      <w:tr w:rsidR="005A32B0" w:rsidRPr="004E35D4" w:rsidTr="008025D7">
        <w:trPr>
          <w:trHeight w:val="199"/>
        </w:trPr>
        <w:tc>
          <w:tcPr>
            <w:tcW w:w="1530" w:type="pct"/>
            <w:shd w:val="clear" w:color="auto" w:fill="auto"/>
            <w:noWrap/>
            <w:vAlign w:val="bottom"/>
            <w:hideMark/>
          </w:tcPr>
          <w:p w:rsidR="000F6278" w:rsidRPr="004E35D4" w:rsidRDefault="000F6278" w:rsidP="000F6278">
            <w:pPr>
              <w:spacing w:after="0" w:line="240" w:lineRule="auto"/>
              <w:rPr>
                <w:rFonts w:ascii="Arial" w:eastAsia="Times New Roman" w:hAnsi="Arial" w:cs="Arial"/>
                <w:b/>
                <w:bCs/>
                <w:sz w:val="18"/>
                <w:szCs w:val="18"/>
              </w:rPr>
            </w:pPr>
            <w:r w:rsidRPr="00B603E5">
              <w:rPr>
                <w:rFonts w:ascii="Arial" w:hAnsi="Arial" w:cs="Arial"/>
                <w:bCs/>
                <w:sz w:val="18"/>
                <w:szCs w:val="18"/>
              </w:rPr>
              <w:t>Απόδοση από Δάνεια και χορηγήσεις (καθαρή)</w:t>
            </w:r>
          </w:p>
        </w:tc>
        <w:tc>
          <w:tcPr>
            <w:tcW w:w="557" w:type="pct"/>
            <w:vAlign w:val="bottom"/>
          </w:tcPr>
          <w:p w:rsidR="000F6278" w:rsidRPr="00815CF7" w:rsidRDefault="000F6278" w:rsidP="000F6278">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2</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22%</w:t>
            </w:r>
          </w:p>
        </w:tc>
        <w:tc>
          <w:tcPr>
            <w:tcW w:w="486" w:type="pct"/>
            <w:vAlign w:val="bottom"/>
          </w:tcPr>
          <w:p w:rsidR="000F6278" w:rsidRPr="00B603E5" w:rsidRDefault="000F6278" w:rsidP="000F6278">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1,96%</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1,85%</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w:t>
            </w:r>
            <w:r>
              <w:rPr>
                <w:rFonts w:ascii="Arial" w:eastAsia="Times New Roman" w:hAnsi="Arial" w:cs="Arial"/>
                <w:bCs/>
                <w:sz w:val="18"/>
                <w:szCs w:val="18"/>
                <w:lang w:val="en-GB" w:eastAsia="en-GB"/>
              </w:rPr>
              <w:t>7</w:t>
            </w:r>
            <w:r w:rsidRPr="00B603E5">
              <w:rPr>
                <w:rFonts w:ascii="Arial" w:eastAsia="Times New Roman" w:hAnsi="Arial" w:cs="Arial"/>
                <w:bCs/>
                <w:sz w:val="18"/>
                <w:szCs w:val="18"/>
                <w:lang w:val="en-GB" w:eastAsia="en-GB"/>
              </w:rPr>
              <w:t>8%</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1.7</w:t>
            </w:r>
            <w:r>
              <w:rPr>
                <w:rFonts w:ascii="Arial" w:eastAsia="Times New Roman" w:hAnsi="Arial" w:cs="Arial"/>
                <w:bCs/>
                <w:sz w:val="18"/>
                <w:szCs w:val="18"/>
                <w:lang w:val="en-US" w:eastAsia="en-GB"/>
              </w:rPr>
              <w:t>0</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w:t>
            </w:r>
            <w:r>
              <w:rPr>
                <w:rFonts w:ascii="Arial" w:eastAsia="Times New Roman" w:hAnsi="Arial" w:cs="Arial"/>
                <w:bCs/>
                <w:sz w:val="18"/>
                <w:szCs w:val="18"/>
                <w:lang w:val="en-US" w:eastAsia="en-GB"/>
              </w:rPr>
              <w:t>66</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w:t>
            </w:r>
            <w:r>
              <w:rPr>
                <w:rFonts w:ascii="Arial" w:eastAsia="Times New Roman" w:hAnsi="Arial" w:cs="Arial"/>
                <w:bCs/>
                <w:sz w:val="18"/>
                <w:szCs w:val="18"/>
                <w:lang w:val="en-US" w:eastAsia="en-GB"/>
              </w:rPr>
              <w:t>60</w:t>
            </w:r>
            <w:r w:rsidRPr="00B603E5">
              <w:rPr>
                <w:rFonts w:ascii="Arial" w:eastAsia="Times New Roman" w:hAnsi="Arial" w:cs="Arial"/>
                <w:bCs/>
                <w:sz w:val="18"/>
                <w:szCs w:val="18"/>
                <w:lang w:val="en-GB" w:eastAsia="en-GB"/>
              </w:rPr>
              <w:t>%</w:t>
            </w:r>
          </w:p>
        </w:tc>
      </w:tr>
      <w:tr w:rsidR="005A32B0" w:rsidRPr="004E35D4" w:rsidTr="008025D7">
        <w:trPr>
          <w:trHeight w:val="199"/>
        </w:trPr>
        <w:tc>
          <w:tcPr>
            <w:tcW w:w="1530" w:type="pct"/>
            <w:shd w:val="clear" w:color="auto" w:fill="auto"/>
            <w:noWrap/>
            <w:vAlign w:val="bottom"/>
            <w:hideMark/>
          </w:tcPr>
          <w:p w:rsidR="000F6278" w:rsidRPr="004E35D4" w:rsidRDefault="000F6278" w:rsidP="000F6278">
            <w:pPr>
              <w:spacing w:after="0" w:line="240" w:lineRule="auto"/>
              <w:rPr>
                <w:rFonts w:ascii="Arial" w:eastAsia="Times New Roman" w:hAnsi="Arial" w:cs="Arial"/>
                <w:b/>
                <w:bCs/>
                <w:sz w:val="18"/>
                <w:szCs w:val="18"/>
                <w:lang w:val="en-US"/>
              </w:rPr>
            </w:pPr>
            <w:r w:rsidRPr="00B603E5">
              <w:rPr>
                <w:rFonts w:ascii="Arial" w:hAnsi="Arial" w:cs="Arial"/>
                <w:bCs/>
                <w:sz w:val="18"/>
                <w:szCs w:val="18"/>
              </w:rPr>
              <w:t>Κόστος καταθέσεων</w:t>
            </w:r>
          </w:p>
        </w:tc>
        <w:tc>
          <w:tcPr>
            <w:tcW w:w="557" w:type="pct"/>
            <w:vAlign w:val="bottom"/>
          </w:tcPr>
          <w:p w:rsidR="000F6278" w:rsidRPr="00815CF7" w:rsidRDefault="000F6278" w:rsidP="000F6278">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48%</w:t>
            </w:r>
          </w:p>
        </w:tc>
        <w:tc>
          <w:tcPr>
            <w:tcW w:w="486" w:type="pct"/>
            <w:vAlign w:val="bottom"/>
          </w:tcPr>
          <w:p w:rsidR="000F6278" w:rsidRPr="00B603E5" w:rsidRDefault="000F6278" w:rsidP="000F6278">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0,16%</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,06</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,06</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,03</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w:t>
            </w: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1</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w:t>
            </w: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1</w:t>
            </w:r>
            <w:r w:rsidRPr="00B603E5">
              <w:rPr>
                <w:rFonts w:ascii="Arial" w:eastAsia="Times New Roman" w:hAnsi="Arial" w:cs="Arial"/>
                <w:bCs/>
                <w:sz w:val="18"/>
                <w:szCs w:val="18"/>
                <w:lang w:val="en-GB" w:eastAsia="en-GB"/>
              </w:rPr>
              <w:t>%</w:t>
            </w:r>
          </w:p>
        </w:tc>
      </w:tr>
      <w:tr w:rsidR="005A32B0" w:rsidRPr="0003768A" w:rsidTr="008025D7">
        <w:trPr>
          <w:trHeight w:val="235"/>
        </w:trPr>
        <w:tc>
          <w:tcPr>
            <w:tcW w:w="1530" w:type="pct"/>
            <w:shd w:val="clear" w:color="auto" w:fill="auto"/>
            <w:noWrap/>
            <w:vAlign w:val="bottom"/>
            <w:hideMark/>
          </w:tcPr>
          <w:p w:rsidR="000F6278" w:rsidRPr="004E35D4" w:rsidRDefault="000F6278">
            <w:pPr>
              <w:spacing w:after="0" w:line="240" w:lineRule="auto"/>
              <w:rPr>
                <w:rFonts w:ascii="Arial" w:eastAsia="Times New Roman" w:hAnsi="Arial" w:cs="Arial"/>
                <w:b/>
                <w:bCs/>
                <w:sz w:val="18"/>
                <w:szCs w:val="18"/>
                <w:lang w:val="en-US"/>
              </w:rPr>
            </w:pPr>
            <w:r w:rsidRPr="00B603E5">
              <w:rPr>
                <w:rFonts w:ascii="Arial" w:eastAsia="Times New Roman" w:hAnsi="Arial" w:cs="Arial"/>
                <w:bCs/>
                <w:sz w:val="18"/>
                <w:szCs w:val="18"/>
              </w:rPr>
              <w:t xml:space="preserve">Καθαρό επιτοκιακό </w:t>
            </w:r>
            <w:r w:rsidR="00E647A6">
              <w:rPr>
                <w:rFonts w:ascii="Arial" w:eastAsia="Times New Roman" w:hAnsi="Arial" w:cs="Arial"/>
                <w:bCs/>
                <w:sz w:val="18"/>
                <w:szCs w:val="18"/>
              </w:rPr>
              <w:t>περιθώριο</w:t>
            </w:r>
          </w:p>
        </w:tc>
        <w:tc>
          <w:tcPr>
            <w:tcW w:w="557" w:type="pct"/>
            <w:vAlign w:val="bottom"/>
          </w:tcPr>
          <w:p w:rsidR="000F6278" w:rsidRPr="00815CF7" w:rsidRDefault="000F6278" w:rsidP="000F6278">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1</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4</w:t>
            </w:r>
            <w:r>
              <w:rPr>
                <w:rFonts w:ascii="Arial" w:eastAsia="Times New Roman" w:hAnsi="Arial" w:cs="Arial"/>
                <w:bCs/>
                <w:sz w:val="18"/>
                <w:szCs w:val="18"/>
                <w:lang w:val="en-GB" w:eastAsia="en-GB"/>
              </w:rPr>
              <w:t>3</w:t>
            </w:r>
            <w:r w:rsidRPr="004C6831">
              <w:rPr>
                <w:rFonts w:ascii="Arial" w:eastAsia="Times New Roman" w:hAnsi="Arial" w:cs="Arial"/>
                <w:bCs/>
                <w:sz w:val="18"/>
                <w:szCs w:val="18"/>
                <w:lang w:val="en-GB" w:eastAsia="en-GB"/>
              </w:rPr>
              <w:t>%</w:t>
            </w:r>
          </w:p>
        </w:tc>
        <w:tc>
          <w:tcPr>
            <w:tcW w:w="486" w:type="pct"/>
            <w:vAlign w:val="bottom"/>
          </w:tcPr>
          <w:p w:rsidR="000F6278" w:rsidRPr="00B603E5" w:rsidRDefault="000F6278" w:rsidP="000F6278">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1,68%</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w:t>
            </w:r>
            <w:r>
              <w:rPr>
                <w:rFonts w:ascii="Arial" w:eastAsia="Times New Roman" w:hAnsi="Arial" w:cs="Arial"/>
                <w:bCs/>
                <w:sz w:val="18"/>
                <w:szCs w:val="18"/>
                <w:lang w:val="en-GB" w:eastAsia="en-GB"/>
              </w:rPr>
              <w:t>,72</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w:t>
            </w:r>
            <w:r>
              <w:rPr>
                <w:rFonts w:ascii="Arial" w:eastAsia="Times New Roman" w:hAnsi="Arial" w:cs="Arial"/>
                <w:bCs/>
                <w:sz w:val="18"/>
                <w:szCs w:val="18"/>
                <w:lang w:val="en-GB" w:eastAsia="en-GB"/>
              </w:rPr>
              <w:t>,65</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w:t>
            </w:r>
            <w:r>
              <w:rPr>
                <w:rFonts w:ascii="Arial" w:eastAsia="Times New Roman" w:hAnsi="Arial" w:cs="Arial"/>
                <w:bCs/>
                <w:sz w:val="18"/>
                <w:szCs w:val="18"/>
                <w:lang w:val="en-US" w:eastAsia="en-GB"/>
              </w:rPr>
              <w:t>,60</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1</w:t>
            </w:r>
            <w:r>
              <w:rPr>
                <w:rFonts w:ascii="Arial" w:eastAsia="Times New Roman" w:hAnsi="Arial" w:cs="Arial"/>
                <w:bCs/>
                <w:sz w:val="18"/>
                <w:szCs w:val="18"/>
                <w:lang w:val="en-US" w:eastAsia="en-GB"/>
              </w:rPr>
              <w:t>,59</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0F6278" w:rsidRPr="0003768A" w:rsidRDefault="000F6278" w:rsidP="000F6278">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eastAsia="en-GB"/>
              </w:rPr>
              <w:t>1</w:t>
            </w:r>
            <w:r>
              <w:rPr>
                <w:rFonts w:ascii="Arial" w:eastAsia="Times New Roman" w:hAnsi="Arial" w:cs="Arial"/>
                <w:bCs/>
                <w:sz w:val="18"/>
                <w:szCs w:val="18"/>
                <w:lang w:val="en-US" w:eastAsia="en-GB"/>
              </w:rPr>
              <w:t>,56</w:t>
            </w:r>
            <w:r w:rsidRPr="00B603E5">
              <w:rPr>
                <w:rFonts w:ascii="Arial" w:eastAsia="Times New Roman" w:hAnsi="Arial" w:cs="Arial"/>
                <w:bCs/>
                <w:sz w:val="18"/>
                <w:szCs w:val="18"/>
                <w:lang w:val="en-GB" w:eastAsia="en-GB"/>
              </w:rPr>
              <w:t>%</w:t>
            </w:r>
          </w:p>
        </w:tc>
      </w:tr>
      <w:tr w:rsidR="005A32B0" w:rsidRPr="004E35D4" w:rsidTr="008025D7">
        <w:trPr>
          <w:trHeight w:val="235"/>
        </w:trPr>
        <w:tc>
          <w:tcPr>
            <w:tcW w:w="1530" w:type="pct"/>
            <w:shd w:val="clear" w:color="auto" w:fill="auto"/>
            <w:noWrap/>
            <w:vAlign w:val="bottom"/>
            <w:hideMark/>
          </w:tcPr>
          <w:p w:rsidR="000F6278" w:rsidRPr="00B603E5" w:rsidRDefault="000F6278" w:rsidP="000F6278">
            <w:pPr>
              <w:spacing w:after="0" w:line="240" w:lineRule="auto"/>
              <w:rPr>
                <w:rFonts w:ascii="Arial" w:eastAsia="Times New Roman" w:hAnsi="Arial" w:cs="Arial"/>
                <w:bCs/>
                <w:sz w:val="18"/>
                <w:szCs w:val="18"/>
              </w:rPr>
            </w:pPr>
            <w:r w:rsidRPr="00B603E5">
              <w:rPr>
                <w:rFonts w:ascii="Arial" w:eastAsia="Times New Roman" w:hAnsi="Arial" w:cs="Arial"/>
                <w:bCs/>
                <w:sz w:val="18"/>
                <w:szCs w:val="18"/>
              </w:rPr>
              <w:t>Κόστος / Έσοδα</w:t>
            </w:r>
          </w:p>
        </w:tc>
        <w:tc>
          <w:tcPr>
            <w:tcW w:w="557" w:type="pct"/>
            <w:vAlign w:val="bottom"/>
          </w:tcPr>
          <w:p w:rsidR="000F6278" w:rsidRPr="00815CF7" w:rsidRDefault="000F6278" w:rsidP="000F6278">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43</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56%</w:t>
            </w:r>
          </w:p>
        </w:tc>
        <w:tc>
          <w:tcPr>
            <w:tcW w:w="486" w:type="pct"/>
            <w:vAlign w:val="bottom"/>
          </w:tcPr>
          <w:p w:rsidR="000F6278" w:rsidRPr="00B603E5" w:rsidRDefault="000F6278" w:rsidP="000F6278">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40,45%</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3</w:t>
            </w:r>
            <w:r>
              <w:rPr>
                <w:rFonts w:ascii="Arial" w:eastAsia="Times New Roman" w:hAnsi="Arial" w:cs="Arial"/>
                <w:bCs/>
                <w:sz w:val="18"/>
                <w:szCs w:val="18"/>
                <w:lang w:val="en-GB" w:eastAsia="en-GB"/>
              </w:rPr>
              <w:t>7,29</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53,93</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7</w:t>
            </w:r>
            <w:r>
              <w:rPr>
                <w:rFonts w:ascii="Arial" w:eastAsia="Times New Roman" w:hAnsi="Arial" w:cs="Arial"/>
                <w:bCs/>
                <w:sz w:val="18"/>
                <w:szCs w:val="18"/>
                <w:lang w:val="en-US" w:eastAsia="en-GB"/>
              </w:rPr>
              <w:t>8,70</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73,33</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0F6278" w:rsidRPr="004E35D4" w:rsidRDefault="000F6278" w:rsidP="000F6278">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US" w:eastAsia="en-GB"/>
              </w:rPr>
              <w:t>73,31</w:t>
            </w:r>
            <w:r w:rsidRPr="00B603E5">
              <w:rPr>
                <w:rFonts w:ascii="Arial" w:eastAsia="Times New Roman" w:hAnsi="Arial" w:cs="Arial"/>
                <w:bCs/>
                <w:sz w:val="18"/>
                <w:szCs w:val="18"/>
                <w:lang w:val="en-GB" w:eastAsia="en-GB"/>
              </w:rPr>
              <w:t>%</w:t>
            </w:r>
          </w:p>
        </w:tc>
      </w:tr>
      <w:tr w:rsidR="005A32B0" w:rsidRPr="00BC3717" w:rsidTr="008025D7">
        <w:trPr>
          <w:trHeight w:val="235"/>
        </w:trPr>
        <w:tc>
          <w:tcPr>
            <w:tcW w:w="1530" w:type="pct"/>
            <w:shd w:val="clear" w:color="auto" w:fill="auto"/>
            <w:noWrap/>
            <w:vAlign w:val="bottom"/>
          </w:tcPr>
          <w:p w:rsidR="000F6278" w:rsidRPr="00BC3717" w:rsidRDefault="00BC3717" w:rsidP="000F6278">
            <w:pPr>
              <w:spacing w:after="0" w:line="240" w:lineRule="auto"/>
              <w:rPr>
                <w:rFonts w:ascii="Arial" w:eastAsia="Times New Roman" w:hAnsi="Arial" w:cs="Arial"/>
                <w:bCs/>
                <w:sz w:val="18"/>
                <w:szCs w:val="18"/>
              </w:rPr>
            </w:pPr>
            <w:r>
              <w:rPr>
                <w:rFonts w:ascii="Arial" w:eastAsia="Times New Roman" w:hAnsi="Arial" w:cs="Arial"/>
                <w:bCs/>
                <w:sz w:val="18"/>
                <w:szCs w:val="18"/>
              </w:rPr>
              <w:t>Κέρδος μετά φόρου προς κεφάλαια</w:t>
            </w:r>
          </w:p>
        </w:tc>
        <w:tc>
          <w:tcPr>
            <w:tcW w:w="557" w:type="pct"/>
            <w:vAlign w:val="bottom"/>
          </w:tcPr>
          <w:p w:rsidR="000F6278" w:rsidRPr="008025D7" w:rsidRDefault="00A11FCC" w:rsidP="000F6278">
            <w:pPr>
              <w:spacing w:after="0" w:line="240" w:lineRule="auto"/>
              <w:jc w:val="right"/>
              <w:rPr>
                <w:rFonts w:ascii="Arial" w:eastAsia="Times New Roman" w:hAnsi="Arial" w:cs="Arial"/>
                <w:bCs/>
                <w:sz w:val="18"/>
                <w:szCs w:val="18"/>
                <w:lang w:val="en-US" w:eastAsia="en-GB"/>
              </w:rPr>
            </w:pPr>
            <w:r>
              <w:rPr>
                <w:rFonts w:ascii="Arial" w:eastAsia="Times New Roman" w:hAnsi="Arial" w:cs="Arial"/>
                <w:bCs/>
                <w:sz w:val="18"/>
                <w:szCs w:val="18"/>
                <w:lang w:val="en-US" w:eastAsia="en-GB"/>
              </w:rPr>
              <w:t>8,17%</w:t>
            </w:r>
          </w:p>
        </w:tc>
        <w:tc>
          <w:tcPr>
            <w:tcW w:w="486" w:type="pct"/>
            <w:vAlign w:val="bottom"/>
          </w:tcPr>
          <w:p w:rsidR="000F6278" w:rsidRPr="008025D7" w:rsidRDefault="00A11FCC" w:rsidP="000F6278">
            <w:pPr>
              <w:spacing w:after="0" w:line="240" w:lineRule="auto"/>
              <w:jc w:val="right"/>
              <w:rPr>
                <w:rFonts w:ascii="Arial" w:eastAsia="Times New Roman" w:hAnsi="Arial" w:cs="Arial"/>
                <w:bCs/>
                <w:sz w:val="18"/>
                <w:szCs w:val="18"/>
                <w:lang w:val="en-US" w:eastAsia="en-GB"/>
              </w:rPr>
            </w:pPr>
            <w:r>
              <w:rPr>
                <w:rFonts w:ascii="Arial" w:eastAsia="Times New Roman" w:hAnsi="Arial" w:cs="Arial"/>
                <w:bCs/>
                <w:sz w:val="18"/>
                <w:szCs w:val="18"/>
                <w:lang w:val="en-US" w:eastAsia="en-GB"/>
              </w:rPr>
              <w:t>5,87%</w:t>
            </w:r>
          </w:p>
        </w:tc>
        <w:tc>
          <w:tcPr>
            <w:tcW w:w="485" w:type="pct"/>
            <w:shd w:val="clear" w:color="auto" w:fill="auto"/>
            <w:noWrap/>
            <w:vAlign w:val="bottom"/>
          </w:tcPr>
          <w:p w:rsidR="000F6278" w:rsidRPr="008025D7" w:rsidRDefault="001F5FC1" w:rsidP="000F6278">
            <w:pPr>
              <w:spacing w:after="0" w:line="240" w:lineRule="auto"/>
              <w:jc w:val="right"/>
              <w:rPr>
                <w:rFonts w:ascii="Arial" w:eastAsia="Times New Roman" w:hAnsi="Arial" w:cs="Arial"/>
                <w:bCs/>
                <w:sz w:val="18"/>
                <w:szCs w:val="18"/>
                <w:lang w:val="en-US" w:eastAsia="en-GB"/>
              </w:rPr>
            </w:pPr>
            <w:r>
              <w:rPr>
                <w:rFonts w:ascii="Arial" w:eastAsia="Times New Roman" w:hAnsi="Arial" w:cs="Arial"/>
                <w:bCs/>
                <w:sz w:val="18"/>
                <w:szCs w:val="18"/>
                <w:lang w:val="en-US" w:eastAsia="en-GB"/>
              </w:rPr>
              <w:t>12,05</w:t>
            </w:r>
            <w:r w:rsidR="00A11FCC">
              <w:rPr>
                <w:rFonts w:ascii="Arial" w:eastAsia="Times New Roman" w:hAnsi="Arial" w:cs="Arial"/>
                <w:bCs/>
                <w:sz w:val="18"/>
                <w:szCs w:val="18"/>
                <w:lang w:val="en-US" w:eastAsia="en-GB"/>
              </w:rPr>
              <w:t>%</w:t>
            </w:r>
          </w:p>
        </w:tc>
        <w:tc>
          <w:tcPr>
            <w:tcW w:w="486" w:type="pct"/>
            <w:shd w:val="clear" w:color="auto" w:fill="auto"/>
            <w:noWrap/>
            <w:vAlign w:val="bottom"/>
          </w:tcPr>
          <w:p w:rsidR="000F6278" w:rsidRPr="008025D7" w:rsidRDefault="00A11FCC" w:rsidP="000F6278">
            <w:pPr>
              <w:spacing w:after="0" w:line="240" w:lineRule="auto"/>
              <w:jc w:val="right"/>
              <w:rPr>
                <w:rFonts w:ascii="Arial" w:eastAsia="Times New Roman" w:hAnsi="Arial" w:cs="Arial"/>
                <w:bCs/>
                <w:sz w:val="18"/>
                <w:szCs w:val="18"/>
                <w:lang w:val="en-US" w:eastAsia="en-GB"/>
              </w:rPr>
            </w:pPr>
            <w:r>
              <w:rPr>
                <w:rFonts w:ascii="Arial" w:eastAsia="Times New Roman" w:hAnsi="Arial" w:cs="Arial"/>
                <w:bCs/>
                <w:sz w:val="18"/>
                <w:szCs w:val="18"/>
                <w:lang w:val="en-US" w:eastAsia="en-GB"/>
              </w:rPr>
              <w:t>6,07%</w:t>
            </w:r>
          </w:p>
        </w:tc>
        <w:tc>
          <w:tcPr>
            <w:tcW w:w="485" w:type="pct"/>
            <w:shd w:val="clear" w:color="auto" w:fill="auto"/>
            <w:noWrap/>
            <w:vAlign w:val="bottom"/>
          </w:tcPr>
          <w:p w:rsidR="000F6278" w:rsidRPr="008025D7" w:rsidRDefault="00A11FCC" w:rsidP="000F6278">
            <w:pPr>
              <w:spacing w:after="0" w:line="240" w:lineRule="auto"/>
              <w:jc w:val="right"/>
              <w:rPr>
                <w:rFonts w:ascii="Arial" w:eastAsia="Times New Roman" w:hAnsi="Arial" w:cs="Arial"/>
                <w:bCs/>
                <w:sz w:val="18"/>
                <w:szCs w:val="18"/>
                <w:lang w:val="en-US" w:eastAsia="en-GB"/>
              </w:rPr>
            </w:pPr>
            <w:r>
              <w:rPr>
                <w:rFonts w:ascii="Arial" w:eastAsia="Times New Roman" w:hAnsi="Arial" w:cs="Arial"/>
                <w:bCs/>
                <w:sz w:val="18"/>
                <w:szCs w:val="18"/>
                <w:lang w:val="en-US" w:eastAsia="en-GB"/>
              </w:rPr>
              <w:t>1,43%</w:t>
            </w:r>
          </w:p>
        </w:tc>
        <w:tc>
          <w:tcPr>
            <w:tcW w:w="486" w:type="pct"/>
            <w:shd w:val="clear" w:color="auto" w:fill="auto"/>
            <w:noWrap/>
            <w:vAlign w:val="bottom"/>
          </w:tcPr>
          <w:p w:rsidR="000F6278" w:rsidRPr="008025D7" w:rsidRDefault="00A11FCC" w:rsidP="000F6278">
            <w:pPr>
              <w:spacing w:after="0" w:line="240" w:lineRule="auto"/>
              <w:jc w:val="right"/>
              <w:rPr>
                <w:rFonts w:ascii="Arial" w:eastAsia="Times New Roman" w:hAnsi="Arial" w:cs="Arial"/>
                <w:bCs/>
                <w:sz w:val="18"/>
                <w:szCs w:val="18"/>
                <w:lang w:val="en-US" w:eastAsia="en-GB"/>
              </w:rPr>
            </w:pPr>
            <w:r>
              <w:rPr>
                <w:rFonts w:ascii="Arial" w:eastAsia="Times New Roman" w:hAnsi="Arial" w:cs="Arial"/>
                <w:bCs/>
                <w:sz w:val="18"/>
                <w:szCs w:val="18"/>
                <w:lang w:val="en-US" w:eastAsia="en-GB"/>
              </w:rPr>
              <w:t>6,81%</w:t>
            </w:r>
          </w:p>
        </w:tc>
        <w:tc>
          <w:tcPr>
            <w:tcW w:w="485" w:type="pct"/>
            <w:shd w:val="clear" w:color="auto" w:fill="auto"/>
            <w:noWrap/>
            <w:vAlign w:val="bottom"/>
          </w:tcPr>
          <w:p w:rsidR="000F6278" w:rsidRPr="00910971" w:rsidRDefault="00A11FCC" w:rsidP="000F6278">
            <w:pPr>
              <w:spacing w:after="0" w:line="240" w:lineRule="auto"/>
              <w:jc w:val="right"/>
              <w:rPr>
                <w:rFonts w:ascii="Arial" w:eastAsia="Times New Roman" w:hAnsi="Arial" w:cs="Arial"/>
                <w:bCs/>
                <w:sz w:val="18"/>
                <w:szCs w:val="18"/>
                <w:lang w:val="en-US" w:eastAsia="en-GB"/>
              </w:rPr>
            </w:pPr>
            <w:r>
              <w:rPr>
                <w:rFonts w:ascii="Arial" w:eastAsia="Times New Roman" w:hAnsi="Arial" w:cs="Arial"/>
                <w:bCs/>
                <w:sz w:val="18"/>
                <w:szCs w:val="18"/>
                <w:lang w:val="en-US" w:eastAsia="en-GB"/>
              </w:rPr>
              <w:t>4,03%</w:t>
            </w:r>
          </w:p>
        </w:tc>
      </w:tr>
    </w:tbl>
    <w:p w:rsidR="00A941A7" w:rsidRPr="00E12C27" w:rsidRDefault="00A941A7" w:rsidP="00A941A7">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Α: απόδοση βάσει των αποτελεσμάτων του έτους</w:t>
      </w:r>
    </w:p>
    <w:p w:rsidR="00A941A7" w:rsidRDefault="00A941A7" w:rsidP="008025D7">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Π: από</w:t>
      </w:r>
      <w:r>
        <w:rPr>
          <w:rFonts w:ascii="Arial" w:hAnsi="Arial" w:cs="Arial"/>
          <w:i/>
          <w:sz w:val="18"/>
          <w:szCs w:val="18"/>
        </w:rPr>
        <w:t>δοση βάσει προϋπολογισμού έτους</w:t>
      </w:r>
    </w:p>
    <w:p w:rsidR="00A941A7" w:rsidRPr="008025D7" w:rsidRDefault="00A941A7" w:rsidP="008025D7">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6Μ: ετησιοποιημένη απόδοση βάσει εξαμηνιαίων αποτελεσμάτων</w:t>
      </w:r>
    </w:p>
    <w:p w:rsidR="00A941A7" w:rsidRPr="008025D7" w:rsidRDefault="001D6A2A" w:rsidP="001D6A2A">
      <w:pPr>
        <w:pStyle w:val="NormalWeb"/>
        <w:shd w:val="clear" w:color="auto" w:fill="FFFFFF"/>
        <w:spacing w:after="0" w:afterAutospacing="0"/>
        <w:jc w:val="both"/>
        <w:rPr>
          <w:rFonts w:ascii="Arial" w:eastAsia="Calibri" w:hAnsi="Arial" w:cs="Arial"/>
          <w:sz w:val="20"/>
          <w:szCs w:val="22"/>
          <w:lang w:eastAsia="en-US"/>
        </w:rPr>
      </w:pPr>
      <w:r w:rsidRPr="008025D7">
        <w:rPr>
          <w:rFonts w:ascii="Arial" w:eastAsia="Calibri" w:hAnsi="Arial" w:cs="Arial"/>
          <w:sz w:val="20"/>
          <w:szCs w:val="22"/>
          <w:lang w:eastAsia="en-US"/>
        </w:rPr>
        <w:lastRenderedPageBreak/>
        <w:t>Ο δείκτης  απόδοση από δάνεια και χορηγήσεις ακολουθεί μια πτωτική πορεία τα τελευταία έτη κι αυτό οφείλε</w:t>
      </w:r>
      <w:r w:rsidR="00E647A6" w:rsidRPr="008025D7">
        <w:rPr>
          <w:rFonts w:ascii="Arial" w:eastAsia="Calibri" w:hAnsi="Arial" w:cs="Arial"/>
          <w:sz w:val="20"/>
          <w:szCs w:val="22"/>
          <w:lang w:eastAsia="en-US"/>
        </w:rPr>
        <w:t xml:space="preserve">ται στη μείωση των επιτοκίων χορηγήσεων τα τελευταία χρόνια. Η μείωση του κόστους καταθέσεων συνεχίζεται σε σύγκριση με το προηγούμενο έτος και αυτό ήταν αναμενόμενο αφού έχει αντικατοπτριστεί στα αποτελέσματα η μείωση των επιτοκίων καταθέσεων που έχουν λήξει με ψηλότερο επιτόκιο και ανανεωθήκαν με χαμηλότερο επιτόκιο σε σύγκριση με το προηγούμενο έτος. Επιπρόσθετα οι νέες καταθέσεις που έρχονται στον Οργανισμό είναι με σημαντικά χαμηλότερο κόστος σε σύγκριση με το παρελθόν. Το καθαρό επιτοκιακό περιθώριο βελτιώνεται ανά έτος κι αυτό οφείλεται στο ότι η μείωση του κόστους καταθέσεων είναι μεγαλύτερη από την όποια μείωση του δείκτη απόδοσης από τα δάνεια και χορηγήσεις. Ο δείκτης Κόστος/Έσοδα αντικατοπτρίζει την σχέση των εξόδων με τα καθαρά έσοδα.. Μέσω του πιο πάνω Δείκτη βλέπουμε ότι τα έξοδα μας θα αυξηθούν σε σύγκριση με τα καθαρά έσοδα που παραμένουν στα ίδια επίπεδα. Ο συγκεκριμένος δείκτης αυξάνεται </w:t>
      </w:r>
      <w:r w:rsidR="00A941A7" w:rsidRPr="008025D7">
        <w:rPr>
          <w:rFonts w:ascii="Arial" w:eastAsia="Calibri" w:hAnsi="Arial" w:cs="Arial"/>
          <w:sz w:val="20"/>
          <w:szCs w:val="22"/>
          <w:lang w:eastAsia="en-US"/>
        </w:rPr>
        <w:t xml:space="preserve">κυρίως </w:t>
      </w:r>
      <w:r w:rsidR="00E647A6" w:rsidRPr="008025D7">
        <w:rPr>
          <w:rFonts w:ascii="Arial" w:eastAsia="Calibri" w:hAnsi="Arial" w:cs="Arial"/>
          <w:sz w:val="20"/>
          <w:szCs w:val="22"/>
          <w:lang w:eastAsia="en-US"/>
        </w:rPr>
        <w:t>λόγω της Τεχνολογικής απεξάρτηση</w:t>
      </w:r>
      <w:r w:rsidR="00A941A7" w:rsidRPr="008025D7">
        <w:rPr>
          <w:rFonts w:ascii="Arial" w:eastAsia="Calibri" w:hAnsi="Arial" w:cs="Arial"/>
          <w:sz w:val="20"/>
          <w:szCs w:val="22"/>
          <w:lang w:eastAsia="en-US"/>
        </w:rPr>
        <w:t xml:space="preserve">ς το οποίο φέρει ψηλότερο κόστος σε σύγκριση με την υφιστάμενη κατάσταση. Επίσης, στα επόμενα έτη αναμένεται να πληρωθούν θέσεις οι οποίες είναι κενές. Αξίζει να αναφερθεί ότι ο συγκεκριμένος δείκτης ενδέχεται να είναι βελτιωμένος καθώς δεν έχουν συνυπολογιστεί οποιαδήποτε οφέλη ενδέχεται ο ΟΧΣ να εξοικονομήσει λόγω της τεχνολογικής αναβάθμισης καθώς αυτό δεν είναι δυνατόν να υπολογιστεί σήμερα.  </w:t>
      </w:r>
    </w:p>
    <w:p w:rsidR="008505F9" w:rsidRPr="0027047B" w:rsidRDefault="008505F9" w:rsidP="008505F9">
      <w:pPr>
        <w:pStyle w:val="ListParagraph"/>
        <w:spacing w:after="120" w:line="360" w:lineRule="auto"/>
        <w:ind w:left="0"/>
        <w:jc w:val="both"/>
        <w:rPr>
          <w:rFonts w:ascii="Arial" w:eastAsia="Times New Roman" w:hAnsi="Arial" w:cs="Arial"/>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1050"/>
        <w:gridCol w:w="916"/>
        <w:gridCol w:w="915"/>
        <w:gridCol w:w="917"/>
        <w:gridCol w:w="915"/>
        <w:gridCol w:w="917"/>
        <w:gridCol w:w="915"/>
      </w:tblGrid>
      <w:tr w:rsidR="00E338F1" w:rsidRPr="00012686" w:rsidTr="008025D7">
        <w:trPr>
          <w:trHeight w:val="199"/>
        </w:trPr>
        <w:tc>
          <w:tcPr>
            <w:tcW w:w="1530" w:type="pct"/>
            <w:shd w:val="clear" w:color="auto" w:fill="auto"/>
            <w:noWrap/>
            <w:vAlign w:val="bottom"/>
            <w:hideMark/>
          </w:tcPr>
          <w:p w:rsidR="00E338F1" w:rsidRDefault="00E338F1" w:rsidP="001D6A2A">
            <w:pPr>
              <w:spacing w:after="0" w:line="240" w:lineRule="auto"/>
              <w:jc w:val="right"/>
              <w:rPr>
                <w:rFonts w:ascii="Arial" w:eastAsia="Times New Roman" w:hAnsi="Arial" w:cs="Arial"/>
                <w:b/>
                <w:bCs/>
                <w:sz w:val="18"/>
                <w:szCs w:val="18"/>
                <w:u w:val="single"/>
              </w:rPr>
            </w:pPr>
          </w:p>
          <w:p w:rsidR="00E338F1" w:rsidRPr="004E35D4" w:rsidRDefault="00E338F1" w:rsidP="001D6A2A">
            <w:pPr>
              <w:spacing w:after="0" w:line="240" w:lineRule="auto"/>
              <w:jc w:val="right"/>
              <w:rPr>
                <w:rFonts w:ascii="Arial" w:eastAsia="Times New Roman" w:hAnsi="Arial" w:cs="Arial"/>
                <w:b/>
                <w:bCs/>
                <w:sz w:val="18"/>
                <w:szCs w:val="18"/>
                <w:u w:val="single"/>
              </w:rPr>
            </w:pPr>
          </w:p>
        </w:tc>
        <w:tc>
          <w:tcPr>
            <w:tcW w:w="557" w:type="pct"/>
            <w:vAlign w:val="bottom"/>
          </w:tcPr>
          <w:p w:rsidR="00E338F1" w:rsidRPr="004E35D4" w:rsidRDefault="00E338F1" w:rsidP="001D6A2A">
            <w:pPr>
              <w:spacing w:after="0" w:line="240" w:lineRule="auto"/>
              <w:jc w:val="right"/>
              <w:rPr>
                <w:rFonts w:ascii="Arial" w:eastAsia="Times New Roman" w:hAnsi="Arial" w:cs="Arial"/>
                <w:b/>
                <w:bCs/>
                <w:sz w:val="18"/>
                <w:szCs w:val="18"/>
                <w:u w:val="single"/>
                <w:lang w:val="en-US"/>
              </w:rPr>
            </w:pPr>
            <w:r w:rsidRPr="00342288">
              <w:rPr>
                <w:rFonts w:ascii="Arial" w:eastAsia="Times New Roman" w:hAnsi="Arial" w:cs="Arial"/>
                <w:b/>
                <w:bCs/>
                <w:sz w:val="18"/>
                <w:szCs w:val="18"/>
                <w:u w:val="single"/>
                <w:lang w:val="en-US"/>
              </w:rPr>
              <w:t>20</w:t>
            </w:r>
            <w:r>
              <w:rPr>
                <w:rFonts w:ascii="Arial" w:eastAsia="Times New Roman" w:hAnsi="Arial" w:cs="Arial"/>
                <w:b/>
                <w:bCs/>
                <w:sz w:val="18"/>
                <w:szCs w:val="18"/>
                <w:u w:val="single"/>
              </w:rPr>
              <w:t>19</w:t>
            </w:r>
            <w:r w:rsidRPr="004E35D4">
              <w:rPr>
                <w:rFonts w:ascii="Arial" w:eastAsia="Times New Roman" w:hAnsi="Arial" w:cs="Arial"/>
                <w:b/>
                <w:bCs/>
                <w:sz w:val="18"/>
                <w:szCs w:val="18"/>
                <w:u w:val="single"/>
              </w:rPr>
              <w:t xml:space="preserve"> Α</w:t>
            </w:r>
          </w:p>
        </w:tc>
        <w:tc>
          <w:tcPr>
            <w:tcW w:w="486" w:type="pct"/>
            <w:vAlign w:val="bottom"/>
          </w:tcPr>
          <w:p w:rsidR="00E338F1" w:rsidRDefault="00E338F1" w:rsidP="001D6A2A">
            <w:pPr>
              <w:spacing w:after="0" w:line="240" w:lineRule="auto"/>
              <w:jc w:val="right"/>
              <w:rPr>
                <w:rFonts w:ascii="Arial" w:eastAsia="Times New Roman" w:hAnsi="Arial" w:cs="Arial"/>
                <w:b/>
                <w:bCs/>
                <w:sz w:val="18"/>
                <w:szCs w:val="18"/>
                <w:u w:val="single"/>
              </w:rPr>
            </w:pPr>
            <w:r>
              <w:rPr>
                <w:rFonts w:ascii="Arial" w:eastAsia="Times New Roman" w:hAnsi="Arial" w:cs="Arial"/>
                <w:b/>
                <w:bCs/>
                <w:sz w:val="18"/>
                <w:szCs w:val="18"/>
                <w:u w:val="single"/>
                <w:lang w:val="en-US"/>
              </w:rPr>
              <w:t>2020</w:t>
            </w:r>
            <w:r w:rsidRPr="004E35D4">
              <w:rPr>
                <w:rFonts w:ascii="Arial" w:eastAsia="Times New Roman" w:hAnsi="Arial" w:cs="Arial"/>
                <w:b/>
                <w:bCs/>
                <w:sz w:val="18"/>
                <w:szCs w:val="18"/>
                <w:u w:val="single"/>
                <w:lang w:val="en-US"/>
              </w:rPr>
              <w:t xml:space="preserve"> A</w:t>
            </w:r>
          </w:p>
        </w:tc>
        <w:tc>
          <w:tcPr>
            <w:tcW w:w="485" w:type="pct"/>
            <w:shd w:val="clear" w:color="auto" w:fill="auto"/>
            <w:noWrap/>
            <w:vAlign w:val="bottom"/>
            <w:hideMark/>
          </w:tcPr>
          <w:p w:rsidR="00E338F1" w:rsidRPr="00DA0929" w:rsidRDefault="00E338F1" w:rsidP="001D6A2A">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rPr>
              <w:t>6Μ 2021 Α</w:t>
            </w:r>
          </w:p>
        </w:tc>
        <w:tc>
          <w:tcPr>
            <w:tcW w:w="486" w:type="pct"/>
            <w:shd w:val="clear" w:color="auto" w:fill="auto"/>
            <w:noWrap/>
            <w:vAlign w:val="bottom"/>
            <w:hideMark/>
          </w:tcPr>
          <w:p w:rsidR="00E338F1" w:rsidRPr="00DA0929" w:rsidRDefault="00E338F1" w:rsidP="001D6A2A">
            <w:pPr>
              <w:spacing w:after="0" w:line="240" w:lineRule="auto"/>
              <w:jc w:val="right"/>
              <w:rPr>
                <w:rFonts w:ascii="Arial" w:eastAsia="Times New Roman" w:hAnsi="Arial" w:cs="Arial"/>
                <w:b/>
                <w:bCs/>
                <w:sz w:val="18"/>
                <w:szCs w:val="18"/>
                <w:u w:val="single"/>
              </w:rPr>
            </w:pPr>
            <w:r w:rsidRPr="004E35D4">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1</w:t>
            </w:r>
            <w:r w:rsidRPr="004E35D4">
              <w:rPr>
                <w:rFonts w:ascii="Arial" w:eastAsia="Times New Roman" w:hAnsi="Arial" w:cs="Arial"/>
                <w:b/>
                <w:bCs/>
                <w:sz w:val="18"/>
                <w:szCs w:val="18"/>
                <w:u w:val="single"/>
              </w:rPr>
              <w:t xml:space="preserve"> Π</w:t>
            </w:r>
          </w:p>
        </w:tc>
        <w:tc>
          <w:tcPr>
            <w:tcW w:w="485" w:type="pct"/>
            <w:shd w:val="clear" w:color="auto" w:fill="auto"/>
            <w:noWrap/>
            <w:vAlign w:val="bottom"/>
            <w:hideMark/>
          </w:tcPr>
          <w:p w:rsidR="00E338F1" w:rsidRPr="00A02311" w:rsidRDefault="00E338F1" w:rsidP="001D6A2A">
            <w:pPr>
              <w:spacing w:after="0" w:line="240" w:lineRule="auto"/>
              <w:jc w:val="right"/>
              <w:rPr>
                <w:rFonts w:ascii="Arial" w:eastAsia="Times New Roman" w:hAnsi="Arial" w:cs="Arial"/>
                <w:b/>
                <w:bCs/>
                <w:sz w:val="18"/>
                <w:szCs w:val="18"/>
                <w:u w:val="single"/>
              </w:rPr>
            </w:pPr>
            <w:r w:rsidRPr="00342288">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2</w:t>
            </w:r>
            <w:r w:rsidRPr="00342288">
              <w:rPr>
                <w:rFonts w:ascii="Arial" w:eastAsia="Times New Roman" w:hAnsi="Arial" w:cs="Arial"/>
                <w:b/>
                <w:bCs/>
                <w:sz w:val="18"/>
                <w:szCs w:val="18"/>
                <w:u w:val="single"/>
              </w:rPr>
              <w:t xml:space="preserve"> Π</w:t>
            </w:r>
          </w:p>
        </w:tc>
        <w:tc>
          <w:tcPr>
            <w:tcW w:w="486" w:type="pct"/>
            <w:shd w:val="clear" w:color="auto" w:fill="auto"/>
            <w:noWrap/>
            <w:vAlign w:val="bottom"/>
            <w:hideMark/>
          </w:tcPr>
          <w:p w:rsidR="00E338F1" w:rsidRPr="00D93B0A" w:rsidRDefault="00E338F1" w:rsidP="001D6A2A">
            <w:pPr>
              <w:spacing w:after="0" w:line="240" w:lineRule="auto"/>
              <w:jc w:val="right"/>
              <w:rPr>
                <w:rFonts w:ascii="Arial" w:eastAsia="Times New Roman" w:hAnsi="Arial" w:cs="Arial"/>
                <w:b/>
                <w:bCs/>
                <w:sz w:val="18"/>
                <w:szCs w:val="18"/>
                <w:u w:val="single"/>
              </w:rPr>
            </w:pPr>
            <w:r w:rsidRPr="00F01D07">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3</w:t>
            </w:r>
            <w:r w:rsidRPr="00F01D07">
              <w:rPr>
                <w:rFonts w:ascii="Arial" w:eastAsia="Times New Roman" w:hAnsi="Arial" w:cs="Arial"/>
                <w:b/>
                <w:bCs/>
                <w:sz w:val="18"/>
                <w:szCs w:val="18"/>
                <w:u w:val="single"/>
              </w:rPr>
              <w:t>Π</w:t>
            </w:r>
          </w:p>
        </w:tc>
        <w:tc>
          <w:tcPr>
            <w:tcW w:w="485" w:type="pct"/>
            <w:shd w:val="clear" w:color="auto" w:fill="auto"/>
            <w:noWrap/>
            <w:vAlign w:val="bottom"/>
            <w:hideMark/>
          </w:tcPr>
          <w:p w:rsidR="00E338F1" w:rsidRPr="008B2A39" w:rsidRDefault="00E338F1" w:rsidP="001D6A2A">
            <w:pPr>
              <w:spacing w:after="0" w:line="240" w:lineRule="auto"/>
              <w:jc w:val="right"/>
              <w:rPr>
                <w:rFonts w:ascii="Arial" w:eastAsia="Times New Roman" w:hAnsi="Arial" w:cs="Arial"/>
                <w:b/>
                <w:bCs/>
                <w:sz w:val="18"/>
                <w:szCs w:val="18"/>
                <w:u w:val="single"/>
              </w:rPr>
            </w:pPr>
            <w:r w:rsidRPr="00D93B0A">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4</w:t>
            </w:r>
            <w:r w:rsidRPr="008B2A39">
              <w:rPr>
                <w:rFonts w:ascii="Arial" w:eastAsia="Times New Roman" w:hAnsi="Arial" w:cs="Arial"/>
                <w:b/>
                <w:bCs/>
                <w:sz w:val="18"/>
                <w:szCs w:val="18"/>
                <w:u w:val="single"/>
              </w:rPr>
              <w:t xml:space="preserve"> Π</w:t>
            </w:r>
          </w:p>
        </w:tc>
      </w:tr>
      <w:tr w:rsidR="00E338F1" w:rsidRPr="004E35D4" w:rsidTr="001D6A2A">
        <w:trPr>
          <w:trHeight w:val="235"/>
        </w:trPr>
        <w:tc>
          <w:tcPr>
            <w:tcW w:w="5000" w:type="pct"/>
            <w:gridSpan w:val="8"/>
            <w:shd w:val="clear" w:color="auto" w:fill="F2F2F2" w:themeFill="background1" w:themeFillShade="F2"/>
            <w:noWrap/>
            <w:vAlign w:val="bottom"/>
          </w:tcPr>
          <w:p w:rsidR="00E338F1" w:rsidRPr="00EF74BC" w:rsidRDefault="00E338F1" w:rsidP="001D6A2A">
            <w:pPr>
              <w:spacing w:after="0" w:line="240" w:lineRule="auto"/>
              <w:rPr>
                <w:rFonts w:ascii="Arial" w:eastAsia="Times New Roman" w:hAnsi="Arial" w:cs="Arial"/>
                <w:b/>
                <w:bCs/>
                <w:sz w:val="18"/>
                <w:szCs w:val="18"/>
                <w:u w:val="single"/>
                <w:lang w:eastAsia="en-GB"/>
              </w:rPr>
            </w:pPr>
            <w:r w:rsidRPr="00EF74BC">
              <w:rPr>
                <w:rFonts w:ascii="Arial" w:eastAsia="Times New Roman" w:hAnsi="Arial" w:cs="Arial"/>
                <w:b/>
                <w:bCs/>
                <w:sz w:val="18"/>
                <w:szCs w:val="18"/>
                <w:u w:val="single"/>
                <w:lang w:eastAsia="en-GB"/>
              </w:rPr>
              <w:t>ΡΕΥΣΤΟΤΗΤΑΣ</w:t>
            </w:r>
          </w:p>
        </w:tc>
      </w:tr>
      <w:tr w:rsidR="00E338F1" w:rsidRPr="00012686" w:rsidTr="008025D7">
        <w:trPr>
          <w:trHeight w:val="199"/>
        </w:trPr>
        <w:tc>
          <w:tcPr>
            <w:tcW w:w="1530" w:type="pct"/>
            <w:shd w:val="clear" w:color="auto" w:fill="auto"/>
            <w:noWrap/>
            <w:vAlign w:val="bottom"/>
            <w:hideMark/>
          </w:tcPr>
          <w:p w:rsidR="00E338F1" w:rsidRPr="004E35D4" w:rsidRDefault="00E338F1" w:rsidP="001D6A2A">
            <w:pPr>
              <w:spacing w:after="0" w:line="240" w:lineRule="auto"/>
              <w:rPr>
                <w:rFonts w:ascii="Arial" w:eastAsia="Times New Roman" w:hAnsi="Arial" w:cs="Arial"/>
                <w:b/>
                <w:bCs/>
                <w:sz w:val="18"/>
                <w:szCs w:val="18"/>
              </w:rPr>
            </w:pPr>
            <w:r w:rsidRPr="00B603E5">
              <w:rPr>
                <w:rFonts w:ascii="Arial" w:hAnsi="Arial" w:cs="Arial"/>
                <w:bCs/>
                <w:sz w:val="18"/>
                <w:szCs w:val="18"/>
              </w:rPr>
              <w:t>Μεταβολή μεικτού χαρτοφυλακίου Δανείων και χορηγήσεις σε πελάτες</w:t>
            </w:r>
          </w:p>
        </w:tc>
        <w:tc>
          <w:tcPr>
            <w:tcW w:w="557" w:type="pct"/>
            <w:vAlign w:val="bottom"/>
          </w:tcPr>
          <w:p w:rsidR="00E338F1" w:rsidRPr="00815CF7" w:rsidRDefault="00E338F1" w:rsidP="001D6A2A">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56%</w:t>
            </w:r>
          </w:p>
        </w:tc>
        <w:tc>
          <w:tcPr>
            <w:tcW w:w="486" w:type="pct"/>
            <w:vAlign w:val="bottom"/>
          </w:tcPr>
          <w:p w:rsidR="00E338F1" w:rsidRPr="00B603E5" w:rsidRDefault="00E338F1"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0,31%</w:t>
            </w:r>
          </w:p>
        </w:tc>
        <w:tc>
          <w:tcPr>
            <w:tcW w:w="485"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-0</w:t>
            </w:r>
            <w:r>
              <w:rPr>
                <w:rFonts w:ascii="Arial" w:eastAsia="Times New Roman" w:hAnsi="Arial" w:cs="Arial"/>
                <w:bCs/>
                <w:sz w:val="18"/>
                <w:szCs w:val="18"/>
                <w:lang w:val="en-GB" w:eastAsia="en-GB"/>
              </w:rPr>
              <w:t>,60</w:t>
            </w:r>
            <w:r w:rsidRPr="00B603E5">
              <w:rPr>
                <w:rFonts w:ascii="Arial" w:eastAsia="Times New Roman" w:hAnsi="Arial" w:cs="Arial"/>
                <w:bCs/>
                <w:sz w:val="18"/>
                <w:szCs w:val="18"/>
                <w:lang w:val="en-GB" w:eastAsia="en-GB"/>
              </w:rPr>
              <w:t>%</w:t>
            </w:r>
          </w:p>
        </w:tc>
        <w:tc>
          <w:tcPr>
            <w:tcW w:w="486" w:type="pct"/>
            <w:shd w:val="clear" w:color="auto" w:fill="auto"/>
            <w:noWrap/>
            <w:vAlign w:val="bottom"/>
          </w:tcPr>
          <w:p w:rsidR="00E338F1" w:rsidRPr="00880E70" w:rsidRDefault="00E338F1"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-2,46</w:t>
            </w:r>
            <w:r w:rsidRPr="00B603E5">
              <w:rPr>
                <w:rFonts w:ascii="Arial" w:eastAsia="Times New Roman" w:hAnsi="Arial" w:cs="Arial"/>
                <w:bCs/>
                <w:sz w:val="18"/>
                <w:szCs w:val="18"/>
                <w:lang w:val="en-GB" w:eastAsia="en-GB"/>
              </w:rPr>
              <w:t>%</w:t>
            </w:r>
          </w:p>
        </w:tc>
        <w:tc>
          <w:tcPr>
            <w:tcW w:w="485" w:type="pct"/>
            <w:shd w:val="clear" w:color="auto" w:fill="auto"/>
            <w:noWrap/>
            <w:vAlign w:val="bottom"/>
          </w:tcPr>
          <w:p w:rsidR="00E338F1" w:rsidRPr="004E35D4" w:rsidRDefault="00E338F1"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-0,01</w:t>
            </w:r>
            <w:r w:rsidRPr="00B603E5">
              <w:rPr>
                <w:rFonts w:ascii="Arial" w:eastAsia="Times New Roman" w:hAnsi="Arial" w:cs="Arial"/>
                <w:bCs/>
                <w:sz w:val="18"/>
                <w:szCs w:val="18"/>
                <w:lang w:val="en-GB" w:eastAsia="en-GB"/>
              </w:rPr>
              <w:t>%</w:t>
            </w:r>
          </w:p>
        </w:tc>
        <w:tc>
          <w:tcPr>
            <w:tcW w:w="486" w:type="pct"/>
            <w:shd w:val="clear" w:color="auto" w:fill="auto"/>
            <w:noWrap/>
            <w:vAlign w:val="bottom"/>
          </w:tcPr>
          <w:p w:rsidR="00E338F1" w:rsidRPr="004E35D4" w:rsidRDefault="00E338F1"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-0,29</w:t>
            </w:r>
            <w:r w:rsidRPr="00B603E5">
              <w:rPr>
                <w:rFonts w:ascii="Arial" w:eastAsia="Times New Roman" w:hAnsi="Arial" w:cs="Arial"/>
                <w:bCs/>
                <w:sz w:val="18"/>
                <w:szCs w:val="18"/>
                <w:lang w:val="en-GB" w:eastAsia="en-GB"/>
              </w:rPr>
              <w:t>%</w:t>
            </w:r>
          </w:p>
        </w:tc>
        <w:tc>
          <w:tcPr>
            <w:tcW w:w="485" w:type="pct"/>
            <w:shd w:val="clear" w:color="auto" w:fill="auto"/>
            <w:noWrap/>
            <w:vAlign w:val="bottom"/>
          </w:tcPr>
          <w:p w:rsidR="00E338F1" w:rsidRPr="004E35D4" w:rsidRDefault="00E338F1"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0,07</w:t>
            </w:r>
            <w:r w:rsidRPr="00B603E5">
              <w:rPr>
                <w:rFonts w:ascii="Arial" w:eastAsia="Times New Roman" w:hAnsi="Arial" w:cs="Arial"/>
                <w:bCs/>
                <w:sz w:val="18"/>
                <w:szCs w:val="18"/>
                <w:lang w:val="en-GB" w:eastAsia="en-GB"/>
              </w:rPr>
              <w:t>%</w:t>
            </w:r>
          </w:p>
        </w:tc>
      </w:tr>
      <w:tr w:rsidR="00E338F1" w:rsidRPr="00012686" w:rsidTr="008025D7">
        <w:trPr>
          <w:trHeight w:val="235"/>
        </w:trPr>
        <w:tc>
          <w:tcPr>
            <w:tcW w:w="1530" w:type="pct"/>
            <w:shd w:val="clear" w:color="auto" w:fill="auto"/>
            <w:noWrap/>
            <w:vAlign w:val="bottom"/>
            <w:hideMark/>
          </w:tcPr>
          <w:p w:rsidR="00E338F1" w:rsidRPr="004E35D4" w:rsidRDefault="005B080A" w:rsidP="001D6A2A">
            <w:pPr>
              <w:spacing w:after="0" w:line="240" w:lineRule="auto"/>
              <w:rPr>
                <w:rFonts w:ascii="Arial" w:eastAsia="Times New Roman" w:hAnsi="Arial" w:cs="Arial"/>
                <w:b/>
                <w:bCs/>
                <w:sz w:val="18"/>
                <w:szCs w:val="18"/>
                <w:lang w:val="en-US"/>
              </w:rPr>
            </w:pPr>
            <w:r>
              <w:rPr>
                <w:rFonts w:ascii="Arial" w:hAnsi="Arial" w:cs="Arial"/>
                <w:bCs/>
                <w:sz w:val="18"/>
                <w:szCs w:val="18"/>
              </w:rPr>
              <w:t>Μεταβολή καταθέσεων από</w:t>
            </w:r>
            <w:r w:rsidR="00E338F1" w:rsidRPr="00B603E5">
              <w:rPr>
                <w:rFonts w:ascii="Arial" w:hAnsi="Arial" w:cs="Arial"/>
                <w:bCs/>
                <w:sz w:val="18"/>
                <w:szCs w:val="18"/>
              </w:rPr>
              <w:t xml:space="preserve"> πελάτες</w:t>
            </w:r>
          </w:p>
        </w:tc>
        <w:tc>
          <w:tcPr>
            <w:tcW w:w="557" w:type="pct"/>
            <w:vAlign w:val="bottom"/>
          </w:tcPr>
          <w:p w:rsidR="00E338F1" w:rsidRPr="00815CF7" w:rsidRDefault="00E338F1" w:rsidP="001D6A2A">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1</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11%</w:t>
            </w:r>
          </w:p>
        </w:tc>
        <w:tc>
          <w:tcPr>
            <w:tcW w:w="486" w:type="pct"/>
            <w:vAlign w:val="bottom"/>
          </w:tcPr>
          <w:p w:rsidR="00E338F1" w:rsidRPr="00B603E5" w:rsidRDefault="00E338F1"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1,91%</w:t>
            </w:r>
          </w:p>
        </w:tc>
        <w:tc>
          <w:tcPr>
            <w:tcW w:w="485"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w:t>
            </w:r>
            <w:r>
              <w:rPr>
                <w:rFonts w:ascii="Arial" w:eastAsia="Times New Roman" w:hAnsi="Arial" w:cs="Arial"/>
                <w:bCs/>
                <w:sz w:val="18"/>
                <w:szCs w:val="18"/>
                <w:lang w:val="en-GB" w:eastAsia="en-GB"/>
              </w:rPr>
              <w:t>4,06</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-3</w:t>
            </w:r>
            <w:r>
              <w:rPr>
                <w:rFonts w:ascii="Arial" w:eastAsia="Times New Roman" w:hAnsi="Arial" w:cs="Arial"/>
                <w:bCs/>
                <w:sz w:val="18"/>
                <w:szCs w:val="18"/>
                <w:lang w:val="en-GB" w:eastAsia="en-GB"/>
              </w:rPr>
              <w:t>,50</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-1,07</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0,</w:t>
            </w:r>
            <w:r w:rsidRPr="00B603E5">
              <w:rPr>
                <w:rFonts w:ascii="Arial" w:eastAsia="Times New Roman" w:hAnsi="Arial" w:cs="Arial"/>
                <w:bCs/>
                <w:sz w:val="18"/>
                <w:szCs w:val="18"/>
                <w:lang w:val="en-GB" w:eastAsia="en-GB"/>
              </w:rPr>
              <w:t>00%</w:t>
            </w:r>
          </w:p>
        </w:tc>
        <w:tc>
          <w:tcPr>
            <w:tcW w:w="485"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0,05</w:t>
            </w:r>
            <w:r w:rsidRPr="00B603E5">
              <w:rPr>
                <w:rFonts w:ascii="Arial" w:eastAsia="Times New Roman" w:hAnsi="Arial" w:cs="Arial"/>
                <w:bCs/>
                <w:sz w:val="18"/>
                <w:szCs w:val="18"/>
                <w:lang w:val="en-GB" w:eastAsia="en-GB"/>
              </w:rPr>
              <w:t>%</w:t>
            </w:r>
          </w:p>
        </w:tc>
      </w:tr>
      <w:tr w:rsidR="00E338F1" w:rsidRPr="00012686" w:rsidTr="008025D7">
        <w:trPr>
          <w:trHeight w:val="235"/>
        </w:trPr>
        <w:tc>
          <w:tcPr>
            <w:tcW w:w="1530" w:type="pct"/>
            <w:shd w:val="clear" w:color="auto" w:fill="auto"/>
            <w:noWrap/>
            <w:vAlign w:val="bottom"/>
            <w:hideMark/>
          </w:tcPr>
          <w:p w:rsidR="00E338F1" w:rsidRPr="004E35D4" w:rsidRDefault="00E338F1" w:rsidP="001D6A2A">
            <w:pPr>
              <w:spacing w:after="0" w:line="240" w:lineRule="auto"/>
              <w:rPr>
                <w:rFonts w:ascii="Arial" w:eastAsia="Times New Roman" w:hAnsi="Arial" w:cs="Arial"/>
                <w:b/>
                <w:bCs/>
                <w:sz w:val="18"/>
                <w:szCs w:val="18"/>
              </w:rPr>
            </w:pPr>
            <w:r w:rsidRPr="00B603E5">
              <w:rPr>
                <w:rFonts w:ascii="Arial" w:hAnsi="Arial" w:cs="Arial"/>
                <w:bCs/>
                <w:sz w:val="18"/>
                <w:szCs w:val="18"/>
              </w:rPr>
              <w:t>Μεικτά Δάνεια και χορηγήσεις/Καταθέσεις πελατών</w:t>
            </w:r>
          </w:p>
        </w:tc>
        <w:tc>
          <w:tcPr>
            <w:tcW w:w="557" w:type="pct"/>
            <w:vAlign w:val="bottom"/>
          </w:tcPr>
          <w:p w:rsidR="00E338F1" w:rsidRPr="00815CF7" w:rsidRDefault="00E338F1" w:rsidP="001D6A2A">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65</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94%</w:t>
            </w:r>
          </w:p>
        </w:tc>
        <w:tc>
          <w:tcPr>
            <w:tcW w:w="486" w:type="pct"/>
            <w:vAlign w:val="bottom"/>
          </w:tcPr>
          <w:p w:rsidR="00E338F1" w:rsidRPr="00B603E5" w:rsidRDefault="00E338F1"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64,91%</w:t>
            </w:r>
          </w:p>
        </w:tc>
        <w:tc>
          <w:tcPr>
            <w:tcW w:w="485"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66,05</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6</w:t>
            </w:r>
            <w:r>
              <w:rPr>
                <w:rFonts w:ascii="Arial" w:eastAsia="Times New Roman" w:hAnsi="Arial" w:cs="Arial"/>
                <w:bCs/>
                <w:sz w:val="18"/>
                <w:szCs w:val="18"/>
                <w:lang w:val="en-GB" w:eastAsia="en-GB"/>
              </w:rPr>
              <w:t>5,61</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6</w:t>
            </w:r>
            <w:r>
              <w:rPr>
                <w:rFonts w:ascii="Arial" w:eastAsia="Times New Roman" w:hAnsi="Arial" w:cs="Arial"/>
                <w:bCs/>
                <w:sz w:val="18"/>
                <w:szCs w:val="18"/>
                <w:lang w:val="en-GB" w:eastAsia="en-GB"/>
              </w:rPr>
              <w:t>6,31</w:t>
            </w:r>
            <w:r w:rsidRPr="00B603E5">
              <w:rPr>
                <w:rFonts w:ascii="Arial" w:eastAsia="Times New Roman" w:hAnsi="Arial" w:cs="Arial"/>
                <w:bCs/>
                <w:sz w:val="18"/>
                <w:szCs w:val="18"/>
                <w:lang w:val="en-GB" w:eastAsia="en-GB"/>
              </w:rPr>
              <w:t>%</w:t>
            </w:r>
          </w:p>
        </w:tc>
        <w:tc>
          <w:tcPr>
            <w:tcW w:w="486"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6</w:t>
            </w:r>
            <w:r>
              <w:rPr>
                <w:rFonts w:ascii="Arial" w:eastAsia="Times New Roman" w:hAnsi="Arial" w:cs="Arial"/>
                <w:bCs/>
                <w:sz w:val="18"/>
                <w:szCs w:val="18"/>
                <w:lang w:val="en-GB" w:eastAsia="en-GB"/>
              </w:rPr>
              <w:t>6,12</w:t>
            </w:r>
            <w:r w:rsidRPr="00B603E5">
              <w:rPr>
                <w:rFonts w:ascii="Arial" w:eastAsia="Times New Roman" w:hAnsi="Arial" w:cs="Arial"/>
                <w:bCs/>
                <w:sz w:val="18"/>
                <w:szCs w:val="18"/>
                <w:lang w:val="en-GB" w:eastAsia="en-GB"/>
              </w:rPr>
              <w:t>%</w:t>
            </w:r>
          </w:p>
        </w:tc>
        <w:tc>
          <w:tcPr>
            <w:tcW w:w="485" w:type="pct"/>
            <w:shd w:val="clear" w:color="auto" w:fill="auto"/>
            <w:noWrap/>
            <w:vAlign w:val="bottom"/>
            <w:hideMark/>
          </w:tcPr>
          <w:p w:rsidR="00E338F1" w:rsidRPr="004E35D4" w:rsidRDefault="00E338F1" w:rsidP="001D6A2A">
            <w:pPr>
              <w:spacing w:after="0" w:line="240" w:lineRule="auto"/>
              <w:jc w:val="right"/>
              <w:rPr>
                <w:rFonts w:ascii="Arial" w:eastAsia="Times New Roman" w:hAnsi="Arial" w:cs="Arial"/>
                <w:bCs/>
                <w:sz w:val="18"/>
                <w:szCs w:val="18"/>
                <w:lang w:val="en-US"/>
              </w:rPr>
            </w:pPr>
            <w:r w:rsidRPr="00B603E5">
              <w:rPr>
                <w:rFonts w:ascii="Arial" w:eastAsia="Times New Roman" w:hAnsi="Arial" w:cs="Arial"/>
                <w:bCs/>
                <w:sz w:val="18"/>
                <w:szCs w:val="18"/>
                <w:lang w:val="en-GB" w:eastAsia="en-GB"/>
              </w:rPr>
              <w:t>6</w:t>
            </w:r>
            <w:r>
              <w:rPr>
                <w:rFonts w:ascii="Arial" w:eastAsia="Times New Roman" w:hAnsi="Arial" w:cs="Arial"/>
                <w:bCs/>
                <w:sz w:val="18"/>
                <w:szCs w:val="18"/>
                <w:lang w:val="en-GB" w:eastAsia="en-GB"/>
              </w:rPr>
              <w:t>6,13</w:t>
            </w:r>
            <w:r w:rsidRPr="00B603E5">
              <w:rPr>
                <w:rFonts w:ascii="Arial" w:eastAsia="Times New Roman" w:hAnsi="Arial" w:cs="Arial"/>
                <w:bCs/>
                <w:sz w:val="18"/>
                <w:szCs w:val="18"/>
                <w:lang w:val="en-GB" w:eastAsia="en-GB"/>
              </w:rPr>
              <w:t>%</w:t>
            </w:r>
          </w:p>
        </w:tc>
      </w:tr>
      <w:tr w:rsidR="00A941A7" w:rsidRPr="00012686" w:rsidTr="005B080A">
        <w:trPr>
          <w:trHeight w:val="235"/>
        </w:trPr>
        <w:tc>
          <w:tcPr>
            <w:tcW w:w="1530" w:type="pct"/>
            <w:shd w:val="clear" w:color="auto" w:fill="auto"/>
            <w:noWrap/>
            <w:vAlign w:val="bottom"/>
          </w:tcPr>
          <w:p w:rsidR="00A941A7" w:rsidRPr="008025D7" w:rsidRDefault="00A941A7" w:rsidP="001D6A2A">
            <w:pPr>
              <w:spacing w:after="0" w:line="240" w:lineRule="auto"/>
              <w:rPr>
                <w:rFonts w:ascii="Arial" w:hAnsi="Arial" w:cs="Arial"/>
                <w:bCs/>
                <w:sz w:val="18"/>
                <w:szCs w:val="18"/>
                <w:lang w:val="en-US"/>
              </w:rPr>
            </w:pPr>
            <w:r>
              <w:rPr>
                <w:rFonts w:ascii="Arial" w:hAnsi="Arial" w:cs="Arial"/>
                <w:bCs/>
                <w:sz w:val="18"/>
                <w:szCs w:val="18"/>
                <w:lang w:val="en-US"/>
              </w:rPr>
              <w:t xml:space="preserve">Liquidity </w:t>
            </w:r>
            <w:r w:rsidR="005B080A">
              <w:rPr>
                <w:rFonts w:ascii="Arial" w:hAnsi="Arial" w:cs="Arial"/>
                <w:bCs/>
                <w:sz w:val="18"/>
                <w:szCs w:val="18"/>
                <w:lang w:val="en-US"/>
              </w:rPr>
              <w:t>Coverage Ratio</w:t>
            </w:r>
          </w:p>
        </w:tc>
        <w:tc>
          <w:tcPr>
            <w:tcW w:w="557" w:type="pct"/>
            <w:vAlign w:val="bottom"/>
          </w:tcPr>
          <w:p w:rsidR="00A941A7" w:rsidRPr="004C6831" w:rsidRDefault="005B080A"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601%</w:t>
            </w:r>
          </w:p>
        </w:tc>
        <w:tc>
          <w:tcPr>
            <w:tcW w:w="486" w:type="pct"/>
            <w:vAlign w:val="bottom"/>
          </w:tcPr>
          <w:p w:rsidR="00A941A7" w:rsidRDefault="005B080A"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671%</w:t>
            </w:r>
          </w:p>
        </w:tc>
        <w:tc>
          <w:tcPr>
            <w:tcW w:w="485" w:type="pct"/>
            <w:shd w:val="clear" w:color="auto" w:fill="auto"/>
            <w:noWrap/>
            <w:vAlign w:val="bottom"/>
          </w:tcPr>
          <w:p w:rsidR="00A941A7" w:rsidRDefault="005B080A"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378%</w:t>
            </w:r>
          </w:p>
        </w:tc>
        <w:tc>
          <w:tcPr>
            <w:tcW w:w="486" w:type="pct"/>
            <w:shd w:val="clear" w:color="auto" w:fill="auto"/>
            <w:noWrap/>
            <w:vAlign w:val="bottom"/>
          </w:tcPr>
          <w:p w:rsidR="00A941A7" w:rsidRPr="00B603E5" w:rsidRDefault="00A941A7" w:rsidP="001D6A2A">
            <w:pPr>
              <w:spacing w:after="0" w:line="240" w:lineRule="auto"/>
              <w:jc w:val="right"/>
              <w:rPr>
                <w:rFonts w:ascii="Arial" w:eastAsia="Times New Roman" w:hAnsi="Arial" w:cs="Arial"/>
                <w:bCs/>
                <w:sz w:val="18"/>
                <w:szCs w:val="18"/>
                <w:lang w:val="en-GB" w:eastAsia="en-GB"/>
              </w:rPr>
            </w:pPr>
          </w:p>
        </w:tc>
        <w:tc>
          <w:tcPr>
            <w:tcW w:w="485" w:type="pct"/>
            <w:shd w:val="clear" w:color="auto" w:fill="auto"/>
            <w:noWrap/>
            <w:vAlign w:val="bottom"/>
          </w:tcPr>
          <w:p w:rsidR="00A941A7" w:rsidRPr="00B603E5" w:rsidRDefault="00A941A7" w:rsidP="001D6A2A">
            <w:pPr>
              <w:spacing w:after="0" w:line="240" w:lineRule="auto"/>
              <w:jc w:val="right"/>
              <w:rPr>
                <w:rFonts w:ascii="Arial" w:eastAsia="Times New Roman" w:hAnsi="Arial" w:cs="Arial"/>
                <w:bCs/>
                <w:sz w:val="18"/>
                <w:szCs w:val="18"/>
                <w:lang w:val="en-GB" w:eastAsia="en-GB"/>
              </w:rPr>
            </w:pPr>
          </w:p>
        </w:tc>
        <w:tc>
          <w:tcPr>
            <w:tcW w:w="486" w:type="pct"/>
            <w:shd w:val="clear" w:color="auto" w:fill="auto"/>
            <w:noWrap/>
            <w:vAlign w:val="bottom"/>
          </w:tcPr>
          <w:p w:rsidR="00A941A7" w:rsidRPr="00B603E5" w:rsidRDefault="00A941A7" w:rsidP="001D6A2A">
            <w:pPr>
              <w:spacing w:after="0" w:line="240" w:lineRule="auto"/>
              <w:jc w:val="right"/>
              <w:rPr>
                <w:rFonts w:ascii="Arial" w:eastAsia="Times New Roman" w:hAnsi="Arial" w:cs="Arial"/>
                <w:bCs/>
                <w:sz w:val="18"/>
                <w:szCs w:val="18"/>
                <w:lang w:val="en-GB" w:eastAsia="en-GB"/>
              </w:rPr>
            </w:pPr>
          </w:p>
        </w:tc>
        <w:tc>
          <w:tcPr>
            <w:tcW w:w="485" w:type="pct"/>
            <w:shd w:val="clear" w:color="auto" w:fill="auto"/>
            <w:noWrap/>
            <w:vAlign w:val="bottom"/>
          </w:tcPr>
          <w:p w:rsidR="00A941A7" w:rsidRPr="00B603E5" w:rsidRDefault="00A941A7" w:rsidP="001D6A2A">
            <w:pPr>
              <w:spacing w:after="0" w:line="240" w:lineRule="auto"/>
              <w:jc w:val="right"/>
              <w:rPr>
                <w:rFonts w:ascii="Arial" w:eastAsia="Times New Roman" w:hAnsi="Arial" w:cs="Arial"/>
                <w:bCs/>
                <w:sz w:val="18"/>
                <w:szCs w:val="18"/>
                <w:lang w:val="en-GB" w:eastAsia="en-GB"/>
              </w:rPr>
            </w:pPr>
          </w:p>
        </w:tc>
      </w:tr>
    </w:tbl>
    <w:p w:rsidR="005B080A" w:rsidRPr="00E12C27"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Α: απόδοση βάσει των αποτελεσμάτων του έτους</w:t>
      </w:r>
    </w:p>
    <w:p w:rsidR="005B080A"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Π: από</w:t>
      </w:r>
      <w:r>
        <w:rPr>
          <w:rFonts w:ascii="Arial" w:hAnsi="Arial" w:cs="Arial"/>
          <w:i/>
          <w:sz w:val="18"/>
          <w:szCs w:val="18"/>
        </w:rPr>
        <w:t>δοση βάσει προϋπολογισμού έτους</w:t>
      </w:r>
    </w:p>
    <w:p w:rsidR="005B080A" w:rsidRPr="0038458C"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6Μ: ετησιοποιημένη απόδοση βάσει εξαμηνιαίων αποτελεσμάτων</w:t>
      </w:r>
    </w:p>
    <w:p w:rsidR="005B080A" w:rsidRDefault="005B080A" w:rsidP="0023232D">
      <w:pPr>
        <w:jc w:val="both"/>
        <w:rPr>
          <w:rFonts w:ascii="Arial" w:eastAsia="Calibri" w:hAnsi="Arial" w:cs="Arial"/>
          <w:sz w:val="20"/>
        </w:rPr>
      </w:pPr>
      <w:r>
        <w:rPr>
          <w:rFonts w:ascii="Arial" w:eastAsia="Calibri" w:hAnsi="Arial" w:cs="Arial"/>
          <w:sz w:val="20"/>
        </w:rPr>
        <w:t>Το χαρτοφυλάκιο των δανείων και χορηγήσεων σε πελάτες παραμένει σταθερό χωρίς σημαντικές μεταβολές και γ</w:t>
      </w:r>
      <w:r w:rsidRPr="005B080A">
        <w:rPr>
          <w:rFonts w:ascii="Arial" w:eastAsia="Calibri" w:hAnsi="Arial" w:cs="Arial"/>
          <w:sz w:val="20"/>
        </w:rPr>
        <w:t>ια τα έτη 2022-2024 έχει ενσωματωθεί η στρατηγική απόφαση του ΟΧΣ για διατήρηση του ύψους του χαρτοφυλακίου των δανείων του ΟΧΣ και διαχείριση των Μη εξυπηρετούμενων δανείων, με στόχο τη βελτίωση των σταθμισμένων περιουσιακών στοιχείων και αύξηση του δείκτη κεφαλαιακής επάρκειας</w:t>
      </w:r>
      <w:r>
        <w:rPr>
          <w:rFonts w:ascii="Arial" w:eastAsia="Calibri" w:hAnsi="Arial" w:cs="Arial"/>
          <w:sz w:val="20"/>
        </w:rPr>
        <w:t xml:space="preserve"> Το ύψος των καταθέσεων από πελάτες δεν αναμένεται να διαφοροποιηθεί σημαντικά </w:t>
      </w:r>
      <w:r w:rsidRPr="005B080A">
        <w:rPr>
          <w:rFonts w:ascii="Arial" w:eastAsia="Calibri" w:hAnsi="Arial" w:cs="Arial"/>
          <w:sz w:val="20"/>
        </w:rPr>
        <w:t>κατά την διάρκεια της τριετίας</w:t>
      </w:r>
      <w:r>
        <w:rPr>
          <w:rFonts w:ascii="Arial" w:eastAsia="Calibri" w:hAnsi="Arial" w:cs="Arial"/>
          <w:sz w:val="20"/>
        </w:rPr>
        <w:t xml:space="preserve"> 2022-2024.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1050"/>
        <w:gridCol w:w="916"/>
        <w:gridCol w:w="915"/>
        <w:gridCol w:w="917"/>
        <w:gridCol w:w="915"/>
        <w:gridCol w:w="917"/>
        <w:gridCol w:w="915"/>
      </w:tblGrid>
      <w:tr w:rsidR="00F62980" w:rsidRPr="00012686" w:rsidTr="008025D7">
        <w:trPr>
          <w:trHeight w:val="199"/>
        </w:trPr>
        <w:tc>
          <w:tcPr>
            <w:tcW w:w="1530" w:type="pct"/>
            <w:shd w:val="clear" w:color="auto" w:fill="auto"/>
            <w:noWrap/>
            <w:vAlign w:val="bottom"/>
            <w:hideMark/>
          </w:tcPr>
          <w:p w:rsidR="00F62980" w:rsidRDefault="00F62980" w:rsidP="001D6A2A">
            <w:pPr>
              <w:spacing w:after="0" w:line="240" w:lineRule="auto"/>
              <w:jc w:val="right"/>
              <w:rPr>
                <w:rFonts w:ascii="Arial" w:eastAsia="Times New Roman" w:hAnsi="Arial" w:cs="Arial"/>
                <w:b/>
                <w:bCs/>
                <w:sz w:val="18"/>
                <w:szCs w:val="18"/>
                <w:u w:val="single"/>
              </w:rPr>
            </w:pPr>
          </w:p>
          <w:p w:rsidR="00F62980" w:rsidRPr="004E35D4" w:rsidRDefault="00F62980" w:rsidP="001D6A2A">
            <w:pPr>
              <w:spacing w:after="0" w:line="240" w:lineRule="auto"/>
              <w:jc w:val="right"/>
              <w:rPr>
                <w:rFonts w:ascii="Arial" w:eastAsia="Times New Roman" w:hAnsi="Arial" w:cs="Arial"/>
                <w:b/>
                <w:bCs/>
                <w:sz w:val="18"/>
                <w:szCs w:val="18"/>
                <w:u w:val="single"/>
              </w:rPr>
            </w:pPr>
          </w:p>
        </w:tc>
        <w:tc>
          <w:tcPr>
            <w:tcW w:w="557" w:type="pct"/>
            <w:vAlign w:val="bottom"/>
          </w:tcPr>
          <w:p w:rsidR="00F62980" w:rsidRPr="004E35D4" w:rsidRDefault="00F62980" w:rsidP="001D6A2A">
            <w:pPr>
              <w:spacing w:after="0" w:line="240" w:lineRule="auto"/>
              <w:jc w:val="right"/>
              <w:rPr>
                <w:rFonts w:ascii="Arial" w:eastAsia="Times New Roman" w:hAnsi="Arial" w:cs="Arial"/>
                <w:b/>
                <w:bCs/>
                <w:sz w:val="18"/>
                <w:szCs w:val="18"/>
                <w:u w:val="single"/>
                <w:lang w:val="en-US"/>
              </w:rPr>
            </w:pPr>
            <w:r w:rsidRPr="00342288">
              <w:rPr>
                <w:rFonts w:ascii="Arial" w:eastAsia="Times New Roman" w:hAnsi="Arial" w:cs="Arial"/>
                <w:b/>
                <w:bCs/>
                <w:sz w:val="18"/>
                <w:szCs w:val="18"/>
                <w:u w:val="single"/>
                <w:lang w:val="en-US"/>
              </w:rPr>
              <w:t>20</w:t>
            </w:r>
            <w:r>
              <w:rPr>
                <w:rFonts w:ascii="Arial" w:eastAsia="Times New Roman" w:hAnsi="Arial" w:cs="Arial"/>
                <w:b/>
                <w:bCs/>
                <w:sz w:val="18"/>
                <w:szCs w:val="18"/>
                <w:u w:val="single"/>
              </w:rPr>
              <w:t>19</w:t>
            </w:r>
            <w:r w:rsidRPr="004E35D4">
              <w:rPr>
                <w:rFonts w:ascii="Arial" w:eastAsia="Times New Roman" w:hAnsi="Arial" w:cs="Arial"/>
                <w:b/>
                <w:bCs/>
                <w:sz w:val="18"/>
                <w:szCs w:val="18"/>
                <w:u w:val="single"/>
              </w:rPr>
              <w:t xml:space="preserve"> Α</w:t>
            </w:r>
          </w:p>
        </w:tc>
        <w:tc>
          <w:tcPr>
            <w:tcW w:w="486" w:type="pct"/>
            <w:vAlign w:val="bottom"/>
          </w:tcPr>
          <w:p w:rsidR="00F62980" w:rsidRDefault="00F62980" w:rsidP="001D6A2A">
            <w:pPr>
              <w:spacing w:after="0" w:line="240" w:lineRule="auto"/>
              <w:jc w:val="right"/>
              <w:rPr>
                <w:rFonts w:ascii="Arial" w:eastAsia="Times New Roman" w:hAnsi="Arial" w:cs="Arial"/>
                <w:b/>
                <w:bCs/>
                <w:sz w:val="18"/>
                <w:szCs w:val="18"/>
                <w:u w:val="single"/>
              </w:rPr>
            </w:pPr>
            <w:r>
              <w:rPr>
                <w:rFonts w:ascii="Arial" w:eastAsia="Times New Roman" w:hAnsi="Arial" w:cs="Arial"/>
                <w:b/>
                <w:bCs/>
                <w:sz w:val="18"/>
                <w:szCs w:val="18"/>
                <w:u w:val="single"/>
                <w:lang w:val="en-US"/>
              </w:rPr>
              <w:t>2020</w:t>
            </w:r>
            <w:r w:rsidRPr="004E35D4">
              <w:rPr>
                <w:rFonts w:ascii="Arial" w:eastAsia="Times New Roman" w:hAnsi="Arial" w:cs="Arial"/>
                <w:b/>
                <w:bCs/>
                <w:sz w:val="18"/>
                <w:szCs w:val="18"/>
                <w:u w:val="single"/>
                <w:lang w:val="en-US"/>
              </w:rPr>
              <w:t xml:space="preserve"> A</w:t>
            </w:r>
          </w:p>
        </w:tc>
        <w:tc>
          <w:tcPr>
            <w:tcW w:w="485" w:type="pct"/>
            <w:shd w:val="clear" w:color="auto" w:fill="auto"/>
            <w:noWrap/>
            <w:vAlign w:val="bottom"/>
            <w:hideMark/>
          </w:tcPr>
          <w:p w:rsidR="00F62980" w:rsidRPr="00DA0929" w:rsidRDefault="00F62980" w:rsidP="001D6A2A">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rPr>
              <w:t>6Μ 2021 Α</w:t>
            </w:r>
          </w:p>
        </w:tc>
        <w:tc>
          <w:tcPr>
            <w:tcW w:w="486" w:type="pct"/>
            <w:shd w:val="clear" w:color="auto" w:fill="auto"/>
            <w:noWrap/>
            <w:vAlign w:val="bottom"/>
            <w:hideMark/>
          </w:tcPr>
          <w:p w:rsidR="00F62980" w:rsidRPr="00DA0929" w:rsidRDefault="00F62980" w:rsidP="001D6A2A">
            <w:pPr>
              <w:spacing w:after="0" w:line="240" w:lineRule="auto"/>
              <w:jc w:val="right"/>
              <w:rPr>
                <w:rFonts w:ascii="Arial" w:eastAsia="Times New Roman" w:hAnsi="Arial" w:cs="Arial"/>
                <w:b/>
                <w:bCs/>
                <w:sz w:val="18"/>
                <w:szCs w:val="18"/>
                <w:u w:val="single"/>
              </w:rPr>
            </w:pPr>
            <w:r w:rsidRPr="004E35D4">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1</w:t>
            </w:r>
            <w:r w:rsidRPr="004E35D4">
              <w:rPr>
                <w:rFonts w:ascii="Arial" w:eastAsia="Times New Roman" w:hAnsi="Arial" w:cs="Arial"/>
                <w:b/>
                <w:bCs/>
                <w:sz w:val="18"/>
                <w:szCs w:val="18"/>
                <w:u w:val="single"/>
              </w:rPr>
              <w:t xml:space="preserve"> Π</w:t>
            </w:r>
          </w:p>
        </w:tc>
        <w:tc>
          <w:tcPr>
            <w:tcW w:w="485" w:type="pct"/>
            <w:shd w:val="clear" w:color="auto" w:fill="auto"/>
            <w:noWrap/>
            <w:vAlign w:val="bottom"/>
            <w:hideMark/>
          </w:tcPr>
          <w:p w:rsidR="00F62980" w:rsidRPr="00A02311" w:rsidRDefault="00F62980" w:rsidP="001D6A2A">
            <w:pPr>
              <w:spacing w:after="0" w:line="240" w:lineRule="auto"/>
              <w:jc w:val="right"/>
              <w:rPr>
                <w:rFonts w:ascii="Arial" w:eastAsia="Times New Roman" w:hAnsi="Arial" w:cs="Arial"/>
                <w:b/>
                <w:bCs/>
                <w:sz w:val="18"/>
                <w:szCs w:val="18"/>
                <w:u w:val="single"/>
              </w:rPr>
            </w:pPr>
            <w:r w:rsidRPr="00342288">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2</w:t>
            </w:r>
            <w:r w:rsidRPr="00342288">
              <w:rPr>
                <w:rFonts w:ascii="Arial" w:eastAsia="Times New Roman" w:hAnsi="Arial" w:cs="Arial"/>
                <w:b/>
                <w:bCs/>
                <w:sz w:val="18"/>
                <w:szCs w:val="18"/>
                <w:u w:val="single"/>
              </w:rPr>
              <w:t xml:space="preserve"> Π</w:t>
            </w:r>
          </w:p>
        </w:tc>
        <w:tc>
          <w:tcPr>
            <w:tcW w:w="486" w:type="pct"/>
            <w:shd w:val="clear" w:color="auto" w:fill="auto"/>
            <w:noWrap/>
            <w:vAlign w:val="bottom"/>
            <w:hideMark/>
          </w:tcPr>
          <w:p w:rsidR="00F62980" w:rsidRPr="00D93B0A" w:rsidRDefault="00F62980" w:rsidP="001D6A2A">
            <w:pPr>
              <w:spacing w:after="0" w:line="240" w:lineRule="auto"/>
              <w:jc w:val="right"/>
              <w:rPr>
                <w:rFonts w:ascii="Arial" w:eastAsia="Times New Roman" w:hAnsi="Arial" w:cs="Arial"/>
                <w:b/>
                <w:bCs/>
                <w:sz w:val="18"/>
                <w:szCs w:val="18"/>
                <w:u w:val="single"/>
              </w:rPr>
            </w:pPr>
            <w:r w:rsidRPr="00F01D07">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3</w:t>
            </w:r>
            <w:r w:rsidRPr="00F01D07">
              <w:rPr>
                <w:rFonts w:ascii="Arial" w:eastAsia="Times New Roman" w:hAnsi="Arial" w:cs="Arial"/>
                <w:b/>
                <w:bCs/>
                <w:sz w:val="18"/>
                <w:szCs w:val="18"/>
                <w:u w:val="single"/>
              </w:rPr>
              <w:t>Π</w:t>
            </w:r>
          </w:p>
        </w:tc>
        <w:tc>
          <w:tcPr>
            <w:tcW w:w="485" w:type="pct"/>
            <w:shd w:val="clear" w:color="auto" w:fill="auto"/>
            <w:noWrap/>
            <w:vAlign w:val="bottom"/>
            <w:hideMark/>
          </w:tcPr>
          <w:p w:rsidR="00F62980" w:rsidRPr="008B2A39" w:rsidRDefault="00F62980" w:rsidP="001D6A2A">
            <w:pPr>
              <w:spacing w:after="0" w:line="240" w:lineRule="auto"/>
              <w:jc w:val="right"/>
              <w:rPr>
                <w:rFonts w:ascii="Arial" w:eastAsia="Times New Roman" w:hAnsi="Arial" w:cs="Arial"/>
                <w:b/>
                <w:bCs/>
                <w:sz w:val="18"/>
                <w:szCs w:val="18"/>
                <w:u w:val="single"/>
              </w:rPr>
            </w:pPr>
            <w:r w:rsidRPr="00D93B0A">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4</w:t>
            </w:r>
            <w:r w:rsidRPr="008B2A39">
              <w:rPr>
                <w:rFonts w:ascii="Arial" w:eastAsia="Times New Roman" w:hAnsi="Arial" w:cs="Arial"/>
                <w:b/>
                <w:bCs/>
                <w:sz w:val="18"/>
                <w:szCs w:val="18"/>
                <w:u w:val="single"/>
              </w:rPr>
              <w:t xml:space="preserve"> Π</w:t>
            </w:r>
          </w:p>
        </w:tc>
      </w:tr>
      <w:tr w:rsidR="00F62980" w:rsidRPr="00012686" w:rsidTr="001D6A2A">
        <w:trPr>
          <w:trHeight w:val="235"/>
        </w:trPr>
        <w:tc>
          <w:tcPr>
            <w:tcW w:w="5000" w:type="pct"/>
            <w:gridSpan w:val="8"/>
            <w:shd w:val="clear" w:color="auto" w:fill="F2F2F2" w:themeFill="background1" w:themeFillShade="F2"/>
            <w:noWrap/>
            <w:vAlign w:val="bottom"/>
          </w:tcPr>
          <w:p w:rsidR="00F62980" w:rsidRPr="00EF74BC" w:rsidDel="000F6278" w:rsidRDefault="00F62980" w:rsidP="001D6A2A">
            <w:pPr>
              <w:spacing w:after="0" w:line="240" w:lineRule="auto"/>
              <w:rPr>
                <w:rFonts w:ascii="Arial" w:eastAsia="Times New Roman" w:hAnsi="Arial" w:cs="Arial"/>
                <w:b/>
                <w:bCs/>
                <w:sz w:val="18"/>
                <w:szCs w:val="18"/>
                <w:u w:val="single"/>
                <w:lang w:eastAsia="en-GB"/>
              </w:rPr>
            </w:pPr>
            <w:r w:rsidRPr="00EF74BC">
              <w:rPr>
                <w:rFonts w:ascii="Arial" w:eastAsia="Times New Roman" w:hAnsi="Arial" w:cs="Arial"/>
                <w:b/>
                <w:bCs/>
                <w:sz w:val="18"/>
                <w:szCs w:val="18"/>
                <w:u w:val="single"/>
                <w:lang w:eastAsia="en-GB"/>
              </w:rPr>
              <w:t>ΠΟΙΟΤΗΤΑΣ ΧΟΡΗΓΗΣΕΩΝ</w:t>
            </w:r>
          </w:p>
        </w:tc>
      </w:tr>
      <w:tr w:rsidR="00F62980" w:rsidRPr="00012686" w:rsidTr="008025D7">
        <w:trPr>
          <w:trHeight w:val="199"/>
        </w:trPr>
        <w:tc>
          <w:tcPr>
            <w:tcW w:w="1530" w:type="pct"/>
            <w:shd w:val="clear" w:color="auto" w:fill="auto"/>
            <w:noWrap/>
            <w:vAlign w:val="bottom"/>
            <w:hideMark/>
          </w:tcPr>
          <w:p w:rsidR="00F62980" w:rsidRPr="00B603E5" w:rsidRDefault="00F62980">
            <w:pPr>
              <w:spacing w:after="0" w:line="240" w:lineRule="auto"/>
              <w:rPr>
                <w:rFonts w:ascii="Arial" w:eastAsia="Times New Roman" w:hAnsi="Arial" w:cs="Arial"/>
                <w:b/>
                <w:bCs/>
                <w:sz w:val="18"/>
                <w:szCs w:val="18"/>
              </w:rPr>
            </w:pPr>
            <w:r w:rsidRPr="00B603E5">
              <w:rPr>
                <w:rFonts w:ascii="Arial" w:hAnsi="Arial" w:cs="Arial"/>
                <w:bCs/>
                <w:sz w:val="18"/>
                <w:szCs w:val="18"/>
              </w:rPr>
              <w:t xml:space="preserve">Μη εξυπηρετούμενα Δάνεια και χορηγήσεις σε πελάτες </w:t>
            </w:r>
            <w:r>
              <w:rPr>
                <w:rFonts w:ascii="Arial" w:hAnsi="Arial" w:cs="Arial"/>
                <w:bCs/>
                <w:sz w:val="18"/>
                <w:szCs w:val="18"/>
              </w:rPr>
              <w:t>(€000)</w:t>
            </w:r>
          </w:p>
        </w:tc>
        <w:tc>
          <w:tcPr>
            <w:tcW w:w="557" w:type="pct"/>
            <w:vAlign w:val="bottom"/>
          </w:tcPr>
          <w:p w:rsidR="00F62980" w:rsidRPr="00815CF7" w:rsidRDefault="00F62980" w:rsidP="001D6A2A">
            <w:pPr>
              <w:spacing w:after="0" w:line="240" w:lineRule="auto"/>
              <w:jc w:val="right"/>
              <w:rPr>
                <w:rFonts w:ascii="Arial" w:eastAsia="Times New Roman" w:hAnsi="Arial" w:cs="Arial"/>
                <w:bCs/>
                <w:sz w:val="18"/>
                <w:szCs w:val="18"/>
                <w:lang w:val="en-GB" w:eastAsia="en-GB"/>
              </w:rPr>
            </w:pPr>
            <w:r w:rsidRPr="004C6831">
              <w:rPr>
                <w:rFonts w:ascii="Arial" w:eastAsia="Times New Roman" w:hAnsi="Arial" w:cs="Arial"/>
                <w:bCs/>
                <w:sz w:val="18"/>
                <w:szCs w:val="18"/>
                <w:lang w:val="en-GB" w:eastAsia="en-GB"/>
              </w:rPr>
              <w:t>292</w:t>
            </w:r>
            <w:r>
              <w:rPr>
                <w:rFonts w:ascii="Arial" w:eastAsia="Times New Roman" w:hAnsi="Arial" w:cs="Arial"/>
                <w:bCs/>
                <w:sz w:val="18"/>
                <w:szCs w:val="18"/>
                <w:lang w:val="en-GB" w:eastAsia="en-GB"/>
              </w:rPr>
              <w:t>.</w:t>
            </w:r>
            <w:r w:rsidRPr="004C6831">
              <w:rPr>
                <w:rFonts w:ascii="Arial" w:eastAsia="Times New Roman" w:hAnsi="Arial" w:cs="Arial"/>
                <w:bCs/>
                <w:sz w:val="18"/>
                <w:szCs w:val="18"/>
                <w:lang w:val="en-GB" w:eastAsia="en-GB"/>
              </w:rPr>
              <w:t>532</w:t>
            </w:r>
          </w:p>
        </w:tc>
        <w:tc>
          <w:tcPr>
            <w:tcW w:w="486" w:type="pct"/>
            <w:vAlign w:val="bottom"/>
          </w:tcPr>
          <w:p w:rsidR="00F62980" w:rsidRPr="00B603E5" w:rsidRDefault="00F62980" w:rsidP="001D6A2A">
            <w:pPr>
              <w:spacing w:after="0" w:line="240" w:lineRule="auto"/>
              <w:jc w:val="right"/>
              <w:rPr>
                <w:rFonts w:ascii="Arial" w:eastAsia="Times New Roman" w:hAnsi="Arial" w:cs="Arial"/>
                <w:bCs/>
                <w:sz w:val="18"/>
                <w:szCs w:val="18"/>
                <w:lang w:val="en-GB" w:eastAsia="en-GB"/>
              </w:rPr>
            </w:pPr>
            <w:r>
              <w:rPr>
                <w:rFonts w:ascii="Arial" w:eastAsia="Times New Roman" w:hAnsi="Arial" w:cs="Arial"/>
                <w:bCs/>
                <w:sz w:val="18"/>
                <w:szCs w:val="18"/>
                <w:lang w:val="en-GB" w:eastAsia="en-GB"/>
              </w:rPr>
              <w:t>285.878</w:t>
            </w:r>
          </w:p>
        </w:tc>
        <w:tc>
          <w:tcPr>
            <w:tcW w:w="485" w:type="pct"/>
            <w:shd w:val="clear" w:color="auto" w:fill="auto"/>
            <w:noWrap/>
            <w:vAlign w:val="bottom"/>
            <w:hideMark/>
          </w:tcPr>
          <w:p w:rsidR="00F62980" w:rsidRPr="004E35D4" w:rsidRDefault="00F62980"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281.653</w:t>
            </w:r>
          </w:p>
        </w:tc>
        <w:tc>
          <w:tcPr>
            <w:tcW w:w="486" w:type="pct"/>
            <w:shd w:val="clear" w:color="auto" w:fill="auto"/>
            <w:noWrap/>
            <w:vAlign w:val="bottom"/>
            <w:hideMark/>
          </w:tcPr>
          <w:p w:rsidR="00F62980" w:rsidRPr="004E35D4" w:rsidRDefault="00F62980"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276.518</w:t>
            </w:r>
          </w:p>
        </w:tc>
        <w:tc>
          <w:tcPr>
            <w:tcW w:w="485" w:type="pct"/>
            <w:shd w:val="clear" w:color="auto" w:fill="auto"/>
            <w:noWrap/>
            <w:vAlign w:val="bottom"/>
            <w:hideMark/>
          </w:tcPr>
          <w:p w:rsidR="00F62980" w:rsidRPr="004E35D4" w:rsidRDefault="00F62980"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222.053</w:t>
            </w:r>
          </w:p>
        </w:tc>
        <w:tc>
          <w:tcPr>
            <w:tcW w:w="486" w:type="pct"/>
            <w:shd w:val="clear" w:color="auto" w:fill="auto"/>
            <w:noWrap/>
            <w:vAlign w:val="bottom"/>
            <w:hideMark/>
          </w:tcPr>
          <w:p w:rsidR="00F62980" w:rsidRPr="004E35D4" w:rsidRDefault="00F62980"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185.748</w:t>
            </w:r>
          </w:p>
        </w:tc>
        <w:tc>
          <w:tcPr>
            <w:tcW w:w="485" w:type="pct"/>
            <w:shd w:val="clear" w:color="auto" w:fill="auto"/>
            <w:noWrap/>
            <w:vAlign w:val="bottom"/>
            <w:hideMark/>
          </w:tcPr>
          <w:p w:rsidR="00F62980" w:rsidRPr="004E35D4" w:rsidRDefault="00F62980" w:rsidP="001D6A2A">
            <w:pPr>
              <w:spacing w:after="0" w:line="240" w:lineRule="auto"/>
              <w:jc w:val="right"/>
              <w:rPr>
                <w:rFonts w:ascii="Arial" w:eastAsia="Times New Roman" w:hAnsi="Arial" w:cs="Arial"/>
                <w:bCs/>
                <w:sz w:val="18"/>
                <w:szCs w:val="18"/>
                <w:lang w:val="en-US"/>
              </w:rPr>
            </w:pPr>
            <w:r>
              <w:rPr>
                <w:rFonts w:ascii="Arial" w:eastAsia="Times New Roman" w:hAnsi="Arial" w:cs="Arial"/>
                <w:bCs/>
                <w:sz w:val="18"/>
                <w:szCs w:val="18"/>
                <w:lang w:val="en-GB" w:eastAsia="en-GB"/>
              </w:rPr>
              <w:t>137.139</w:t>
            </w:r>
          </w:p>
        </w:tc>
      </w:tr>
      <w:tr w:rsidR="00F62980" w:rsidRPr="00012686" w:rsidTr="008025D7">
        <w:trPr>
          <w:trHeight w:val="199"/>
        </w:trPr>
        <w:tc>
          <w:tcPr>
            <w:tcW w:w="1530" w:type="pct"/>
            <w:shd w:val="clear" w:color="auto" w:fill="auto"/>
            <w:noWrap/>
            <w:vAlign w:val="bottom"/>
            <w:hideMark/>
          </w:tcPr>
          <w:p w:rsidR="00F62980" w:rsidRPr="00B603E5" w:rsidRDefault="00F62980" w:rsidP="001D6A2A">
            <w:pPr>
              <w:spacing w:after="0" w:line="240" w:lineRule="auto"/>
              <w:rPr>
                <w:rFonts w:ascii="Arial" w:eastAsia="Times New Roman" w:hAnsi="Arial" w:cs="Arial"/>
                <w:b/>
                <w:bCs/>
                <w:sz w:val="18"/>
                <w:szCs w:val="18"/>
              </w:rPr>
            </w:pPr>
            <w:r w:rsidRPr="00B603E5">
              <w:rPr>
                <w:rFonts w:ascii="Arial" w:hAnsi="Arial" w:cs="Arial"/>
                <w:iCs/>
                <w:sz w:val="18"/>
                <w:szCs w:val="18"/>
              </w:rPr>
              <w:t>Μεταβολή NPL</w:t>
            </w:r>
          </w:p>
        </w:tc>
        <w:tc>
          <w:tcPr>
            <w:tcW w:w="557" w:type="pct"/>
            <w:vAlign w:val="bottom"/>
          </w:tcPr>
          <w:p w:rsidR="00F62980" w:rsidRPr="00815CF7" w:rsidRDefault="00F62980" w:rsidP="001D6A2A">
            <w:pPr>
              <w:spacing w:after="0" w:line="240" w:lineRule="auto"/>
              <w:jc w:val="right"/>
              <w:rPr>
                <w:rFonts w:ascii="Arial" w:eastAsia="Times New Roman" w:hAnsi="Arial" w:cs="Arial"/>
                <w:i/>
                <w:iCs/>
                <w:sz w:val="18"/>
                <w:szCs w:val="18"/>
                <w:lang w:val="en-GB" w:eastAsia="en-GB"/>
              </w:rPr>
            </w:pPr>
            <w:r w:rsidRPr="004C6831">
              <w:rPr>
                <w:rFonts w:ascii="Arial" w:eastAsia="Times New Roman" w:hAnsi="Arial" w:cs="Arial"/>
                <w:i/>
                <w:iCs/>
                <w:sz w:val="18"/>
                <w:szCs w:val="18"/>
                <w:lang w:val="en-GB" w:eastAsia="en-GB"/>
              </w:rPr>
              <w:t>-2</w:t>
            </w:r>
            <w:r>
              <w:rPr>
                <w:rFonts w:ascii="Arial" w:eastAsia="Times New Roman" w:hAnsi="Arial" w:cs="Arial"/>
                <w:i/>
                <w:iCs/>
                <w:sz w:val="18"/>
                <w:szCs w:val="18"/>
                <w:lang w:val="en-GB" w:eastAsia="en-GB"/>
              </w:rPr>
              <w:t>,</w:t>
            </w:r>
            <w:r w:rsidRPr="004C6831">
              <w:rPr>
                <w:rFonts w:ascii="Arial" w:eastAsia="Times New Roman" w:hAnsi="Arial" w:cs="Arial"/>
                <w:i/>
                <w:iCs/>
                <w:sz w:val="18"/>
                <w:szCs w:val="18"/>
                <w:lang w:val="en-GB" w:eastAsia="en-GB"/>
              </w:rPr>
              <w:t>13%</w:t>
            </w:r>
          </w:p>
        </w:tc>
        <w:tc>
          <w:tcPr>
            <w:tcW w:w="486" w:type="pct"/>
            <w:vAlign w:val="bottom"/>
          </w:tcPr>
          <w:p w:rsidR="00F62980" w:rsidRPr="00B603E5" w:rsidRDefault="00F62980" w:rsidP="001D6A2A">
            <w:pPr>
              <w:spacing w:after="0" w:line="240" w:lineRule="auto"/>
              <w:jc w:val="right"/>
              <w:rPr>
                <w:rFonts w:ascii="Arial" w:eastAsia="Times New Roman" w:hAnsi="Arial" w:cs="Arial"/>
                <w:i/>
                <w:iCs/>
                <w:sz w:val="18"/>
                <w:szCs w:val="18"/>
                <w:lang w:val="en-GB" w:eastAsia="en-GB"/>
              </w:rPr>
            </w:pPr>
            <w:r>
              <w:rPr>
                <w:rFonts w:ascii="Arial" w:eastAsia="Times New Roman" w:hAnsi="Arial" w:cs="Arial"/>
                <w:i/>
                <w:iCs/>
                <w:sz w:val="18"/>
                <w:szCs w:val="18"/>
                <w:lang w:val="en-GB" w:eastAsia="en-GB"/>
              </w:rPr>
              <w:t>-2,27%</w:t>
            </w:r>
          </w:p>
        </w:tc>
        <w:tc>
          <w:tcPr>
            <w:tcW w:w="485" w:type="pct"/>
            <w:shd w:val="clear" w:color="auto" w:fill="auto"/>
            <w:noWrap/>
            <w:vAlign w:val="bottom"/>
            <w:hideMark/>
          </w:tcPr>
          <w:p w:rsidR="00F62980" w:rsidRPr="00815CF7" w:rsidRDefault="00F62980" w:rsidP="001D6A2A">
            <w:pPr>
              <w:spacing w:after="0" w:line="240" w:lineRule="auto"/>
              <w:jc w:val="right"/>
              <w:rPr>
                <w:rFonts w:ascii="Arial" w:eastAsia="Times New Roman" w:hAnsi="Arial" w:cs="Arial"/>
                <w:i/>
                <w:iCs/>
                <w:sz w:val="18"/>
                <w:szCs w:val="18"/>
                <w:lang w:val="en-US"/>
              </w:rPr>
            </w:pPr>
            <w:r>
              <w:rPr>
                <w:rFonts w:ascii="Arial" w:eastAsia="Times New Roman" w:hAnsi="Arial" w:cs="Arial"/>
                <w:i/>
                <w:iCs/>
                <w:sz w:val="18"/>
                <w:szCs w:val="18"/>
                <w:lang w:val="en-GB" w:eastAsia="en-GB"/>
              </w:rPr>
              <w:t>-1,48</w:t>
            </w:r>
            <w:r w:rsidRPr="00B603E5">
              <w:rPr>
                <w:rFonts w:ascii="Arial" w:eastAsia="Times New Roman" w:hAnsi="Arial" w:cs="Arial"/>
                <w:i/>
                <w:iCs/>
                <w:sz w:val="18"/>
                <w:szCs w:val="18"/>
                <w:lang w:val="en-GB" w:eastAsia="en-GB"/>
              </w:rPr>
              <w:t>%</w:t>
            </w:r>
          </w:p>
        </w:tc>
        <w:tc>
          <w:tcPr>
            <w:tcW w:w="486" w:type="pct"/>
            <w:shd w:val="clear" w:color="auto" w:fill="auto"/>
            <w:noWrap/>
            <w:vAlign w:val="bottom"/>
            <w:hideMark/>
          </w:tcPr>
          <w:p w:rsidR="00F62980" w:rsidRPr="00815CF7" w:rsidRDefault="00F62980" w:rsidP="001D6A2A">
            <w:pPr>
              <w:spacing w:after="0" w:line="240" w:lineRule="auto"/>
              <w:jc w:val="right"/>
              <w:rPr>
                <w:rFonts w:ascii="Arial" w:eastAsia="Times New Roman" w:hAnsi="Arial" w:cs="Arial"/>
                <w:i/>
                <w:iCs/>
                <w:sz w:val="18"/>
                <w:szCs w:val="18"/>
                <w:lang w:val="en-US"/>
              </w:rPr>
            </w:pPr>
            <w:r>
              <w:rPr>
                <w:rFonts w:ascii="Arial" w:eastAsia="Times New Roman" w:hAnsi="Arial" w:cs="Arial"/>
                <w:i/>
                <w:iCs/>
                <w:sz w:val="18"/>
                <w:szCs w:val="18"/>
                <w:lang w:val="en-GB" w:eastAsia="en-GB"/>
              </w:rPr>
              <w:t>-3,27</w:t>
            </w:r>
            <w:r w:rsidRPr="00B603E5">
              <w:rPr>
                <w:rFonts w:ascii="Arial" w:eastAsia="Times New Roman" w:hAnsi="Arial" w:cs="Arial"/>
                <w:i/>
                <w:iCs/>
                <w:sz w:val="18"/>
                <w:szCs w:val="18"/>
                <w:lang w:val="en-GB" w:eastAsia="en-GB"/>
              </w:rPr>
              <w:t>%</w:t>
            </w:r>
          </w:p>
        </w:tc>
        <w:tc>
          <w:tcPr>
            <w:tcW w:w="485" w:type="pct"/>
            <w:shd w:val="clear" w:color="auto" w:fill="auto"/>
            <w:noWrap/>
            <w:vAlign w:val="bottom"/>
            <w:hideMark/>
          </w:tcPr>
          <w:p w:rsidR="00F62980" w:rsidRPr="00815CF7" w:rsidRDefault="00F62980" w:rsidP="001D6A2A">
            <w:pPr>
              <w:spacing w:after="0" w:line="240" w:lineRule="auto"/>
              <w:jc w:val="right"/>
              <w:rPr>
                <w:rFonts w:ascii="Arial" w:eastAsia="Times New Roman" w:hAnsi="Arial" w:cs="Arial"/>
                <w:i/>
                <w:iCs/>
                <w:sz w:val="18"/>
                <w:szCs w:val="18"/>
                <w:lang w:val="en-US"/>
              </w:rPr>
            </w:pPr>
            <w:r w:rsidRPr="00B603E5">
              <w:rPr>
                <w:rFonts w:ascii="Arial" w:eastAsia="Times New Roman" w:hAnsi="Arial" w:cs="Arial"/>
                <w:i/>
                <w:iCs/>
                <w:sz w:val="18"/>
                <w:szCs w:val="18"/>
                <w:lang w:val="en-GB" w:eastAsia="en-GB"/>
              </w:rPr>
              <w:t>-</w:t>
            </w:r>
            <w:r>
              <w:rPr>
                <w:rFonts w:ascii="Arial" w:eastAsia="Times New Roman" w:hAnsi="Arial" w:cs="Arial"/>
                <w:i/>
                <w:iCs/>
                <w:sz w:val="18"/>
                <w:szCs w:val="18"/>
                <w:lang w:val="en-GB" w:eastAsia="en-GB"/>
              </w:rPr>
              <w:t>19,70</w:t>
            </w:r>
            <w:r w:rsidRPr="00B603E5">
              <w:rPr>
                <w:rFonts w:ascii="Arial" w:eastAsia="Times New Roman" w:hAnsi="Arial" w:cs="Arial"/>
                <w:i/>
                <w:iCs/>
                <w:sz w:val="18"/>
                <w:szCs w:val="18"/>
                <w:lang w:val="en-GB" w:eastAsia="en-GB"/>
              </w:rPr>
              <w:t>%</w:t>
            </w:r>
          </w:p>
        </w:tc>
        <w:tc>
          <w:tcPr>
            <w:tcW w:w="486" w:type="pct"/>
            <w:shd w:val="clear" w:color="auto" w:fill="auto"/>
            <w:noWrap/>
            <w:vAlign w:val="bottom"/>
            <w:hideMark/>
          </w:tcPr>
          <w:p w:rsidR="00F62980" w:rsidRPr="00815CF7" w:rsidRDefault="00F62980" w:rsidP="001D6A2A">
            <w:pPr>
              <w:spacing w:after="0" w:line="240" w:lineRule="auto"/>
              <w:jc w:val="right"/>
              <w:rPr>
                <w:rFonts w:ascii="Arial" w:eastAsia="Times New Roman" w:hAnsi="Arial" w:cs="Arial"/>
                <w:i/>
                <w:iCs/>
                <w:sz w:val="18"/>
                <w:szCs w:val="18"/>
                <w:lang w:val="en-US"/>
              </w:rPr>
            </w:pPr>
            <w:r w:rsidRPr="00B603E5">
              <w:rPr>
                <w:rFonts w:ascii="Arial" w:eastAsia="Times New Roman" w:hAnsi="Arial" w:cs="Arial"/>
                <w:i/>
                <w:iCs/>
                <w:sz w:val="18"/>
                <w:szCs w:val="18"/>
                <w:lang w:val="en-GB" w:eastAsia="en-GB"/>
              </w:rPr>
              <w:t>-</w:t>
            </w:r>
            <w:r>
              <w:rPr>
                <w:rFonts w:ascii="Arial" w:eastAsia="Times New Roman" w:hAnsi="Arial" w:cs="Arial"/>
                <w:i/>
                <w:iCs/>
                <w:sz w:val="18"/>
                <w:szCs w:val="18"/>
                <w:lang w:val="en-GB" w:eastAsia="en-GB"/>
              </w:rPr>
              <w:t>16,35</w:t>
            </w:r>
            <w:r w:rsidRPr="00B603E5">
              <w:rPr>
                <w:rFonts w:ascii="Arial" w:eastAsia="Times New Roman" w:hAnsi="Arial" w:cs="Arial"/>
                <w:i/>
                <w:iCs/>
                <w:sz w:val="18"/>
                <w:szCs w:val="18"/>
                <w:lang w:val="en-GB" w:eastAsia="en-GB"/>
              </w:rPr>
              <w:t>%</w:t>
            </w:r>
          </w:p>
        </w:tc>
        <w:tc>
          <w:tcPr>
            <w:tcW w:w="485" w:type="pct"/>
            <w:shd w:val="clear" w:color="auto" w:fill="auto"/>
            <w:noWrap/>
            <w:vAlign w:val="bottom"/>
            <w:hideMark/>
          </w:tcPr>
          <w:p w:rsidR="00F62980" w:rsidRPr="00815CF7" w:rsidRDefault="00F62980" w:rsidP="001D6A2A">
            <w:pPr>
              <w:spacing w:after="0" w:line="240" w:lineRule="auto"/>
              <w:jc w:val="right"/>
              <w:rPr>
                <w:rFonts w:ascii="Arial" w:eastAsia="Times New Roman" w:hAnsi="Arial" w:cs="Arial"/>
                <w:i/>
                <w:iCs/>
                <w:sz w:val="18"/>
                <w:szCs w:val="18"/>
                <w:lang w:val="en-US"/>
              </w:rPr>
            </w:pPr>
            <w:r w:rsidRPr="00B603E5">
              <w:rPr>
                <w:rFonts w:ascii="Arial" w:eastAsia="Times New Roman" w:hAnsi="Arial" w:cs="Arial"/>
                <w:i/>
                <w:iCs/>
                <w:sz w:val="18"/>
                <w:szCs w:val="18"/>
                <w:lang w:val="en-GB" w:eastAsia="en-GB"/>
              </w:rPr>
              <w:t>-</w:t>
            </w:r>
            <w:r>
              <w:rPr>
                <w:rFonts w:ascii="Arial" w:eastAsia="Times New Roman" w:hAnsi="Arial" w:cs="Arial"/>
                <w:i/>
                <w:iCs/>
                <w:sz w:val="18"/>
                <w:szCs w:val="18"/>
                <w:lang w:val="en-GB" w:eastAsia="en-GB"/>
              </w:rPr>
              <w:t>26,17</w:t>
            </w:r>
            <w:r w:rsidRPr="00B603E5">
              <w:rPr>
                <w:rFonts w:ascii="Arial" w:eastAsia="Times New Roman" w:hAnsi="Arial" w:cs="Arial"/>
                <w:i/>
                <w:iCs/>
                <w:sz w:val="18"/>
                <w:szCs w:val="18"/>
                <w:lang w:val="en-GB" w:eastAsia="en-GB"/>
              </w:rPr>
              <w:t>%</w:t>
            </w:r>
          </w:p>
        </w:tc>
      </w:tr>
    </w:tbl>
    <w:p w:rsidR="005B080A" w:rsidRPr="00E12C27"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Α: απόδοση βάσει των αποτελεσμάτων του έτους</w:t>
      </w:r>
    </w:p>
    <w:p w:rsidR="005B080A"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Π: από</w:t>
      </w:r>
      <w:r>
        <w:rPr>
          <w:rFonts w:ascii="Arial" w:hAnsi="Arial" w:cs="Arial"/>
          <w:i/>
          <w:sz w:val="18"/>
          <w:szCs w:val="18"/>
        </w:rPr>
        <w:t>δοση βάσει προϋπολογισμού έτους</w:t>
      </w:r>
    </w:p>
    <w:p w:rsidR="005B080A" w:rsidRPr="0038458C"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6Μ: ετησιοποιημένη απόδοση βάσει εξαμηνιαίων αποτελεσμάτων</w:t>
      </w:r>
    </w:p>
    <w:p w:rsidR="00F62980" w:rsidRDefault="005B080A" w:rsidP="0023232D">
      <w:pPr>
        <w:jc w:val="both"/>
        <w:rPr>
          <w:rFonts w:ascii="Arial" w:eastAsia="Calibri" w:hAnsi="Arial" w:cs="Arial"/>
          <w:sz w:val="20"/>
        </w:rPr>
      </w:pPr>
      <w:r w:rsidRPr="005B080A">
        <w:rPr>
          <w:rFonts w:ascii="Arial" w:eastAsia="Calibri" w:hAnsi="Arial" w:cs="Arial"/>
          <w:sz w:val="20"/>
        </w:rPr>
        <w:t>Τα ΜΕΔ (βάσει ΕΑΤ)  του ΟΧΣ παραμένουν σταθερά ανά τρίμηνο με ασήμαντες μεταβολές από έτος σε έτος.</w:t>
      </w:r>
      <w:r w:rsidR="00781068">
        <w:rPr>
          <w:rFonts w:ascii="Arial" w:eastAsia="Calibri" w:hAnsi="Arial" w:cs="Arial"/>
          <w:sz w:val="20"/>
        </w:rPr>
        <w:t xml:space="preserve"> Σημειώνεται ότι το χαρτοφυλάκιο του ΟΧΣ αποτελείται κυρίως από στεγαστικά δάνεια που η διαχείριση του επηρεάζεται άμεσα κι από άλλους παράγοντες. Ο ΟΧΣ, κατάρτισε πλάνο διαχείρισης των ΜΕΔ (βάσει ΕΑΤ) λαμβάνοντας υπόψη τα εργαλεία που θα είναι διαθέσιμα για την διαχείριση των ΜΕΔ (βάσει ΕΑΤ).  </w:t>
      </w:r>
    </w:p>
    <w:p w:rsidR="00781068" w:rsidRDefault="00781068" w:rsidP="0023232D">
      <w:pPr>
        <w:jc w:val="both"/>
        <w:rPr>
          <w:rFonts w:ascii="Arial" w:eastAsia="Calibri" w:hAnsi="Arial" w:cs="Arial"/>
          <w:sz w:val="20"/>
        </w:rPr>
      </w:pPr>
    </w:p>
    <w:p w:rsidR="00781068" w:rsidRDefault="00781068" w:rsidP="0023232D">
      <w:pPr>
        <w:jc w:val="both"/>
        <w:rPr>
          <w:rFonts w:ascii="Arial" w:eastAsia="Calibri" w:hAnsi="Arial" w:cs="Arial"/>
          <w:sz w:val="20"/>
        </w:rPr>
      </w:pPr>
    </w:p>
    <w:p w:rsidR="00781068" w:rsidRDefault="00781068" w:rsidP="0023232D">
      <w:pPr>
        <w:jc w:val="both"/>
        <w:rPr>
          <w:rFonts w:ascii="Arial" w:eastAsia="Calibri"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1050"/>
        <w:gridCol w:w="916"/>
        <w:gridCol w:w="915"/>
        <w:gridCol w:w="917"/>
        <w:gridCol w:w="915"/>
        <w:gridCol w:w="917"/>
        <w:gridCol w:w="915"/>
      </w:tblGrid>
      <w:tr w:rsidR="00F62980" w:rsidRPr="00012686" w:rsidTr="008025D7">
        <w:trPr>
          <w:trHeight w:val="199"/>
        </w:trPr>
        <w:tc>
          <w:tcPr>
            <w:tcW w:w="1530" w:type="pct"/>
            <w:shd w:val="clear" w:color="auto" w:fill="auto"/>
            <w:noWrap/>
            <w:vAlign w:val="bottom"/>
            <w:hideMark/>
          </w:tcPr>
          <w:p w:rsidR="00F62980" w:rsidRDefault="00F62980" w:rsidP="001D6A2A">
            <w:pPr>
              <w:spacing w:after="0" w:line="240" w:lineRule="auto"/>
              <w:jc w:val="right"/>
              <w:rPr>
                <w:rFonts w:ascii="Arial" w:eastAsia="Times New Roman" w:hAnsi="Arial" w:cs="Arial"/>
                <w:b/>
                <w:bCs/>
                <w:sz w:val="18"/>
                <w:szCs w:val="18"/>
                <w:u w:val="single"/>
              </w:rPr>
            </w:pPr>
          </w:p>
          <w:p w:rsidR="00F62980" w:rsidRPr="004E35D4" w:rsidRDefault="00F62980" w:rsidP="001D6A2A">
            <w:pPr>
              <w:spacing w:after="0" w:line="240" w:lineRule="auto"/>
              <w:jc w:val="right"/>
              <w:rPr>
                <w:rFonts w:ascii="Arial" w:eastAsia="Times New Roman" w:hAnsi="Arial" w:cs="Arial"/>
                <w:b/>
                <w:bCs/>
                <w:sz w:val="18"/>
                <w:szCs w:val="18"/>
                <w:u w:val="single"/>
              </w:rPr>
            </w:pPr>
          </w:p>
        </w:tc>
        <w:tc>
          <w:tcPr>
            <w:tcW w:w="557" w:type="pct"/>
            <w:vAlign w:val="bottom"/>
          </w:tcPr>
          <w:p w:rsidR="00F62980" w:rsidRPr="004E35D4" w:rsidRDefault="00F62980" w:rsidP="001D6A2A">
            <w:pPr>
              <w:spacing w:after="0" w:line="240" w:lineRule="auto"/>
              <w:jc w:val="right"/>
              <w:rPr>
                <w:rFonts w:ascii="Arial" w:eastAsia="Times New Roman" w:hAnsi="Arial" w:cs="Arial"/>
                <w:b/>
                <w:bCs/>
                <w:sz w:val="18"/>
                <w:szCs w:val="18"/>
                <w:u w:val="single"/>
                <w:lang w:val="en-US"/>
              </w:rPr>
            </w:pPr>
            <w:r w:rsidRPr="00342288">
              <w:rPr>
                <w:rFonts w:ascii="Arial" w:eastAsia="Times New Roman" w:hAnsi="Arial" w:cs="Arial"/>
                <w:b/>
                <w:bCs/>
                <w:sz w:val="18"/>
                <w:szCs w:val="18"/>
                <w:u w:val="single"/>
                <w:lang w:val="en-US"/>
              </w:rPr>
              <w:t>20</w:t>
            </w:r>
            <w:r>
              <w:rPr>
                <w:rFonts w:ascii="Arial" w:eastAsia="Times New Roman" w:hAnsi="Arial" w:cs="Arial"/>
                <w:b/>
                <w:bCs/>
                <w:sz w:val="18"/>
                <w:szCs w:val="18"/>
                <w:u w:val="single"/>
              </w:rPr>
              <w:t>19</w:t>
            </w:r>
            <w:r w:rsidRPr="004E35D4">
              <w:rPr>
                <w:rFonts w:ascii="Arial" w:eastAsia="Times New Roman" w:hAnsi="Arial" w:cs="Arial"/>
                <w:b/>
                <w:bCs/>
                <w:sz w:val="18"/>
                <w:szCs w:val="18"/>
                <w:u w:val="single"/>
              </w:rPr>
              <w:t xml:space="preserve"> Α</w:t>
            </w:r>
          </w:p>
        </w:tc>
        <w:tc>
          <w:tcPr>
            <w:tcW w:w="486" w:type="pct"/>
            <w:vAlign w:val="bottom"/>
          </w:tcPr>
          <w:p w:rsidR="00F62980" w:rsidRDefault="00F62980" w:rsidP="001D6A2A">
            <w:pPr>
              <w:spacing w:after="0" w:line="240" w:lineRule="auto"/>
              <w:jc w:val="right"/>
              <w:rPr>
                <w:rFonts w:ascii="Arial" w:eastAsia="Times New Roman" w:hAnsi="Arial" w:cs="Arial"/>
                <w:b/>
                <w:bCs/>
                <w:sz w:val="18"/>
                <w:szCs w:val="18"/>
                <w:u w:val="single"/>
              </w:rPr>
            </w:pPr>
            <w:r>
              <w:rPr>
                <w:rFonts w:ascii="Arial" w:eastAsia="Times New Roman" w:hAnsi="Arial" w:cs="Arial"/>
                <w:b/>
                <w:bCs/>
                <w:sz w:val="18"/>
                <w:szCs w:val="18"/>
                <w:u w:val="single"/>
                <w:lang w:val="en-US"/>
              </w:rPr>
              <w:t>2020</w:t>
            </w:r>
            <w:r w:rsidRPr="004E35D4">
              <w:rPr>
                <w:rFonts w:ascii="Arial" w:eastAsia="Times New Roman" w:hAnsi="Arial" w:cs="Arial"/>
                <w:b/>
                <w:bCs/>
                <w:sz w:val="18"/>
                <w:szCs w:val="18"/>
                <w:u w:val="single"/>
                <w:lang w:val="en-US"/>
              </w:rPr>
              <w:t xml:space="preserve"> A</w:t>
            </w:r>
          </w:p>
        </w:tc>
        <w:tc>
          <w:tcPr>
            <w:tcW w:w="485" w:type="pct"/>
            <w:shd w:val="clear" w:color="auto" w:fill="auto"/>
            <w:noWrap/>
            <w:vAlign w:val="bottom"/>
            <w:hideMark/>
          </w:tcPr>
          <w:p w:rsidR="00F62980" w:rsidRPr="00DA0929" w:rsidRDefault="00F62980" w:rsidP="001D6A2A">
            <w:pPr>
              <w:spacing w:after="0" w:line="240" w:lineRule="auto"/>
              <w:jc w:val="right"/>
              <w:rPr>
                <w:rFonts w:ascii="Arial" w:eastAsia="Times New Roman" w:hAnsi="Arial" w:cs="Arial"/>
                <w:b/>
                <w:bCs/>
                <w:sz w:val="18"/>
                <w:szCs w:val="18"/>
                <w:u w:val="single"/>
                <w:lang w:val="en-US"/>
              </w:rPr>
            </w:pPr>
            <w:r>
              <w:rPr>
                <w:rFonts w:ascii="Arial" w:eastAsia="Times New Roman" w:hAnsi="Arial" w:cs="Arial"/>
                <w:b/>
                <w:bCs/>
                <w:sz w:val="18"/>
                <w:szCs w:val="18"/>
                <w:u w:val="single"/>
              </w:rPr>
              <w:t>6Μ 2021 Α</w:t>
            </w:r>
          </w:p>
        </w:tc>
        <w:tc>
          <w:tcPr>
            <w:tcW w:w="486" w:type="pct"/>
            <w:shd w:val="clear" w:color="auto" w:fill="auto"/>
            <w:noWrap/>
            <w:vAlign w:val="bottom"/>
            <w:hideMark/>
          </w:tcPr>
          <w:p w:rsidR="00F62980" w:rsidRPr="00DA0929" w:rsidRDefault="00F62980" w:rsidP="001D6A2A">
            <w:pPr>
              <w:spacing w:after="0" w:line="240" w:lineRule="auto"/>
              <w:jc w:val="right"/>
              <w:rPr>
                <w:rFonts w:ascii="Arial" w:eastAsia="Times New Roman" w:hAnsi="Arial" w:cs="Arial"/>
                <w:b/>
                <w:bCs/>
                <w:sz w:val="18"/>
                <w:szCs w:val="18"/>
                <w:u w:val="single"/>
              </w:rPr>
            </w:pPr>
            <w:r w:rsidRPr="004E35D4">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1</w:t>
            </w:r>
            <w:r w:rsidRPr="004E35D4">
              <w:rPr>
                <w:rFonts w:ascii="Arial" w:eastAsia="Times New Roman" w:hAnsi="Arial" w:cs="Arial"/>
                <w:b/>
                <w:bCs/>
                <w:sz w:val="18"/>
                <w:szCs w:val="18"/>
                <w:u w:val="single"/>
              </w:rPr>
              <w:t xml:space="preserve"> Π</w:t>
            </w:r>
          </w:p>
        </w:tc>
        <w:tc>
          <w:tcPr>
            <w:tcW w:w="485" w:type="pct"/>
            <w:shd w:val="clear" w:color="auto" w:fill="auto"/>
            <w:noWrap/>
            <w:vAlign w:val="bottom"/>
            <w:hideMark/>
          </w:tcPr>
          <w:p w:rsidR="00F62980" w:rsidRPr="00A02311" w:rsidRDefault="00F62980" w:rsidP="001D6A2A">
            <w:pPr>
              <w:spacing w:after="0" w:line="240" w:lineRule="auto"/>
              <w:jc w:val="right"/>
              <w:rPr>
                <w:rFonts w:ascii="Arial" w:eastAsia="Times New Roman" w:hAnsi="Arial" w:cs="Arial"/>
                <w:b/>
                <w:bCs/>
                <w:sz w:val="18"/>
                <w:szCs w:val="18"/>
                <w:u w:val="single"/>
              </w:rPr>
            </w:pPr>
            <w:r w:rsidRPr="00342288">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US"/>
              </w:rPr>
              <w:t>2</w:t>
            </w:r>
            <w:r w:rsidRPr="00342288">
              <w:rPr>
                <w:rFonts w:ascii="Arial" w:eastAsia="Times New Roman" w:hAnsi="Arial" w:cs="Arial"/>
                <w:b/>
                <w:bCs/>
                <w:sz w:val="18"/>
                <w:szCs w:val="18"/>
                <w:u w:val="single"/>
              </w:rPr>
              <w:t xml:space="preserve"> Π</w:t>
            </w:r>
          </w:p>
        </w:tc>
        <w:tc>
          <w:tcPr>
            <w:tcW w:w="486" w:type="pct"/>
            <w:shd w:val="clear" w:color="auto" w:fill="auto"/>
            <w:noWrap/>
            <w:vAlign w:val="bottom"/>
            <w:hideMark/>
          </w:tcPr>
          <w:p w:rsidR="00F62980" w:rsidRPr="00D93B0A" w:rsidRDefault="00F62980" w:rsidP="001D6A2A">
            <w:pPr>
              <w:spacing w:after="0" w:line="240" w:lineRule="auto"/>
              <w:jc w:val="right"/>
              <w:rPr>
                <w:rFonts w:ascii="Arial" w:eastAsia="Times New Roman" w:hAnsi="Arial" w:cs="Arial"/>
                <w:b/>
                <w:bCs/>
                <w:sz w:val="18"/>
                <w:szCs w:val="18"/>
                <w:u w:val="single"/>
              </w:rPr>
            </w:pPr>
            <w:r w:rsidRPr="00F01D07">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3</w:t>
            </w:r>
            <w:r w:rsidRPr="00F01D07">
              <w:rPr>
                <w:rFonts w:ascii="Arial" w:eastAsia="Times New Roman" w:hAnsi="Arial" w:cs="Arial"/>
                <w:b/>
                <w:bCs/>
                <w:sz w:val="18"/>
                <w:szCs w:val="18"/>
                <w:u w:val="single"/>
              </w:rPr>
              <w:t>Π</w:t>
            </w:r>
          </w:p>
        </w:tc>
        <w:tc>
          <w:tcPr>
            <w:tcW w:w="485" w:type="pct"/>
            <w:shd w:val="clear" w:color="auto" w:fill="auto"/>
            <w:noWrap/>
            <w:vAlign w:val="bottom"/>
            <w:hideMark/>
          </w:tcPr>
          <w:p w:rsidR="00F62980" w:rsidRPr="008B2A39" w:rsidRDefault="00F62980" w:rsidP="001D6A2A">
            <w:pPr>
              <w:spacing w:after="0" w:line="240" w:lineRule="auto"/>
              <w:jc w:val="right"/>
              <w:rPr>
                <w:rFonts w:ascii="Arial" w:eastAsia="Times New Roman" w:hAnsi="Arial" w:cs="Arial"/>
                <w:b/>
                <w:bCs/>
                <w:sz w:val="18"/>
                <w:szCs w:val="18"/>
                <w:u w:val="single"/>
              </w:rPr>
            </w:pPr>
            <w:r w:rsidRPr="00D93B0A">
              <w:rPr>
                <w:rFonts w:ascii="Arial" w:eastAsia="Times New Roman" w:hAnsi="Arial" w:cs="Arial"/>
                <w:b/>
                <w:bCs/>
                <w:sz w:val="18"/>
                <w:szCs w:val="18"/>
                <w:u w:val="single"/>
                <w:lang w:val="en-US"/>
              </w:rPr>
              <w:t>202</w:t>
            </w:r>
            <w:r>
              <w:rPr>
                <w:rFonts w:ascii="Arial" w:eastAsia="Times New Roman" w:hAnsi="Arial" w:cs="Arial"/>
                <w:b/>
                <w:bCs/>
                <w:sz w:val="18"/>
                <w:szCs w:val="18"/>
                <w:u w:val="single"/>
                <w:lang w:val="en-GB"/>
              </w:rPr>
              <w:t>4</w:t>
            </w:r>
            <w:r w:rsidRPr="008B2A39">
              <w:rPr>
                <w:rFonts w:ascii="Arial" w:eastAsia="Times New Roman" w:hAnsi="Arial" w:cs="Arial"/>
                <w:b/>
                <w:bCs/>
                <w:sz w:val="18"/>
                <w:szCs w:val="18"/>
                <w:u w:val="single"/>
              </w:rPr>
              <w:t xml:space="preserve"> Π</w:t>
            </w:r>
          </w:p>
        </w:tc>
      </w:tr>
      <w:tr w:rsidR="00F62980" w:rsidRPr="00012686" w:rsidTr="001D6A2A">
        <w:trPr>
          <w:trHeight w:val="199"/>
        </w:trPr>
        <w:tc>
          <w:tcPr>
            <w:tcW w:w="5000" w:type="pct"/>
            <w:gridSpan w:val="8"/>
            <w:shd w:val="clear" w:color="auto" w:fill="F2F2F2" w:themeFill="background1" w:themeFillShade="F2"/>
            <w:noWrap/>
            <w:vAlign w:val="bottom"/>
          </w:tcPr>
          <w:p w:rsidR="00F62980" w:rsidRPr="00EF74BC" w:rsidRDefault="00F62980" w:rsidP="001D6A2A">
            <w:pPr>
              <w:spacing w:after="0" w:line="240" w:lineRule="auto"/>
              <w:rPr>
                <w:rFonts w:ascii="Arial" w:eastAsia="Times New Roman" w:hAnsi="Arial" w:cs="Arial"/>
                <w:b/>
                <w:iCs/>
                <w:sz w:val="18"/>
                <w:szCs w:val="18"/>
                <w:u w:val="single"/>
                <w:lang w:eastAsia="en-GB"/>
              </w:rPr>
            </w:pPr>
            <w:r>
              <w:rPr>
                <w:rFonts w:ascii="Arial" w:eastAsia="Times New Roman" w:hAnsi="Arial" w:cs="Arial"/>
                <w:b/>
                <w:iCs/>
                <w:sz w:val="18"/>
                <w:szCs w:val="18"/>
                <w:u w:val="single"/>
                <w:lang w:eastAsia="en-GB"/>
              </w:rPr>
              <w:t>ΚΕΦΑΛΑΙΑΚΗΣ ΕΠΑΡΚΕΙΑΣ</w:t>
            </w:r>
          </w:p>
        </w:tc>
      </w:tr>
      <w:tr w:rsidR="00F62980" w:rsidRPr="00012686" w:rsidTr="008025D7">
        <w:trPr>
          <w:trHeight w:val="199"/>
        </w:trPr>
        <w:tc>
          <w:tcPr>
            <w:tcW w:w="1530" w:type="pct"/>
            <w:shd w:val="clear" w:color="auto" w:fill="auto"/>
            <w:noWrap/>
            <w:vAlign w:val="bottom"/>
          </w:tcPr>
          <w:p w:rsidR="00F62980" w:rsidRPr="00EF74BC" w:rsidRDefault="00F62980" w:rsidP="001D6A2A">
            <w:pPr>
              <w:spacing w:after="0" w:line="240" w:lineRule="auto"/>
              <w:rPr>
                <w:rFonts w:ascii="Arial" w:hAnsi="Arial" w:cs="Arial"/>
                <w:iCs/>
                <w:sz w:val="18"/>
                <w:szCs w:val="18"/>
                <w:lang w:val="en-US"/>
              </w:rPr>
            </w:pPr>
            <w:r>
              <w:rPr>
                <w:rFonts w:ascii="Arial" w:hAnsi="Arial" w:cs="Arial"/>
                <w:iCs/>
                <w:sz w:val="18"/>
                <w:szCs w:val="18"/>
                <w:lang w:val="en-US"/>
              </w:rPr>
              <w:t>Core Tier 1</w:t>
            </w:r>
          </w:p>
        </w:tc>
        <w:tc>
          <w:tcPr>
            <w:tcW w:w="557" w:type="pct"/>
            <w:vAlign w:val="bottom"/>
          </w:tcPr>
          <w:p w:rsidR="00F62980" w:rsidRPr="004C6831" w:rsidRDefault="00F62980" w:rsidP="001D6A2A">
            <w:pPr>
              <w:spacing w:after="0" w:line="240" w:lineRule="auto"/>
              <w:jc w:val="right"/>
              <w:rPr>
                <w:rFonts w:ascii="Arial" w:eastAsia="Times New Roman" w:hAnsi="Arial" w:cs="Arial"/>
                <w:i/>
                <w:iCs/>
                <w:sz w:val="18"/>
                <w:szCs w:val="18"/>
                <w:lang w:val="en-GB" w:eastAsia="en-GB"/>
              </w:rPr>
            </w:pPr>
            <w:r>
              <w:rPr>
                <w:rFonts w:ascii="Arial" w:eastAsia="Times New Roman" w:hAnsi="Arial" w:cs="Arial"/>
                <w:i/>
                <w:iCs/>
                <w:sz w:val="18"/>
                <w:szCs w:val="18"/>
                <w:lang w:val="en-GB" w:eastAsia="en-GB"/>
              </w:rPr>
              <w:t>24,48%</w:t>
            </w:r>
          </w:p>
        </w:tc>
        <w:tc>
          <w:tcPr>
            <w:tcW w:w="486" w:type="pct"/>
            <w:vAlign w:val="bottom"/>
          </w:tcPr>
          <w:p w:rsidR="00F62980" w:rsidRDefault="00F62980" w:rsidP="001D6A2A">
            <w:pPr>
              <w:spacing w:after="0" w:line="240" w:lineRule="auto"/>
              <w:jc w:val="right"/>
              <w:rPr>
                <w:rFonts w:ascii="Arial" w:eastAsia="Times New Roman" w:hAnsi="Arial" w:cs="Arial"/>
                <w:i/>
                <w:iCs/>
                <w:sz w:val="18"/>
                <w:szCs w:val="18"/>
                <w:lang w:val="en-GB" w:eastAsia="en-GB"/>
              </w:rPr>
            </w:pPr>
            <w:r>
              <w:rPr>
                <w:rFonts w:ascii="Arial" w:eastAsia="Times New Roman" w:hAnsi="Arial" w:cs="Arial"/>
                <w:i/>
                <w:iCs/>
                <w:sz w:val="18"/>
                <w:szCs w:val="18"/>
                <w:lang w:val="en-GB" w:eastAsia="en-GB"/>
              </w:rPr>
              <w:t>27,30%</w:t>
            </w:r>
          </w:p>
        </w:tc>
        <w:tc>
          <w:tcPr>
            <w:tcW w:w="485" w:type="pct"/>
            <w:shd w:val="clear" w:color="auto" w:fill="auto"/>
            <w:noWrap/>
            <w:vAlign w:val="bottom"/>
          </w:tcPr>
          <w:p w:rsidR="00F62980" w:rsidRDefault="00F62980" w:rsidP="001D6A2A">
            <w:pPr>
              <w:spacing w:after="0" w:line="240" w:lineRule="auto"/>
              <w:jc w:val="right"/>
              <w:rPr>
                <w:rFonts w:ascii="Arial" w:eastAsia="Times New Roman" w:hAnsi="Arial" w:cs="Arial"/>
                <w:i/>
                <w:iCs/>
                <w:sz w:val="18"/>
                <w:szCs w:val="18"/>
                <w:lang w:val="en-GB" w:eastAsia="en-GB"/>
              </w:rPr>
            </w:pPr>
            <w:r>
              <w:rPr>
                <w:rFonts w:ascii="Arial" w:eastAsia="Times New Roman" w:hAnsi="Arial" w:cs="Arial"/>
                <w:i/>
                <w:iCs/>
                <w:sz w:val="18"/>
                <w:szCs w:val="18"/>
                <w:lang w:val="en-GB" w:eastAsia="en-GB"/>
              </w:rPr>
              <w:t>26,83%</w:t>
            </w:r>
          </w:p>
        </w:tc>
        <w:tc>
          <w:tcPr>
            <w:tcW w:w="486" w:type="pct"/>
            <w:shd w:val="clear" w:color="auto" w:fill="auto"/>
            <w:noWrap/>
            <w:vAlign w:val="bottom"/>
          </w:tcPr>
          <w:p w:rsidR="00F62980" w:rsidRDefault="00F62980" w:rsidP="001D6A2A">
            <w:pPr>
              <w:spacing w:after="0" w:line="240" w:lineRule="auto"/>
              <w:jc w:val="right"/>
              <w:rPr>
                <w:rFonts w:ascii="Arial" w:eastAsia="Times New Roman" w:hAnsi="Arial" w:cs="Arial"/>
                <w:i/>
                <w:iCs/>
                <w:sz w:val="18"/>
                <w:szCs w:val="18"/>
                <w:lang w:val="en-GB" w:eastAsia="en-GB"/>
              </w:rPr>
            </w:pPr>
          </w:p>
        </w:tc>
        <w:tc>
          <w:tcPr>
            <w:tcW w:w="485" w:type="pct"/>
            <w:shd w:val="clear" w:color="auto" w:fill="auto"/>
            <w:noWrap/>
            <w:vAlign w:val="bottom"/>
          </w:tcPr>
          <w:p w:rsidR="00F62980" w:rsidRPr="00B603E5" w:rsidRDefault="00F62980" w:rsidP="001D6A2A">
            <w:pPr>
              <w:spacing w:after="0" w:line="240" w:lineRule="auto"/>
              <w:jc w:val="right"/>
              <w:rPr>
                <w:rFonts w:ascii="Arial" w:eastAsia="Times New Roman" w:hAnsi="Arial" w:cs="Arial"/>
                <w:i/>
                <w:iCs/>
                <w:sz w:val="18"/>
                <w:szCs w:val="18"/>
                <w:lang w:val="en-GB" w:eastAsia="en-GB"/>
              </w:rPr>
            </w:pPr>
          </w:p>
        </w:tc>
        <w:tc>
          <w:tcPr>
            <w:tcW w:w="486" w:type="pct"/>
            <w:shd w:val="clear" w:color="auto" w:fill="auto"/>
            <w:noWrap/>
            <w:vAlign w:val="bottom"/>
          </w:tcPr>
          <w:p w:rsidR="00F62980" w:rsidRPr="00B603E5" w:rsidRDefault="00F62980" w:rsidP="001D6A2A">
            <w:pPr>
              <w:spacing w:after="0" w:line="240" w:lineRule="auto"/>
              <w:jc w:val="right"/>
              <w:rPr>
                <w:rFonts w:ascii="Arial" w:eastAsia="Times New Roman" w:hAnsi="Arial" w:cs="Arial"/>
                <w:i/>
                <w:iCs/>
                <w:sz w:val="18"/>
                <w:szCs w:val="18"/>
                <w:lang w:val="en-GB" w:eastAsia="en-GB"/>
              </w:rPr>
            </w:pPr>
          </w:p>
        </w:tc>
        <w:tc>
          <w:tcPr>
            <w:tcW w:w="485" w:type="pct"/>
            <w:shd w:val="clear" w:color="auto" w:fill="auto"/>
            <w:noWrap/>
            <w:vAlign w:val="bottom"/>
          </w:tcPr>
          <w:p w:rsidR="00F62980" w:rsidRPr="00B603E5" w:rsidRDefault="00F62980" w:rsidP="001D6A2A">
            <w:pPr>
              <w:spacing w:after="0" w:line="240" w:lineRule="auto"/>
              <w:jc w:val="right"/>
              <w:rPr>
                <w:rFonts w:ascii="Arial" w:eastAsia="Times New Roman" w:hAnsi="Arial" w:cs="Arial"/>
                <w:i/>
                <w:iCs/>
                <w:sz w:val="18"/>
                <w:szCs w:val="18"/>
                <w:lang w:val="en-GB" w:eastAsia="en-GB"/>
              </w:rPr>
            </w:pPr>
          </w:p>
        </w:tc>
      </w:tr>
    </w:tbl>
    <w:p w:rsidR="005B080A" w:rsidRPr="00E12C27"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Α: απόδοση βάσει των αποτελεσμάτων του έτους</w:t>
      </w:r>
    </w:p>
    <w:p w:rsidR="005B080A"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Π: από</w:t>
      </w:r>
      <w:r>
        <w:rPr>
          <w:rFonts w:ascii="Arial" w:hAnsi="Arial" w:cs="Arial"/>
          <w:i/>
          <w:sz w:val="18"/>
          <w:szCs w:val="18"/>
        </w:rPr>
        <w:t>δοση βάσει προϋπολογισμού έτους</w:t>
      </w:r>
    </w:p>
    <w:p w:rsidR="005B080A" w:rsidRPr="0038458C" w:rsidRDefault="005B080A" w:rsidP="005B080A">
      <w:pPr>
        <w:pStyle w:val="ListParagraph"/>
        <w:spacing w:after="120" w:line="240" w:lineRule="auto"/>
        <w:ind w:left="0"/>
        <w:jc w:val="both"/>
        <w:rPr>
          <w:rFonts w:ascii="Arial" w:hAnsi="Arial" w:cs="Arial"/>
          <w:i/>
          <w:sz w:val="18"/>
          <w:szCs w:val="18"/>
        </w:rPr>
      </w:pPr>
      <w:r w:rsidRPr="00E12C27">
        <w:rPr>
          <w:rFonts w:ascii="Arial" w:hAnsi="Arial" w:cs="Arial"/>
          <w:i/>
          <w:sz w:val="18"/>
          <w:szCs w:val="18"/>
        </w:rPr>
        <w:t>6Μ: ετησιοποιημένη απόδοση βάσει εξαμηνιαίων αποτελεσμάτων</w:t>
      </w:r>
    </w:p>
    <w:p w:rsidR="00F62980" w:rsidRPr="008025D7" w:rsidRDefault="00E274E0" w:rsidP="0023232D">
      <w:pPr>
        <w:jc w:val="both"/>
        <w:rPr>
          <w:rFonts w:ascii="Arial" w:eastAsia="Calibri" w:hAnsi="Arial" w:cs="Arial"/>
          <w:sz w:val="20"/>
        </w:rPr>
      </w:pPr>
      <w:r w:rsidRPr="008025D7">
        <w:rPr>
          <w:rFonts w:ascii="Arial" w:eastAsia="Calibri" w:hAnsi="Arial" w:cs="Arial"/>
          <w:sz w:val="20"/>
        </w:rPr>
        <w:t>Το σύνολο κεφαλαίων ανήλθε σε €106.5 εκατ. στις 30 Ιουνίου 2021 (εποπτικά κεφάλαια €101.2 εκατ.), σε σύγκριση με €101.2 εκατ. στις 31 Δεκεμβρίου 2020. O Συνολικός Δείκτης Κεφαλαιακής Επάρκειας ανήλθε σε 26,83% στις 30 Ιουνίου 2021, σε σύγκριση με 27,30% στις 31 Δεκεμβρίου 2020. Σημειώνεται ότι</w:t>
      </w:r>
      <w:r>
        <w:rPr>
          <w:rFonts w:ascii="Arial" w:eastAsia="Calibri" w:hAnsi="Arial" w:cs="Arial"/>
          <w:sz w:val="20"/>
        </w:rPr>
        <w:t xml:space="preserve"> για σκοπούς κεφαλαιακής επάρκειας δεν συνυπολογίζεται το κέρδος για την εξαμηνιαία περίοδο που έληξε στις 30/6/2021 καθώς δεν έχουν εξελεγχθεί τα αποτελέσματα της περιόδου.</w:t>
      </w:r>
      <w:r w:rsidRPr="008025D7">
        <w:rPr>
          <w:rFonts w:ascii="Arial" w:eastAsia="Calibri" w:hAnsi="Arial" w:cs="Arial"/>
          <w:sz w:val="20"/>
        </w:rPr>
        <w:t xml:space="preserve">  Ο δείκτης κεφαλαιακής επάρκειας επηρεάζεται άμεσα από την ποιότητα των στοιχείων του ενεργητικού και οποιαδήποτε επιδείνωση στα ποιοτικά χαρακτηριστικά του δανειακού χαρτοφυλακίου έχει άμεση μείωση των εποπτικών κεφαλαίων.   </w:t>
      </w:r>
    </w:p>
    <w:p w:rsidR="0023232D" w:rsidRPr="00B603E5" w:rsidRDefault="0023232D" w:rsidP="0023232D">
      <w:pPr>
        <w:jc w:val="both"/>
        <w:rPr>
          <w:rFonts w:ascii="Arial" w:eastAsia="Calibri" w:hAnsi="Arial" w:cs="Arial"/>
          <w:b/>
          <w:sz w:val="20"/>
          <w:u w:val="single"/>
        </w:rPr>
      </w:pPr>
      <w:r w:rsidRPr="00B603E5">
        <w:rPr>
          <w:rFonts w:ascii="Arial" w:eastAsia="Calibri" w:hAnsi="Arial" w:cs="Arial"/>
          <w:b/>
          <w:sz w:val="20"/>
          <w:u w:val="single"/>
        </w:rPr>
        <w:t>Μη εξυπηρετούμενα Δάνεια σύμφωνα με τον ορισμό της Ευρωπαϊκής Αρχής Τραπεζών (ΜΕΔ (βάσει ΕΑΤ))</w:t>
      </w:r>
    </w:p>
    <w:p w:rsidR="0023232D" w:rsidRPr="009E324E" w:rsidRDefault="0023232D" w:rsidP="0023232D">
      <w:pPr>
        <w:suppressAutoHyphens/>
        <w:autoSpaceDN w:val="0"/>
        <w:spacing w:before="10" w:after="100" w:afterAutospacing="1"/>
        <w:jc w:val="both"/>
        <w:rPr>
          <w:rFonts w:ascii="Arial" w:hAnsi="Arial" w:cs="Arial"/>
          <w:sz w:val="20"/>
          <w:szCs w:val="20"/>
        </w:rPr>
      </w:pPr>
      <w:r w:rsidRPr="009E324E">
        <w:rPr>
          <w:rFonts w:ascii="Arial" w:hAnsi="Arial" w:cs="Arial"/>
          <w:sz w:val="20"/>
          <w:szCs w:val="20"/>
        </w:rPr>
        <w:t>Τα ΜΕΔ (βάσει ΕΑΤ) ανέρχονται στα €2</w:t>
      </w:r>
      <w:r w:rsidR="00B17D51" w:rsidRPr="00880E70">
        <w:rPr>
          <w:rFonts w:ascii="Arial" w:hAnsi="Arial" w:cs="Arial"/>
          <w:sz w:val="20"/>
          <w:szCs w:val="20"/>
        </w:rPr>
        <w:t>81</w:t>
      </w:r>
      <w:r w:rsidRPr="009E324E">
        <w:rPr>
          <w:rFonts w:ascii="Arial" w:hAnsi="Arial" w:cs="Arial"/>
          <w:sz w:val="20"/>
          <w:szCs w:val="20"/>
        </w:rPr>
        <w:t>,7 εκατ. στις 30 Ιουνίου 202</w:t>
      </w:r>
      <w:r w:rsidR="00B17D51" w:rsidRPr="00880E70">
        <w:rPr>
          <w:rFonts w:ascii="Arial" w:hAnsi="Arial" w:cs="Arial"/>
          <w:sz w:val="20"/>
          <w:szCs w:val="20"/>
        </w:rPr>
        <w:t>1</w:t>
      </w:r>
      <w:r w:rsidRPr="009E324E">
        <w:rPr>
          <w:rFonts w:ascii="Arial" w:hAnsi="Arial" w:cs="Arial"/>
          <w:sz w:val="20"/>
          <w:szCs w:val="20"/>
        </w:rPr>
        <w:t xml:space="preserve"> και αντιπροσωπεύουν το 4</w:t>
      </w:r>
      <w:r w:rsidR="00B17D51" w:rsidRPr="00880E70">
        <w:rPr>
          <w:rFonts w:ascii="Arial" w:hAnsi="Arial" w:cs="Arial"/>
          <w:sz w:val="20"/>
          <w:szCs w:val="20"/>
        </w:rPr>
        <w:t>4</w:t>
      </w:r>
      <w:r w:rsidRPr="009E324E">
        <w:rPr>
          <w:rFonts w:ascii="Arial" w:hAnsi="Arial" w:cs="Arial"/>
          <w:sz w:val="20"/>
          <w:szCs w:val="20"/>
        </w:rPr>
        <w:t>,</w:t>
      </w:r>
      <w:r w:rsidR="00B17D51" w:rsidRPr="00880E70">
        <w:rPr>
          <w:rFonts w:ascii="Arial" w:hAnsi="Arial" w:cs="Arial"/>
          <w:sz w:val="20"/>
          <w:szCs w:val="20"/>
        </w:rPr>
        <w:t>7</w:t>
      </w:r>
      <w:r w:rsidRPr="009E324E">
        <w:rPr>
          <w:rFonts w:ascii="Arial" w:hAnsi="Arial" w:cs="Arial"/>
          <w:sz w:val="20"/>
          <w:szCs w:val="20"/>
        </w:rPr>
        <w:t xml:space="preserve">9% του δανειακού χαρτοφυλακίου. Η διαχείριση των ΜΕΔ (βάσει ΕΑΤ) παραμένει μια από τις μεγαλύτερες προκλήσεις για τον Οργανισμό. </w:t>
      </w:r>
    </w:p>
    <w:p w:rsidR="0023232D" w:rsidRPr="009E324E" w:rsidRDefault="0023232D" w:rsidP="00570EF0">
      <w:pPr>
        <w:suppressAutoHyphens/>
        <w:autoSpaceDN w:val="0"/>
        <w:spacing w:before="10" w:after="100" w:afterAutospacing="1"/>
        <w:jc w:val="both"/>
        <w:rPr>
          <w:rFonts w:ascii="Arial" w:hAnsi="Arial" w:cs="Arial"/>
          <w:sz w:val="20"/>
          <w:szCs w:val="20"/>
        </w:rPr>
      </w:pPr>
      <w:r w:rsidRPr="00A278AB">
        <w:rPr>
          <w:rFonts w:ascii="Arial" w:hAnsi="Arial" w:cs="Arial"/>
          <w:sz w:val="20"/>
          <w:szCs w:val="20"/>
        </w:rPr>
        <w:t>Σύμφωνα με τα στοιχεία που έχει ανακοινώσει η Κεντρική Τράπεζα της Κύπρου (ΚΤΚ</w:t>
      </w:r>
      <w:r w:rsidR="00B17D51" w:rsidRPr="00A278AB">
        <w:rPr>
          <w:rFonts w:ascii="Arial" w:hAnsi="Arial" w:cs="Arial"/>
          <w:sz w:val="20"/>
          <w:szCs w:val="20"/>
        </w:rPr>
        <w:t xml:space="preserve">) </w:t>
      </w:r>
      <w:r w:rsidRPr="00A278AB">
        <w:rPr>
          <w:rFonts w:ascii="Arial" w:hAnsi="Arial" w:cs="Arial"/>
          <w:sz w:val="20"/>
          <w:szCs w:val="20"/>
        </w:rPr>
        <w:t xml:space="preserve">με ημερομηνία αναφοράς 31 </w:t>
      </w:r>
      <w:r w:rsidR="003A440B" w:rsidRPr="00A278AB">
        <w:rPr>
          <w:rFonts w:ascii="Arial" w:hAnsi="Arial" w:cs="Arial"/>
          <w:sz w:val="20"/>
          <w:szCs w:val="20"/>
        </w:rPr>
        <w:t>Αυγούστου</w:t>
      </w:r>
      <w:r w:rsidRPr="00A278AB">
        <w:rPr>
          <w:rFonts w:ascii="Arial" w:hAnsi="Arial" w:cs="Arial"/>
          <w:sz w:val="20"/>
          <w:szCs w:val="20"/>
        </w:rPr>
        <w:t xml:space="preserve"> 202</w:t>
      </w:r>
      <w:r w:rsidR="00B17D51" w:rsidRPr="00A278AB">
        <w:rPr>
          <w:rFonts w:ascii="Arial" w:hAnsi="Arial" w:cs="Arial"/>
          <w:sz w:val="20"/>
          <w:szCs w:val="20"/>
        </w:rPr>
        <w:t>1</w:t>
      </w:r>
      <w:r w:rsidRPr="00A278AB">
        <w:rPr>
          <w:rFonts w:ascii="Arial" w:hAnsi="Arial" w:cs="Arial"/>
          <w:sz w:val="20"/>
          <w:szCs w:val="20"/>
        </w:rPr>
        <w:t xml:space="preserve">, έχει σημειωθεί περαιτέρω μείωση </w:t>
      </w:r>
      <w:r w:rsidR="00B17D51" w:rsidRPr="00A278AB">
        <w:rPr>
          <w:rFonts w:ascii="Arial" w:hAnsi="Arial" w:cs="Arial"/>
          <w:sz w:val="20"/>
          <w:szCs w:val="20"/>
        </w:rPr>
        <w:t>€</w:t>
      </w:r>
      <w:r w:rsidR="003A440B" w:rsidRPr="00A278AB">
        <w:rPr>
          <w:rFonts w:ascii="Arial" w:hAnsi="Arial" w:cs="Arial"/>
          <w:sz w:val="20"/>
          <w:szCs w:val="20"/>
        </w:rPr>
        <w:t xml:space="preserve">145,1 </w:t>
      </w:r>
      <w:r w:rsidR="00A278AB" w:rsidRPr="008025D7">
        <w:rPr>
          <w:rFonts w:ascii="Arial" w:hAnsi="Arial" w:cs="Arial"/>
          <w:sz w:val="20"/>
          <w:szCs w:val="20"/>
        </w:rPr>
        <w:t xml:space="preserve">εκατ. </w:t>
      </w:r>
      <w:r w:rsidRPr="00A278AB">
        <w:rPr>
          <w:rFonts w:ascii="Arial" w:hAnsi="Arial" w:cs="Arial"/>
          <w:sz w:val="20"/>
          <w:szCs w:val="20"/>
        </w:rPr>
        <w:t xml:space="preserve">ή </w:t>
      </w:r>
      <w:r w:rsidR="003A440B" w:rsidRPr="00A278AB">
        <w:rPr>
          <w:rFonts w:ascii="Arial" w:hAnsi="Arial" w:cs="Arial"/>
          <w:sz w:val="20"/>
          <w:szCs w:val="20"/>
        </w:rPr>
        <w:t>2,84</w:t>
      </w:r>
      <w:r w:rsidRPr="00A278AB">
        <w:rPr>
          <w:rFonts w:ascii="Arial" w:hAnsi="Arial" w:cs="Arial"/>
          <w:sz w:val="20"/>
          <w:szCs w:val="20"/>
        </w:rPr>
        <w:t xml:space="preserve">% στα συνολικά </w:t>
      </w:r>
      <w:r w:rsidR="00F96858" w:rsidRPr="00A278AB">
        <w:rPr>
          <w:rFonts w:ascii="Arial" w:hAnsi="Arial" w:cs="Arial"/>
          <w:sz w:val="20"/>
          <w:szCs w:val="20"/>
        </w:rPr>
        <w:t xml:space="preserve">ΜΕΔ (βάσει ΕΑΤ) </w:t>
      </w:r>
      <w:r w:rsidRPr="00A278AB">
        <w:rPr>
          <w:rFonts w:ascii="Arial" w:hAnsi="Arial" w:cs="Arial"/>
          <w:sz w:val="20"/>
          <w:szCs w:val="20"/>
        </w:rPr>
        <w:t>σε σύγκριση με το τέλος Δεκεμβρίου 20</w:t>
      </w:r>
      <w:r w:rsidR="00F96858" w:rsidRPr="00A278AB">
        <w:rPr>
          <w:rFonts w:ascii="Arial" w:hAnsi="Arial" w:cs="Arial"/>
          <w:sz w:val="20"/>
          <w:szCs w:val="20"/>
        </w:rPr>
        <w:t>20</w:t>
      </w:r>
      <w:r w:rsidRPr="00A278AB">
        <w:rPr>
          <w:rFonts w:ascii="Arial" w:hAnsi="Arial" w:cs="Arial"/>
          <w:sz w:val="20"/>
          <w:szCs w:val="20"/>
        </w:rPr>
        <w:t>.</w:t>
      </w:r>
      <w:r w:rsidRPr="009E324E">
        <w:rPr>
          <w:rFonts w:ascii="Arial" w:hAnsi="Arial" w:cs="Arial"/>
          <w:sz w:val="20"/>
          <w:szCs w:val="20"/>
        </w:rPr>
        <w:t xml:space="preserve"> </w:t>
      </w:r>
    </w:p>
    <w:p w:rsidR="00A6454D" w:rsidRPr="00F54F5B" w:rsidRDefault="00A6454D" w:rsidP="00A6454D">
      <w:pPr>
        <w:suppressAutoHyphens/>
        <w:autoSpaceDN w:val="0"/>
        <w:spacing w:before="10" w:after="100" w:afterAutospacing="1"/>
        <w:jc w:val="both"/>
        <w:rPr>
          <w:rFonts w:ascii="Arial" w:hAnsi="Arial" w:cs="Arial"/>
          <w:sz w:val="20"/>
          <w:szCs w:val="20"/>
        </w:rPr>
      </w:pPr>
      <w:r>
        <w:rPr>
          <w:rFonts w:ascii="Arial" w:hAnsi="Arial" w:cs="Arial"/>
          <w:sz w:val="20"/>
          <w:szCs w:val="20"/>
        </w:rPr>
        <w:t>Τα ΜΕΔ (βάσει ΕΑΤ)</w:t>
      </w:r>
      <w:r w:rsidRPr="00F54F5B">
        <w:rPr>
          <w:rFonts w:ascii="Arial" w:hAnsi="Arial" w:cs="Arial"/>
          <w:sz w:val="20"/>
          <w:szCs w:val="20"/>
        </w:rPr>
        <w:t xml:space="preserve"> του ΟΧΣ παραμένουν σταθερά ανά τρίμηνο με ασήμαντες μεταβολές από έτος σε έτος. Οι ρυθμίσεις κατά τα προηγούμενα έτη είχαν παγιοποιηθεί  λόγω της αν</w:t>
      </w:r>
      <w:r>
        <w:rPr>
          <w:rFonts w:ascii="Arial" w:hAnsi="Arial" w:cs="Arial"/>
          <w:sz w:val="20"/>
          <w:szCs w:val="20"/>
        </w:rPr>
        <w:t>αμονής του Σχεδίου ΕΣΤΙΑ («ΕΣΤΙΑ</w:t>
      </w:r>
      <w:r w:rsidRPr="00F54F5B">
        <w:rPr>
          <w:rFonts w:ascii="Arial" w:hAnsi="Arial" w:cs="Arial"/>
          <w:sz w:val="20"/>
          <w:szCs w:val="20"/>
        </w:rPr>
        <w:t xml:space="preserve">»). Τον Ιούλιο 2018, η Κυβέρνηση ανακοίνωσε το Σχέδιο Εστία το οποίο στόχευε την αντιμετώπιση των ΜΕΔ (βάσει ΕΑΤ) τα οποία είχαν ως εξασφάλιση την πρώτη κατοικία. Το πιθανό επιλέξιμο χαρτοφυλάκιο για το ΕΣΤΙΑ ανερχόταν σε €108 εκατ. σύμφωνα με την αρχική λεπτομερή αξιολόγηση με βάση τα διαθέσιμα δεδομένα του Οργανισμού σχετικά με την αγοραία αξία και την κατηγοριοποίηση τους ως ΜΕΔ (βάσει ΕΑΤ). Το </w:t>
      </w:r>
      <w:r>
        <w:rPr>
          <w:rFonts w:ascii="Arial" w:hAnsi="Arial" w:cs="Arial"/>
          <w:sz w:val="20"/>
          <w:szCs w:val="20"/>
        </w:rPr>
        <w:t>ΕΣΤΙΑ</w:t>
      </w:r>
      <w:r w:rsidRPr="00F54F5B">
        <w:rPr>
          <w:rFonts w:ascii="Arial" w:hAnsi="Arial" w:cs="Arial"/>
          <w:sz w:val="20"/>
          <w:szCs w:val="20"/>
        </w:rPr>
        <w:t xml:space="preserve"> αναμενόταν </w:t>
      </w:r>
      <w:r>
        <w:rPr>
          <w:rFonts w:ascii="Arial" w:hAnsi="Arial" w:cs="Arial"/>
          <w:sz w:val="20"/>
          <w:szCs w:val="20"/>
        </w:rPr>
        <w:t xml:space="preserve">να επιλύσει σημαντικό μέρος των ΜΕΔ του ΟΧΣ </w:t>
      </w:r>
      <w:r w:rsidRPr="00F54F5B">
        <w:rPr>
          <w:rFonts w:ascii="Arial" w:hAnsi="Arial" w:cs="Arial"/>
          <w:sz w:val="20"/>
          <w:szCs w:val="20"/>
        </w:rPr>
        <w:t xml:space="preserve">καθώς η πλειονότητα του δανειακού χαρτοφυλακίου έχει ως εξασφάλιση την πρώτη κατοικία και ταυτόχρονα </w:t>
      </w:r>
      <w:r>
        <w:rPr>
          <w:rFonts w:ascii="Arial" w:hAnsi="Arial" w:cs="Arial"/>
          <w:sz w:val="20"/>
          <w:szCs w:val="20"/>
        </w:rPr>
        <w:t xml:space="preserve">κατά την υλοποίηση του ΕΣΤΙΑ </w:t>
      </w:r>
      <w:r w:rsidRPr="00F54F5B">
        <w:rPr>
          <w:rFonts w:ascii="Arial" w:hAnsi="Arial" w:cs="Arial"/>
          <w:sz w:val="20"/>
          <w:szCs w:val="20"/>
        </w:rPr>
        <w:t xml:space="preserve">θα βοηθούσε τον ΟΧΣ να εντοπίσει τους μη-βιώσιμους ή/και μη συνεργάσιμους πελάτες (ενόψει και της συνεργασίας με τους Διαχειριστές ΜΕΔ). </w:t>
      </w:r>
    </w:p>
    <w:p w:rsidR="00A6454D" w:rsidRDefault="0020562C" w:rsidP="00A6454D">
      <w:pPr>
        <w:pStyle w:val="NormalWeb"/>
        <w:jc w:val="both"/>
        <w:rPr>
          <w:rFonts w:ascii="Arial" w:hAnsi="Arial" w:cs="Arial"/>
          <w:color w:val="000000"/>
          <w:sz w:val="20"/>
          <w:szCs w:val="20"/>
        </w:rPr>
      </w:pPr>
      <w:r>
        <w:rPr>
          <w:rFonts w:ascii="Arial" w:hAnsi="Arial" w:cs="Arial"/>
          <w:color w:val="000000"/>
          <w:sz w:val="20"/>
          <w:szCs w:val="20"/>
        </w:rPr>
        <w:t>Σύμφωνα με το Υ</w:t>
      </w:r>
      <w:r w:rsidR="00A6454D" w:rsidRPr="00C82A0B">
        <w:rPr>
          <w:rFonts w:ascii="Arial" w:hAnsi="Arial" w:cs="Arial"/>
          <w:color w:val="000000"/>
          <w:sz w:val="20"/>
          <w:szCs w:val="20"/>
        </w:rPr>
        <w:t>πουργείο Οικονομικών, η υποβολή αιτήσεων στο Σχέδιο Εστία διήρκησε μεταξύ 1 Σεπτεμβρίου</w:t>
      </w:r>
      <w:r w:rsidR="00A6454D">
        <w:rPr>
          <w:rFonts w:ascii="Arial" w:hAnsi="Arial" w:cs="Arial"/>
          <w:color w:val="000000"/>
          <w:sz w:val="20"/>
          <w:szCs w:val="20"/>
        </w:rPr>
        <w:t xml:space="preserve"> 2019 μέχρι τις </w:t>
      </w:r>
      <w:r w:rsidR="00A6454D" w:rsidRPr="00C82A0B">
        <w:rPr>
          <w:rFonts w:ascii="Arial" w:hAnsi="Arial" w:cs="Arial"/>
          <w:color w:val="000000"/>
          <w:sz w:val="20"/>
          <w:szCs w:val="20"/>
        </w:rPr>
        <w:t>15 Ιουνίου 2020, ενώ η διορία</w:t>
      </w:r>
      <w:r w:rsidR="00A6454D">
        <w:rPr>
          <w:rFonts w:ascii="Arial" w:hAnsi="Arial" w:cs="Arial"/>
          <w:color w:val="000000"/>
          <w:sz w:val="20"/>
          <w:szCs w:val="20"/>
        </w:rPr>
        <w:t xml:space="preserve"> για την προσκόμιση</w:t>
      </w:r>
      <w:r w:rsidR="00A6454D" w:rsidRPr="00C82A0B">
        <w:rPr>
          <w:rFonts w:ascii="Arial" w:hAnsi="Arial" w:cs="Arial"/>
          <w:color w:val="000000"/>
          <w:sz w:val="20"/>
          <w:szCs w:val="20"/>
        </w:rPr>
        <w:t xml:space="preserve"> δικαιολογητικών για την πλήρη συμπλήρωση των αιτήσεων </w:t>
      </w:r>
      <w:r w:rsidR="00A6454D">
        <w:rPr>
          <w:rFonts w:ascii="Arial" w:hAnsi="Arial" w:cs="Arial"/>
          <w:color w:val="000000"/>
          <w:sz w:val="20"/>
          <w:szCs w:val="20"/>
        </w:rPr>
        <w:t>έληξε σ</w:t>
      </w:r>
      <w:r w:rsidR="00A6454D" w:rsidRPr="00C82A0B">
        <w:rPr>
          <w:rFonts w:ascii="Arial" w:hAnsi="Arial" w:cs="Arial"/>
          <w:color w:val="000000"/>
          <w:sz w:val="20"/>
          <w:szCs w:val="20"/>
        </w:rPr>
        <w:t>τις 31 Ιουλίου 2020.</w:t>
      </w:r>
    </w:p>
    <w:p w:rsidR="00A6454D" w:rsidRPr="00F54F5B" w:rsidRDefault="00A6454D" w:rsidP="00A6454D">
      <w:pPr>
        <w:ind w:left="57" w:right="57"/>
        <w:jc w:val="both"/>
        <w:rPr>
          <w:rFonts w:ascii="Arial" w:hAnsi="Arial" w:cs="Arial"/>
          <w:color w:val="000000"/>
          <w:sz w:val="20"/>
          <w:szCs w:val="20"/>
        </w:rPr>
      </w:pPr>
      <w:r w:rsidRPr="00F54F5B">
        <w:rPr>
          <w:rFonts w:ascii="Arial" w:hAnsi="Arial" w:cs="Arial"/>
          <w:sz w:val="20"/>
          <w:szCs w:val="20"/>
        </w:rPr>
        <w:t xml:space="preserve">Σύμφωνα με τις πρόνοιες του Σχεδίου ΕΣΤΙΑ εξαιρούνταν πιστωτικές διευκολύνσεις οι οποίες είχαν συγχρηματοδοτηθεί από τον Οργανισμό στα πλαίσια Κρατικών Σχεδίων και εξασφαλίζονται με κρατική γη. Σύμφωνα με το Μνημόνιο Συναντίληψης το Κράτος εξέφρασε την πρόθεση ένταξης των εν λόγω Πιστωτικών Διευκολύνσεων σε άλλα Κυβερνητικά Σχεδία. </w:t>
      </w:r>
      <w:r w:rsidRPr="00F54F5B">
        <w:rPr>
          <w:rFonts w:ascii="Arial" w:hAnsi="Arial" w:cs="Arial"/>
          <w:color w:val="000000"/>
          <w:sz w:val="20"/>
          <w:szCs w:val="20"/>
        </w:rPr>
        <w:t xml:space="preserve">Στις 13 Αυγούστου 2021 μετά από αίτημα του Υπουργείου Οικονομικών εγκρίθηκε από την Ευρωπαϊκή Επιτροπή το Σχέδιο Οικία («ΟΙΚΙΑ»). </w:t>
      </w:r>
    </w:p>
    <w:p w:rsidR="00A6454D" w:rsidRPr="00F54F5B" w:rsidRDefault="00A6454D" w:rsidP="00A6454D">
      <w:pPr>
        <w:ind w:left="57" w:right="57"/>
        <w:jc w:val="both"/>
        <w:rPr>
          <w:rFonts w:ascii="Arial" w:hAnsi="Arial" w:cs="Arial"/>
          <w:sz w:val="20"/>
          <w:szCs w:val="20"/>
        </w:rPr>
      </w:pPr>
      <w:r w:rsidRPr="00F54F5B">
        <w:rPr>
          <w:rFonts w:ascii="Arial" w:hAnsi="Arial" w:cs="Arial"/>
          <w:color w:val="000000"/>
          <w:sz w:val="20"/>
          <w:szCs w:val="20"/>
        </w:rPr>
        <w:t xml:space="preserve">Το ΟΙΚΙΑ έχει εφαρμογή στον Οργανισμό και σκοπός του σχεδίου είναι η υποβοήθηση πρωτοφειλετών δανείων που έχουν συνάψει δάνεια με κυβερνητικά κεφάλαια (Στεγαστικό Σχέδιο Δανειοδότησης Ζευγαριών με Χαμηλά Εισοδήματα ή Ενιαίο Στεγαστικό Σχέδιο) ή/και δάνεια με κεφάλαια του ΟΧΣ για ανέγερση κατοικίας σε οικόπεδα που παραχώρησε το Κράτος σε δικαιούχους στα πλαίσια της στεγαστικής πολιτικής του Κράτους.  Επιλέξιμα είναι τα  δάνεια που παρουσιάζουν καθυστερήσεις πέραν των 90 ημερών κατά την 31ην Δεκεμβρίου 2019 και πληρούνται σειρά κριτήριων που </w:t>
      </w:r>
      <w:r w:rsidRPr="00F54F5B">
        <w:rPr>
          <w:rFonts w:ascii="Arial" w:hAnsi="Arial" w:cs="Arial"/>
          <w:color w:val="000000"/>
          <w:sz w:val="20"/>
          <w:szCs w:val="20"/>
        </w:rPr>
        <w:lastRenderedPageBreak/>
        <w:t xml:space="preserve">αναφέρονται πιο κάτω. Στο σχέδιο εντάσσονται και τα δάνεια τα οποία είχαν τύχει αναδιάρθρωσης πριν την 31/12/19 και η συμφωνηθείσα μηνιαία  δόση πριν την 31/12/19 δεν υπερβαίνει το 50% της κανονικής μηνιαίας δόσης που ακολουθεί για πλήρη εξόφληση  του δανείου. </w:t>
      </w:r>
    </w:p>
    <w:p w:rsidR="00A6454D" w:rsidRPr="00F54F5B" w:rsidRDefault="00A6454D" w:rsidP="00A6454D">
      <w:pPr>
        <w:autoSpaceDE w:val="0"/>
        <w:autoSpaceDN w:val="0"/>
        <w:adjustRightInd w:val="0"/>
        <w:jc w:val="both"/>
        <w:rPr>
          <w:rFonts w:ascii="Arial" w:hAnsi="Arial" w:cs="Arial"/>
          <w:color w:val="000000"/>
          <w:sz w:val="20"/>
          <w:szCs w:val="20"/>
        </w:rPr>
      </w:pPr>
      <w:r w:rsidRPr="00F54F5B">
        <w:rPr>
          <w:rFonts w:ascii="Arial" w:hAnsi="Arial" w:cs="Arial"/>
          <w:color w:val="000000"/>
          <w:sz w:val="20"/>
          <w:szCs w:val="20"/>
        </w:rPr>
        <w:t xml:space="preserve">Με το ΟΙΚΙΑ θα δίδεται η ευχέρεια στους δικαιούχους πρωτοφειλέτες των δανείων αυτών μετά από την υποβολή αίτησης να προχωρήσουν σε διευθέτηση των υπολοίπων των δανείων τους με τις ακόλουθες τρεις επιλογές: </w:t>
      </w:r>
    </w:p>
    <w:p w:rsidR="00A6454D" w:rsidRPr="00F54F5B" w:rsidRDefault="00A6454D" w:rsidP="00A6454D">
      <w:pPr>
        <w:autoSpaceDE w:val="0"/>
        <w:autoSpaceDN w:val="0"/>
        <w:adjustRightInd w:val="0"/>
        <w:ind w:left="720"/>
        <w:jc w:val="both"/>
        <w:rPr>
          <w:rFonts w:ascii="Arial" w:hAnsi="Arial" w:cs="Arial"/>
          <w:sz w:val="20"/>
          <w:szCs w:val="20"/>
        </w:rPr>
      </w:pPr>
      <w:r w:rsidRPr="00F54F5B">
        <w:rPr>
          <w:rFonts w:ascii="Arial" w:hAnsi="Arial" w:cs="Arial"/>
          <w:sz w:val="20"/>
          <w:szCs w:val="20"/>
        </w:rPr>
        <w:t>(α) με αναδιάρθρωση του εναπομείναντα Κεφαλαίου του δανείου στα πλαίσια εφικτής και βιώσιμης λύσης  ρύθμισης , είτε,</w:t>
      </w:r>
    </w:p>
    <w:p w:rsidR="00A6454D" w:rsidRPr="00F54F5B" w:rsidRDefault="00A6454D" w:rsidP="00A6454D">
      <w:pPr>
        <w:autoSpaceDE w:val="0"/>
        <w:autoSpaceDN w:val="0"/>
        <w:adjustRightInd w:val="0"/>
        <w:ind w:left="720"/>
        <w:jc w:val="both"/>
        <w:rPr>
          <w:rFonts w:ascii="Arial" w:hAnsi="Arial" w:cs="Arial"/>
          <w:sz w:val="20"/>
          <w:szCs w:val="20"/>
        </w:rPr>
      </w:pPr>
      <w:r w:rsidRPr="00F54F5B">
        <w:rPr>
          <w:rFonts w:ascii="Arial" w:hAnsi="Arial" w:cs="Arial"/>
          <w:sz w:val="20"/>
          <w:szCs w:val="20"/>
        </w:rPr>
        <w:t>(β) με πλήρη και άμεση αποπληρωμή του εναπομείναντα Κεφαλαίου είτε και</w:t>
      </w:r>
    </w:p>
    <w:p w:rsidR="00A6454D" w:rsidRPr="00F54F5B" w:rsidRDefault="00A6454D" w:rsidP="00A6454D">
      <w:pPr>
        <w:autoSpaceDE w:val="0"/>
        <w:autoSpaceDN w:val="0"/>
        <w:adjustRightInd w:val="0"/>
        <w:ind w:left="720"/>
        <w:jc w:val="both"/>
        <w:rPr>
          <w:rFonts w:ascii="Arial" w:hAnsi="Arial" w:cs="Arial"/>
          <w:sz w:val="20"/>
          <w:szCs w:val="20"/>
        </w:rPr>
      </w:pPr>
      <w:r w:rsidRPr="00F54F5B">
        <w:rPr>
          <w:rFonts w:ascii="Arial" w:hAnsi="Arial" w:cs="Arial"/>
          <w:sz w:val="20"/>
          <w:szCs w:val="20"/>
        </w:rPr>
        <w:t xml:space="preserve">(γ) με συνδυασμό των πιο πάνω (Εφάπαξ ποσό και Αναδιάρθρωση του υπολοίπου)  </w:t>
      </w:r>
    </w:p>
    <w:p w:rsidR="00A6454D" w:rsidRPr="00F54F5B" w:rsidRDefault="00A6454D" w:rsidP="00A6454D">
      <w:pPr>
        <w:autoSpaceDE w:val="0"/>
        <w:autoSpaceDN w:val="0"/>
        <w:adjustRightInd w:val="0"/>
        <w:jc w:val="both"/>
        <w:rPr>
          <w:rFonts w:ascii="Arial" w:hAnsi="Arial" w:cs="Arial"/>
          <w:sz w:val="20"/>
          <w:szCs w:val="20"/>
        </w:rPr>
      </w:pPr>
      <w:r w:rsidRPr="00D00CBF">
        <w:rPr>
          <w:rFonts w:ascii="Arial" w:hAnsi="Arial" w:cs="Arial"/>
          <w:sz w:val="20"/>
          <w:szCs w:val="20"/>
          <w:lang w:val="en-GB"/>
        </w:rPr>
        <w:t>To</w:t>
      </w:r>
      <w:r w:rsidRPr="00F54F5B">
        <w:rPr>
          <w:rFonts w:ascii="Arial" w:hAnsi="Arial" w:cs="Arial"/>
          <w:sz w:val="20"/>
          <w:szCs w:val="20"/>
        </w:rPr>
        <w:t xml:space="preserve"> εναπομείναν κεφάλαιο, είναι το εκδοθέν κεφάλαιο με βάση την αρχική έγκριση πλέον των χρεώσεων για ασφάλεια ζωής και πυρός, μείον τις αποπληρωμές του δανειολήπτη από ίδιους πόρους μέχρι την ημερομηνία ρύθμισης ή εξόφλησης με βάση το Σχέδιο αυτό. </w:t>
      </w:r>
    </w:p>
    <w:p w:rsidR="00A6454D" w:rsidRPr="00F54F5B" w:rsidRDefault="00A6454D" w:rsidP="00A6454D">
      <w:pPr>
        <w:suppressAutoHyphens/>
        <w:autoSpaceDN w:val="0"/>
        <w:spacing w:before="10" w:after="100" w:afterAutospacing="1"/>
        <w:jc w:val="both"/>
        <w:rPr>
          <w:rFonts w:ascii="Arial" w:hAnsi="Arial" w:cs="Arial"/>
          <w:sz w:val="20"/>
          <w:szCs w:val="20"/>
        </w:rPr>
      </w:pPr>
      <w:r w:rsidRPr="00F54F5B">
        <w:rPr>
          <w:rFonts w:ascii="Arial" w:hAnsi="Arial" w:cs="Arial"/>
          <w:sz w:val="20"/>
          <w:szCs w:val="20"/>
        </w:rPr>
        <w:t xml:space="preserve">Στις 6 Νοεμβρίου 2019 το Υπουργικό Συμβούλιο ενέκρινε </w:t>
      </w:r>
      <w:r>
        <w:rPr>
          <w:rFonts w:ascii="Arial" w:hAnsi="Arial" w:cs="Arial"/>
          <w:sz w:val="20"/>
          <w:szCs w:val="20"/>
        </w:rPr>
        <w:t>και</w:t>
      </w:r>
      <w:r w:rsidRPr="00F54F5B">
        <w:rPr>
          <w:rFonts w:ascii="Arial" w:hAnsi="Arial" w:cs="Arial"/>
          <w:sz w:val="20"/>
          <w:szCs w:val="20"/>
        </w:rPr>
        <w:t xml:space="preserve"> έχει ανακοινωθεί το Σχέδιο διαχείρισης τερματισμένων/ληγμένων/μη εξυπηρετούμενων δανείων που παραχωρήθηκαν μετά από έγκριση του Κεντρικού Φορέα Ισότιμης Κατανομής Βαρών (Σχέδιο ΚΦΙΚΒ), το οποίο τέθηκε σε εφαρμογή από τις 2 Ιανουαρίου 2020 με αρχική ημερομηνία λήξης 31 Μαρτίου 2020. </w:t>
      </w:r>
      <w:r w:rsidRPr="00F54F5B">
        <w:rPr>
          <w:rFonts w:ascii="Arial" w:hAnsi="Arial" w:cs="Arial"/>
          <w:color w:val="000000"/>
          <w:sz w:val="21"/>
          <w:szCs w:val="21"/>
        </w:rPr>
        <w:t>Το εν λόγω Σχέδιο επεκτάθηκε μετά από απόφαση του Υπουργικού Συμβουλίου ημερομηνίας 16 Δεκεμβρίου 2020 μέχρι τις 30/0</w:t>
      </w:r>
      <w:r>
        <w:rPr>
          <w:rFonts w:ascii="Arial" w:hAnsi="Arial" w:cs="Arial"/>
          <w:color w:val="000000"/>
          <w:sz w:val="21"/>
          <w:szCs w:val="21"/>
        </w:rPr>
        <w:t>9</w:t>
      </w:r>
      <w:r w:rsidRPr="00F54F5B">
        <w:rPr>
          <w:rFonts w:ascii="Arial" w:hAnsi="Arial" w:cs="Arial"/>
          <w:color w:val="000000"/>
          <w:sz w:val="21"/>
          <w:szCs w:val="21"/>
        </w:rPr>
        <w:t>/2021.</w:t>
      </w:r>
      <w:r w:rsidRPr="00F54F5B">
        <w:rPr>
          <w:rFonts w:ascii="Arial" w:hAnsi="Arial" w:cs="Arial"/>
          <w:sz w:val="20"/>
          <w:szCs w:val="20"/>
        </w:rPr>
        <w:t xml:space="preserve"> Στην συνέχεια, </w:t>
      </w:r>
      <w:r w:rsidRPr="00F54F5B">
        <w:rPr>
          <w:rFonts w:ascii="Arial" w:hAnsi="Arial" w:cs="Arial"/>
          <w:color w:val="000000"/>
          <w:sz w:val="21"/>
          <w:szCs w:val="21"/>
        </w:rPr>
        <w:t>το Υπουργικό Συμβούλιο σε συνεδρία του ημερομηνίας 24 Ιουνίου 2021, αποφάσισε την έγκριση της επέκτασης του Σχεδίου διαχείρισης τερματισμένων/ληγμένων/μη εξυπηρετούμενων δανείων που παραχωρήθηκαν μετά από έγκριση του Κεντρικού Φορέα Ισότιμης Κατανομής Βαρών.</w:t>
      </w:r>
      <w:r w:rsidRPr="00F54F5B">
        <w:rPr>
          <w:rFonts w:ascii="Arial" w:hAnsi="Arial" w:cs="Arial"/>
          <w:sz w:val="20"/>
          <w:szCs w:val="20"/>
        </w:rPr>
        <w:t xml:space="preserve"> </w:t>
      </w:r>
      <w:r w:rsidRPr="00F54F5B">
        <w:rPr>
          <w:rFonts w:ascii="Arial" w:hAnsi="Arial" w:cs="Arial"/>
          <w:color w:val="000000"/>
          <w:sz w:val="21"/>
          <w:szCs w:val="21"/>
        </w:rPr>
        <w:t>Τα χρονοδιαγράμματα καθώς και η διαδικασία υλοποίησης του Σχεδίου, όπως αυτά εγκρίθηκαν στη συνεδρία του Υπουργικού Συμβουλίου ημερομηνίας 24 Ιουνίου 2021, είναι τα ακόλουθα:</w:t>
      </w:r>
    </w:p>
    <w:p w:rsidR="00A6454D" w:rsidRPr="00F54F5B" w:rsidRDefault="00A6454D" w:rsidP="00A6454D">
      <w:pPr>
        <w:pStyle w:val="ListParagraph"/>
        <w:numPr>
          <w:ilvl w:val="0"/>
          <w:numId w:val="21"/>
        </w:numPr>
        <w:shd w:val="clear" w:color="auto" w:fill="FFFFFF"/>
        <w:spacing w:after="0" w:line="240" w:lineRule="auto"/>
        <w:ind w:left="709" w:hanging="349"/>
        <w:contextualSpacing w:val="0"/>
        <w:jc w:val="both"/>
        <w:rPr>
          <w:rFonts w:ascii="Arial" w:hAnsi="Arial" w:cs="Arial"/>
          <w:color w:val="000000"/>
          <w:sz w:val="21"/>
          <w:szCs w:val="21"/>
        </w:rPr>
      </w:pPr>
      <w:r w:rsidRPr="00F54F5B">
        <w:rPr>
          <w:rFonts w:ascii="Arial" w:hAnsi="Arial" w:cs="Arial"/>
          <w:color w:val="000000"/>
          <w:sz w:val="21"/>
          <w:szCs w:val="21"/>
        </w:rPr>
        <w:t xml:space="preserve">Αίτημα εκδήλωσης ενδιαφέροντος από δικαιούχους για συμμετοχή στο </w:t>
      </w:r>
      <w:r w:rsidRPr="002077A6">
        <w:rPr>
          <w:rFonts w:ascii="Arial" w:hAnsi="Arial" w:cs="Arial"/>
          <w:color w:val="000000"/>
          <w:sz w:val="21"/>
          <w:szCs w:val="21"/>
        </w:rPr>
        <w:t>Σχέδιο </w:t>
      </w:r>
      <w:r w:rsidRPr="002077A6">
        <w:rPr>
          <w:rFonts w:ascii="Arial" w:hAnsi="Arial" w:cs="Arial"/>
          <w:bCs/>
          <w:color w:val="000000"/>
          <w:sz w:val="21"/>
          <w:szCs w:val="21"/>
        </w:rPr>
        <w:t>μέχρι 30/</w:t>
      </w:r>
      <w:r>
        <w:rPr>
          <w:rFonts w:ascii="Arial" w:hAnsi="Arial" w:cs="Arial"/>
          <w:bCs/>
          <w:color w:val="000000"/>
          <w:sz w:val="21"/>
          <w:szCs w:val="21"/>
        </w:rPr>
        <w:t>0</w:t>
      </w:r>
      <w:r w:rsidRPr="002077A6">
        <w:rPr>
          <w:rFonts w:ascii="Arial" w:hAnsi="Arial" w:cs="Arial"/>
          <w:bCs/>
          <w:color w:val="000000"/>
          <w:sz w:val="21"/>
          <w:szCs w:val="21"/>
        </w:rPr>
        <w:t>9/2021</w:t>
      </w:r>
      <w:r w:rsidRPr="002077A6">
        <w:rPr>
          <w:rFonts w:ascii="Arial" w:hAnsi="Arial" w:cs="Arial"/>
          <w:color w:val="000000"/>
          <w:sz w:val="21"/>
          <w:szCs w:val="21"/>
        </w:rPr>
        <w:t>.</w:t>
      </w:r>
    </w:p>
    <w:p w:rsidR="00A6454D" w:rsidRPr="00F54F5B" w:rsidRDefault="00A6454D" w:rsidP="00A6454D">
      <w:pPr>
        <w:pStyle w:val="ListParagraph"/>
        <w:numPr>
          <w:ilvl w:val="0"/>
          <w:numId w:val="21"/>
        </w:numPr>
        <w:shd w:val="clear" w:color="auto" w:fill="FFFFFF"/>
        <w:spacing w:after="0" w:line="240" w:lineRule="auto"/>
        <w:contextualSpacing w:val="0"/>
        <w:jc w:val="both"/>
        <w:rPr>
          <w:rFonts w:ascii="Arial" w:hAnsi="Arial" w:cs="Arial"/>
          <w:color w:val="000000"/>
          <w:sz w:val="21"/>
          <w:szCs w:val="21"/>
        </w:rPr>
      </w:pPr>
      <w:r w:rsidRPr="00F54F5B">
        <w:rPr>
          <w:rFonts w:ascii="Arial" w:hAnsi="Arial" w:cs="Arial"/>
          <w:color w:val="000000"/>
          <w:sz w:val="21"/>
          <w:szCs w:val="21"/>
        </w:rPr>
        <w:t xml:space="preserve">Επιστολή ενημέρωσης σε απάντηση της εκδήλωσης ενδιαφέροντος μέχρι τις 31/12/2021.  </w:t>
      </w:r>
    </w:p>
    <w:p w:rsidR="00A6454D" w:rsidRPr="00F54F5B" w:rsidRDefault="00A6454D" w:rsidP="00A6454D">
      <w:pPr>
        <w:pStyle w:val="ListParagraph"/>
        <w:numPr>
          <w:ilvl w:val="0"/>
          <w:numId w:val="21"/>
        </w:numPr>
        <w:shd w:val="clear" w:color="auto" w:fill="FFFFFF"/>
        <w:spacing w:after="0" w:line="240" w:lineRule="auto"/>
        <w:contextualSpacing w:val="0"/>
        <w:jc w:val="both"/>
        <w:rPr>
          <w:rFonts w:ascii="Arial" w:hAnsi="Arial" w:cs="Arial"/>
          <w:color w:val="000000"/>
          <w:sz w:val="21"/>
          <w:szCs w:val="21"/>
        </w:rPr>
      </w:pPr>
      <w:r w:rsidRPr="00F54F5B">
        <w:rPr>
          <w:rFonts w:ascii="Arial" w:hAnsi="Arial" w:cs="Arial"/>
          <w:color w:val="000000"/>
          <w:sz w:val="21"/>
          <w:szCs w:val="21"/>
        </w:rPr>
        <w:t>Ο δανειολήπτης θα πρέπει να ενημερώσει για την απόφασή του μέχρι την 1</w:t>
      </w:r>
      <w:r w:rsidRPr="00F54F5B">
        <w:rPr>
          <w:rFonts w:ascii="Arial" w:hAnsi="Arial" w:cs="Arial"/>
          <w:color w:val="000000"/>
          <w:sz w:val="21"/>
          <w:szCs w:val="21"/>
          <w:vertAlign w:val="superscript"/>
        </w:rPr>
        <w:t xml:space="preserve">ην </w:t>
      </w:r>
      <w:r w:rsidRPr="00F54F5B">
        <w:rPr>
          <w:rFonts w:ascii="Arial" w:hAnsi="Arial" w:cs="Arial"/>
          <w:color w:val="000000"/>
          <w:sz w:val="21"/>
          <w:szCs w:val="21"/>
        </w:rPr>
        <w:t xml:space="preserve">Μαρτίου 2022.  </w:t>
      </w:r>
    </w:p>
    <w:p w:rsidR="00AB3BEA" w:rsidRDefault="00AB3BEA" w:rsidP="00570EF0">
      <w:pPr>
        <w:suppressAutoHyphens/>
        <w:autoSpaceDN w:val="0"/>
        <w:spacing w:before="10" w:after="100" w:afterAutospacing="1"/>
        <w:jc w:val="both"/>
        <w:rPr>
          <w:rFonts w:ascii="Arial" w:hAnsi="Arial" w:cs="Arial"/>
          <w:sz w:val="20"/>
          <w:szCs w:val="20"/>
        </w:rPr>
      </w:pPr>
      <w:r>
        <w:rPr>
          <w:rFonts w:ascii="Arial" w:hAnsi="Arial" w:cs="Arial"/>
          <w:sz w:val="20"/>
          <w:szCs w:val="20"/>
        </w:rPr>
        <w:t>Ο ΟΧΣ βρίσκεται στη</w:t>
      </w:r>
      <w:r w:rsidRPr="00AB3BEA">
        <w:rPr>
          <w:rFonts w:ascii="Arial" w:hAnsi="Arial" w:cs="Arial"/>
          <w:sz w:val="20"/>
          <w:szCs w:val="20"/>
        </w:rPr>
        <w:t xml:space="preserve"> διαδικασία ολοκλήρωσης του Διαγωνισμού για Διαχειριστές των ΜΕΔ (βάσει ΕΑΤ) με σκοπό την αποτελεσματική διαχείριση των δανείων σε καθυστέρηση. Ο διαγωνισμός αναμένεται να ολοκληρωθεί εντός του δ’ τριμήνου του 2021.</w:t>
      </w:r>
    </w:p>
    <w:p w:rsidR="00AB3BEA" w:rsidRPr="00F54F5B" w:rsidRDefault="00AB3BEA" w:rsidP="00AB3BEA">
      <w:pPr>
        <w:jc w:val="both"/>
        <w:rPr>
          <w:rFonts w:ascii="Arial" w:eastAsia="Calibri" w:hAnsi="Arial" w:cs="Arial"/>
          <w:sz w:val="20"/>
          <w:szCs w:val="20"/>
        </w:rPr>
      </w:pPr>
      <w:r w:rsidRPr="00F54F5B">
        <w:rPr>
          <w:rFonts w:ascii="Arial" w:eastAsia="Calibri" w:hAnsi="Arial" w:cs="Arial"/>
          <w:sz w:val="20"/>
          <w:szCs w:val="20"/>
        </w:rPr>
        <w:t xml:space="preserve">Για τη διαχείριση των ΜΕΔ για τα επόμενα έτη έχουν διαχωριστεί τα ΜΕΔ σε 5 κυρίως κατηγορίες: δάνεια που έχουν χορηγηθεί από τον ΟΧΣ με εγγύηση του ΚΦΙΚΒ, δάνεια που εμπίπτουν στο Σχέδιο ΕΣΤΙΑ, δάνεια που έχουν αιτηθεί στα πλαίσια του Σχεδίου Ηρακλής, δάνεια που εμπίπτουν στο Σχέδιο ΟΙΚΙΑ και δάνεια τα οποία θα διαχειριστούν από την πλατφόρμα. Για την κατάρτιση του πιο πάνω πίνακα έχουν γίνει οι πιο πάνω παραδοχές: </w:t>
      </w:r>
    </w:p>
    <w:p w:rsidR="00AB3BEA" w:rsidRPr="00F54F5B" w:rsidRDefault="00AB3BEA" w:rsidP="00AB3BEA">
      <w:pPr>
        <w:pStyle w:val="ListParagraph"/>
        <w:numPr>
          <w:ilvl w:val="0"/>
          <w:numId w:val="22"/>
        </w:numPr>
        <w:spacing w:after="0" w:line="240" w:lineRule="auto"/>
        <w:contextualSpacing w:val="0"/>
        <w:jc w:val="both"/>
        <w:rPr>
          <w:rFonts w:ascii="Arial" w:hAnsi="Arial" w:cs="Arial"/>
          <w:sz w:val="20"/>
          <w:szCs w:val="20"/>
        </w:rPr>
      </w:pPr>
      <w:r w:rsidRPr="00F54F5B">
        <w:rPr>
          <w:rFonts w:ascii="Arial" w:hAnsi="Arial" w:cs="Arial"/>
          <w:sz w:val="20"/>
          <w:szCs w:val="20"/>
        </w:rPr>
        <w:t>Για τα έτη 2021 και 2022 έχουν συμπεριληφθεί τα δάνεια που σύμφωνα με τις πληροφορίες των δανείων (</w:t>
      </w:r>
      <w:r>
        <w:rPr>
          <w:rFonts w:ascii="Arial" w:hAnsi="Arial" w:cs="Arial"/>
          <w:sz w:val="20"/>
          <w:szCs w:val="20"/>
        </w:rPr>
        <w:t>data</w:t>
      </w:r>
      <w:r w:rsidRPr="00F54F5B">
        <w:rPr>
          <w:rFonts w:ascii="Arial" w:hAnsi="Arial" w:cs="Arial"/>
          <w:sz w:val="20"/>
          <w:szCs w:val="20"/>
        </w:rPr>
        <w:t xml:space="preserve"> </w:t>
      </w:r>
      <w:r>
        <w:rPr>
          <w:rFonts w:ascii="Arial" w:hAnsi="Arial" w:cs="Arial"/>
          <w:sz w:val="20"/>
          <w:szCs w:val="20"/>
        </w:rPr>
        <w:t>tape</w:t>
      </w:r>
      <w:r w:rsidRPr="00F54F5B">
        <w:rPr>
          <w:rFonts w:ascii="Arial" w:hAnsi="Arial" w:cs="Arial"/>
          <w:sz w:val="20"/>
          <w:szCs w:val="20"/>
        </w:rPr>
        <w:t xml:space="preserve">) στις 30 Ιουνίου 2021, θα επανέλθουν σε εξυπηρετούμενα και δεν έχουν ημέρες σε καθυστέρηση. </w:t>
      </w:r>
    </w:p>
    <w:p w:rsidR="00AB3BEA" w:rsidRPr="00F54F5B" w:rsidRDefault="00AB3BEA" w:rsidP="00AB3BEA">
      <w:pPr>
        <w:pStyle w:val="ListParagraph"/>
        <w:numPr>
          <w:ilvl w:val="0"/>
          <w:numId w:val="22"/>
        </w:numPr>
        <w:spacing w:after="0" w:line="240" w:lineRule="auto"/>
        <w:contextualSpacing w:val="0"/>
        <w:jc w:val="both"/>
        <w:rPr>
          <w:rFonts w:ascii="Arial" w:hAnsi="Arial" w:cs="Arial"/>
          <w:sz w:val="20"/>
          <w:szCs w:val="20"/>
        </w:rPr>
      </w:pPr>
      <w:r w:rsidRPr="00F54F5B">
        <w:rPr>
          <w:rFonts w:ascii="Arial" w:hAnsi="Arial" w:cs="Arial"/>
          <w:sz w:val="20"/>
          <w:szCs w:val="20"/>
        </w:rPr>
        <w:t xml:space="preserve">Για δάνεια τα οποία εμπίπτουν στο Σχέδιο ΚΦΙΚΒ έχουν χρησιμοποιηθεί τα αποτελέσματα του Σχεδίου στις 30 Ιουνίου 2021, και εφαρμοστήκαν και στο επιλέξιμο χαρτοφυλάκιο καθώς το Σχέδιο δεν έχει λήξει ακόμη. Όσα δάνεια προβλέπονται ως μη βιώσιμα γίνεται η παραδοχή ότι θα ζητηθεί από τον ΚΦΙΚΒ η αποπληρωμή τους μέσω της εγγύησης. Σε σχέση με τα δάνεια τα οποία δεν είναι επιλέξιμα γίνεται η παραδοχή ότι θα γίνουν οι κατάλληλες ενέργειες μέχρι το </w:t>
      </w:r>
      <w:r w:rsidRPr="00F54F5B">
        <w:rPr>
          <w:rFonts w:ascii="Arial" w:hAnsi="Arial" w:cs="Arial"/>
          <w:sz w:val="20"/>
          <w:szCs w:val="20"/>
        </w:rPr>
        <w:lastRenderedPageBreak/>
        <w:t xml:space="preserve">2023 έτσι ώστε τα δάνεια αυτά είτε να επανέλθουν σε εξυπηρετούμενα μέσω βιώσιμης ρύθμισης ή θα αποπληρωθούν μέσω της εγγύησης του ΚΦΙΚΒ. </w:t>
      </w:r>
    </w:p>
    <w:p w:rsidR="00AB3BEA" w:rsidRPr="00F54F5B" w:rsidRDefault="00AB3BEA" w:rsidP="00AB3BEA">
      <w:pPr>
        <w:pStyle w:val="ListParagraph"/>
        <w:numPr>
          <w:ilvl w:val="0"/>
          <w:numId w:val="22"/>
        </w:numPr>
        <w:spacing w:after="0" w:line="240" w:lineRule="auto"/>
        <w:contextualSpacing w:val="0"/>
        <w:jc w:val="both"/>
        <w:rPr>
          <w:rFonts w:ascii="Arial" w:hAnsi="Arial" w:cs="Arial"/>
          <w:sz w:val="20"/>
          <w:szCs w:val="20"/>
        </w:rPr>
      </w:pPr>
      <w:r>
        <w:rPr>
          <w:rFonts w:ascii="Arial" w:hAnsi="Arial" w:cs="Arial"/>
          <w:sz w:val="20"/>
          <w:szCs w:val="20"/>
        </w:rPr>
        <w:t xml:space="preserve">Σε σχέση με την υλοποίηση του Σχεδίου </w:t>
      </w:r>
      <w:r w:rsidRPr="00F54F5B">
        <w:rPr>
          <w:rFonts w:ascii="Arial" w:hAnsi="Arial" w:cs="Arial"/>
          <w:sz w:val="20"/>
          <w:szCs w:val="20"/>
        </w:rPr>
        <w:t>ΕΣΤΙΑ έχουν συμπεριληφθεί τα αποτελέσματα του Σχεδίου μέχρι τις 30 Ιουνίου 2021. Τα δάνεια τα οποία εμπίπταν στο Σχέδιο Εστία αλλά ήταν μη βιώσιμοι σύμφωνα με τον τύπο αναμένεται να μεταφερθούν στην ΚΕΔΙΠΕΣ για διαχείριση και λαμβάνοντας υπόψη ότι αποτελούν την πρώτη κατοικία δεν αναμένεται η διαχείριση τους να γίνει μέσω της πλατφόρμας για τα ΜΕΔ, αλλά μέσω κρατικού Σχεδίου που θα απευθύνεται σε μη βιώσιμους δανειολήπτες</w:t>
      </w:r>
      <w:r>
        <w:rPr>
          <w:rFonts w:ascii="Arial" w:hAnsi="Arial" w:cs="Arial"/>
          <w:sz w:val="20"/>
          <w:szCs w:val="20"/>
        </w:rPr>
        <w:t>, κι αυτό θα υλοποιηθεί μέσω της ΚΕΔΙΠΣ</w:t>
      </w:r>
      <w:r w:rsidRPr="00F54F5B">
        <w:rPr>
          <w:rFonts w:ascii="Arial" w:hAnsi="Arial" w:cs="Arial"/>
          <w:sz w:val="20"/>
          <w:szCs w:val="20"/>
        </w:rPr>
        <w:t xml:space="preserve">. </w:t>
      </w:r>
    </w:p>
    <w:p w:rsidR="00AB3BEA" w:rsidRPr="000A7597" w:rsidRDefault="00AB3BEA" w:rsidP="00AB3BEA">
      <w:pPr>
        <w:pStyle w:val="ListParagraph"/>
        <w:numPr>
          <w:ilvl w:val="0"/>
          <w:numId w:val="22"/>
        </w:numPr>
        <w:spacing w:after="0" w:line="240" w:lineRule="auto"/>
        <w:contextualSpacing w:val="0"/>
        <w:jc w:val="both"/>
        <w:rPr>
          <w:rFonts w:ascii="Arial" w:hAnsi="Arial" w:cs="Arial"/>
          <w:sz w:val="20"/>
          <w:szCs w:val="20"/>
        </w:rPr>
      </w:pPr>
      <w:r w:rsidRPr="00F54F5B">
        <w:rPr>
          <w:rFonts w:ascii="Arial" w:hAnsi="Arial" w:cs="Arial"/>
          <w:sz w:val="20"/>
          <w:szCs w:val="20"/>
        </w:rPr>
        <w:t xml:space="preserve">Το Σχέδιο Ηρακλής έχει ημερομηνία λήξης 30 Σεπτεμβρίου 2021 και δεν αναμένεται να παραταθεί καθώς η απόδοση του ήταν σημαντικά χαμηλή. Στο πλάνο επίλυσης των ΜΕΔ (βάσει ΕΑΤ) έχουν συμπεριληφθεί τα αποτελέσματα του </w:t>
      </w:r>
      <w:r>
        <w:rPr>
          <w:rFonts w:ascii="Arial" w:hAnsi="Arial" w:cs="Arial"/>
          <w:sz w:val="20"/>
          <w:szCs w:val="20"/>
        </w:rPr>
        <w:t xml:space="preserve">συγκεκριμένου </w:t>
      </w:r>
      <w:r w:rsidRPr="00F54F5B">
        <w:rPr>
          <w:rFonts w:ascii="Arial" w:hAnsi="Arial" w:cs="Arial"/>
          <w:sz w:val="20"/>
          <w:szCs w:val="20"/>
        </w:rPr>
        <w:t xml:space="preserve">Σχεδίου. </w:t>
      </w:r>
      <w:r w:rsidRPr="000A7597">
        <w:rPr>
          <w:rFonts w:ascii="Arial" w:hAnsi="Arial" w:cs="Arial"/>
          <w:sz w:val="20"/>
          <w:szCs w:val="20"/>
        </w:rPr>
        <w:t xml:space="preserve">Σημειώνεται, ότι τα δυνητικά επιλέξιμα δάνεια ανέρχονταν σε €32,6 εκατ.. </w:t>
      </w:r>
    </w:p>
    <w:p w:rsidR="00AB3BEA" w:rsidRPr="00F54F5B" w:rsidRDefault="00AB3BEA" w:rsidP="00AB3BEA">
      <w:pPr>
        <w:pStyle w:val="ListParagraph"/>
        <w:numPr>
          <w:ilvl w:val="0"/>
          <w:numId w:val="22"/>
        </w:numPr>
        <w:spacing w:after="0" w:line="240" w:lineRule="auto"/>
        <w:contextualSpacing w:val="0"/>
        <w:jc w:val="both"/>
        <w:rPr>
          <w:rFonts w:ascii="Arial" w:hAnsi="Arial" w:cs="Arial"/>
          <w:sz w:val="20"/>
          <w:szCs w:val="20"/>
        </w:rPr>
      </w:pPr>
      <w:r w:rsidRPr="00F54F5B">
        <w:rPr>
          <w:rFonts w:ascii="Arial" w:hAnsi="Arial" w:cs="Arial"/>
          <w:sz w:val="20"/>
          <w:szCs w:val="20"/>
        </w:rPr>
        <w:t xml:space="preserve">Στους Διαχειριστές για τα Μη Εξυπηρετούμενα Δάνεια αναμένεται να μεταφερθεί το χαρτοφυλάκιο που δεν θα διαχειριστεί μέσω των πιο πάνω Σχεδίων εκτός από τους μη βιώσιμους δανειολήπτες που έχουν αιτηθεί για ένταξη στο Σχέδιο ΕΣΤΙΑ και τα δάνεια που έχουν εγγύηση του ΚΦΙΚΒ. Το έτος 2022, αναμένεται ότι θα διαχειριστούν άμεσα δάνεια με υπόλοιπο χαμηλότερο των €50 χιλ. και με ποσοστό αποπληρωμής των συμβατικών τους δόσεων από το 2020 μέχρι 30/06/2021 μεγαλύτερο του 60%. Το έτος 2023, αναμένεται ότι θα διαχειριστούν άμεσα δάνεια με υπόλοιπο χαμηλότερο των €100 χιλ., μεγαλύτερο των €50 χιλ. και με ποσοστό αποπληρωμής των συμβατικών τους δόσεων από το 2020 μέχρι 30/06/2021 μεγαλύτερο του 60%. Τα δάνεια που αναμένεται να ρυθμιστούν και να επανέλθουν σε εξυπηρετούμενα κατά την διάρκεια της σύμβασης ανέρχονται σε 29,83% του συνολικού χαρτοφυλακίου που θα δοθούν προς διαχείριση. Με βάση τους όρους του διαγωνισμού το ποσοστό αναμένεται να ανέρχεται μέχρι το 52%, παρόλα αυτά λαμβάνοντας υπόψη ότι κάποια δάνεια δύναται να μην κατηγοριοποιηθούν ως εξυπηρετούμενα εντός της τριετίας αλλά και του γεγονότος ότι δίνεται η δυνατότητα επέκτασης της σύμβασης για ακόμα 2 χρόνια το ποσοστό που έχει ενσωματωθεί είναι χαμηλότερο. Τα δάνεια που αναμένεται να αποπληρωθούν μέσω των διαχειριστών είτε μέσω ανταλλαγής χρέους/ακινήτου ή/και πώληση του υποθηκευμένου ή/και διαγραφή ποσού αναμένεται να ανέρχεται στο 30,18% του συνολικού χαρτοφυλακίου που θα δοθεί για διαχείριση σε σύγκριση με το 33% σύμφωνα με τους όρους προκήρυξης. Αναμένεται ότι η πλατφόρμα θα προχωρήσει στην αποτελεσματική διαχείριση του χαρτοφυλακίου των ΜΕΔ και  δάνεια τα οποία δεν αναμένεται να διαχειριστούν μέσω βιώσιμης ρύθμισης τότε θα προχωρούν οι διαδικασίες για πλήρης αποπληρωμή μέσω άλλων τρόπων. </w:t>
      </w:r>
    </w:p>
    <w:p w:rsidR="00AB3BEA" w:rsidRPr="00880E70" w:rsidRDefault="00AB3BEA" w:rsidP="00880E70">
      <w:pPr>
        <w:pStyle w:val="ListParagraph"/>
        <w:numPr>
          <w:ilvl w:val="0"/>
          <w:numId w:val="22"/>
        </w:numPr>
        <w:spacing w:after="0" w:line="240" w:lineRule="auto"/>
        <w:contextualSpacing w:val="0"/>
        <w:jc w:val="both"/>
        <w:rPr>
          <w:rFonts w:ascii="Arial" w:hAnsi="Arial" w:cs="Arial"/>
          <w:sz w:val="20"/>
          <w:szCs w:val="20"/>
        </w:rPr>
      </w:pPr>
      <w:r w:rsidRPr="00F54F5B">
        <w:rPr>
          <w:rFonts w:ascii="Arial" w:hAnsi="Arial" w:cs="Arial"/>
          <w:sz w:val="20"/>
          <w:szCs w:val="20"/>
        </w:rPr>
        <w:t xml:space="preserve">Στο Σχέδιο ΟΙΚΙΑ είναι δυνητικά επιλέξιμα δάνεια συνολικής αξίας €93 εκατ. και έχει γίνει η παραδοχή ότι τα αποτελέσματα του Σχεδίου ΚΦΙΚΒ είναι πιο αντιπροσωπευτικά καθώς τα κίνητρα για αποπληρωμή του χρέους είναι πανομοιότυπα (ποσό προς αποπληρωμή/ρύθμιση εναπομένον κεφάλαιο μόνο).  Δάνεια τα οποία δεν θα διαχειριστούν μέσω του Σχεδίου (δεν θα προχωρήσουν σε σχετικό αίτημα, μη βιώσιμοι) θα μεταφερθούν στην πλατφόρμα ΜΕΔ αλλά ο ρυθμός μεταφοράς τους σε εξυπηρετούμενα θα είναι χαμηλότερος σε σύγκριση με το υπόλοιπο χαρτοφυλάκιο λαμβάνοντας υπόψη τις ιδιαιτερότητες του χρηματοδοτούμενου/υποθηκευμένου. </w:t>
      </w:r>
    </w:p>
    <w:p w:rsidR="00AB3BEA" w:rsidRPr="00F54F5B" w:rsidRDefault="00AB3BEA" w:rsidP="00AB3BEA">
      <w:pPr>
        <w:pStyle w:val="ListParagraph"/>
        <w:numPr>
          <w:ilvl w:val="0"/>
          <w:numId w:val="22"/>
        </w:numPr>
        <w:spacing w:after="0" w:line="240" w:lineRule="auto"/>
        <w:contextualSpacing w:val="0"/>
        <w:jc w:val="both"/>
        <w:rPr>
          <w:rFonts w:ascii="Arial" w:hAnsi="Arial" w:cs="Arial"/>
          <w:sz w:val="20"/>
          <w:szCs w:val="20"/>
        </w:rPr>
      </w:pPr>
      <w:r w:rsidRPr="00F54F5B">
        <w:rPr>
          <w:rFonts w:ascii="Arial" w:hAnsi="Arial" w:cs="Arial"/>
          <w:sz w:val="20"/>
          <w:szCs w:val="20"/>
        </w:rPr>
        <w:t xml:space="preserve">Τα νέα ΜΕΔ που έχουν συμπεριληφθεί είναι  €5.000 χιλ. ανά έτος. Σημειώνεται ότι σε κατάσταση που έχει σταλεί στις εποπτικές αρχές, το </w:t>
      </w:r>
      <w:r>
        <w:rPr>
          <w:rFonts w:ascii="Arial" w:hAnsi="Arial" w:cs="Arial"/>
          <w:sz w:val="20"/>
          <w:szCs w:val="20"/>
        </w:rPr>
        <w:t>5,6</w:t>
      </w:r>
      <w:r w:rsidRPr="00F54F5B">
        <w:rPr>
          <w:rFonts w:ascii="Arial" w:hAnsi="Arial" w:cs="Arial"/>
          <w:sz w:val="20"/>
          <w:szCs w:val="20"/>
        </w:rPr>
        <w:t>% των συνολικών πιστωτικών διευκολύνσεων που έχει δοθεί από το 2013-06/2019 έχει κατηγοριοποιηθεί σαν ΜΕΔ. Συγκεκριμένα, έχουν κατηγοριοποιηθεί σαν ΜΕΔ στο διάστημα αυτό δάνεια συνολικής αξίας €5.960 χιλ από το συνολικό χαρτοφυλάκιο που έχει χορηγηθεί €106.718</w:t>
      </w:r>
      <w:r w:rsidR="0003768A">
        <w:rPr>
          <w:rFonts w:ascii="Arial" w:hAnsi="Arial" w:cs="Arial"/>
          <w:sz w:val="20"/>
          <w:szCs w:val="20"/>
        </w:rPr>
        <w:t xml:space="preserve"> </w:t>
      </w:r>
      <w:r w:rsidRPr="00F54F5B">
        <w:rPr>
          <w:rFonts w:ascii="Arial" w:hAnsi="Arial" w:cs="Arial"/>
          <w:sz w:val="20"/>
          <w:szCs w:val="20"/>
        </w:rPr>
        <w:t xml:space="preserve">χιλ. </w:t>
      </w:r>
    </w:p>
    <w:p w:rsidR="00A278AB" w:rsidRDefault="00A278AB" w:rsidP="000821A6">
      <w:pPr>
        <w:suppressAutoHyphens/>
        <w:autoSpaceDN w:val="0"/>
        <w:spacing w:before="10" w:after="100" w:afterAutospacing="1"/>
        <w:jc w:val="both"/>
        <w:rPr>
          <w:rFonts w:ascii="Arial" w:hAnsi="Arial" w:cs="Arial"/>
          <w:sz w:val="20"/>
          <w:szCs w:val="20"/>
        </w:rPr>
      </w:pPr>
    </w:p>
    <w:p w:rsidR="000821A6" w:rsidRDefault="000821A6" w:rsidP="000821A6">
      <w:pPr>
        <w:suppressAutoHyphens/>
        <w:autoSpaceDN w:val="0"/>
        <w:spacing w:before="10" w:after="100" w:afterAutospacing="1"/>
        <w:jc w:val="both"/>
        <w:rPr>
          <w:rFonts w:ascii="Arial" w:hAnsi="Arial" w:cs="Arial"/>
          <w:sz w:val="20"/>
          <w:szCs w:val="20"/>
        </w:rPr>
      </w:pPr>
      <w:r w:rsidRPr="008505F9">
        <w:rPr>
          <w:rFonts w:ascii="Arial" w:hAnsi="Arial" w:cs="Arial"/>
          <w:sz w:val="20"/>
          <w:szCs w:val="20"/>
        </w:rPr>
        <w:t xml:space="preserve">Λαμβάνοντας υπόψη τα πιο πάνω, έχει καταρτιστεί </w:t>
      </w:r>
      <w:r>
        <w:rPr>
          <w:rFonts w:ascii="Arial" w:hAnsi="Arial" w:cs="Arial"/>
          <w:sz w:val="20"/>
          <w:szCs w:val="20"/>
        </w:rPr>
        <w:t xml:space="preserve">το πιο κάτω </w:t>
      </w:r>
      <w:r w:rsidRPr="008505F9">
        <w:rPr>
          <w:rFonts w:ascii="Arial" w:hAnsi="Arial" w:cs="Arial"/>
          <w:sz w:val="20"/>
          <w:szCs w:val="20"/>
        </w:rPr>
        <w:t>πλάνο επίλυσης των ΜΕΔ</w:t>
      </w:r>
      <w:r w:rsidRPr="00B603E5">
        <w:rPr>
          <w:rFonts w:ascii="Arial" w:hAnsi="Arial" w:cs="Arial"/>
          <w:sz w:val="20"/>
          <w:szCs w:val="20"/>
        </w:rPr>
        <w:t xml:space="preserve"> </w:t>
      </w:r>
      <w:r w:rsidRPr="009E324E">
        <w:rPr>
          <w:rFonts w:ascii="Arial" w:hAnsi="Arial" w:cs="Arial"/>
          <w:sz w:val="20"/>
          <w:szCs w:val="20"/>
        </w:rPr>
        <w:t>(βάσει ΕΑΤ)</w:t>
      </w:r>
      <w:r w:rsidRPr="008505F9">
        <w:rPr>
          <w:rFonts w:ascii="Arial" w:hAnsi="Arial" w:cs="Arial"/>
          <w:sz w:val="20"/>
          <w:szCs w:val="20"/>
        </w:rPr>
        <w:t xml:space="preserve"> </w:t>
      </w:r>
      <w:r>
        <w:rPr>
          <w:rFonts w:ascii="Arial" w:hAnsi="Arial" w:cs="Arial"/>
          <w:sz w:val="20"/>
          <w:szCs w:val="20"/>
        </w:rPr>
        <w:t xml:space="preserve">όπως παρουσιάζεται </w:t>
      </w:r>
      <w:r w:rsidRPr="008505F9">
        <w:rPr>
          <w:rFonts w:ascii="Arial" w:hAnsi="Arial" w:cs="Arial"/>
          <w:sz w:val="20"/>
          <w:szCs w:val="20"/>
        </w:rPr>
        <w:t>στον πίνακα πιο κάτω</w:t>
      </w:r>
      <w:r w:rsidRPr="009E324E">
        <w:rPr>
          <w:rFonts w:ascii="Arial" w:hAnsi="Arial" w:cs="Arial"/>
          <w:sz w:val="20"/>
          <w:szCs w:val="20"/>
        </w:rPr>
        <w:t>.</w:t>
      </w:r>
    </w:p>
    <w:p w:rsidR="00A278AB" w:rsidRDefault="00A278AB" w:rsidP="000821A6">
      <w:pPr>
        <w:suppressAutoHyphens/>
        <w:autoSpaceDN w:val="0"/>
        <w:spacing w:before="10" w:after="100" w:afterAutospacing="1"/>
        <w:jc w:val="both"/>
        <w:rPr>
          <w:rFonts w:ascii="Arial" w:hAnsi="Arial" w:cs="Arial"/>
          <w:sz w:val="20"/>
          <w:szCs w:val="20"/>
        </w:rPr>
      </w:pPr>
    </w:p>
    <w:p w:rsidR="00A278AB" w:rsidRDefault="00A278AB" w:rsidP="000821A6">
      <w:pPr>
        <w:suppressAutoHyphens/>
        <w:autoSpaceDN w:val="0"/>
        <w:spacing w:before="10" w:after="100" w:afterAutospacing="1"/>
        <w:jc w:val="both"/>
        <w:rPr>
          <w:rFonts w:ascii="Arial" w:hAnsi="Arial" w:cs="Arial"/>
          <w:sz w:val="20"/>
          <w:szCs w:val="20"/>
        </w:rPr>
      </w:pPr>
    </w:p>
    <w:p w:rsidR="00A278AB" w:rsidRDefault="00A278AB" w:rsidP="000821A6">
      <w:pPr>
        <w:suppressAutoHyphens/>
        <w:autoSpaceDN w:val="0"/>
        <w:spacing w:before="10" w:after="100" w:afterAutospacing="1"/>
        <w:jc w:val="both"/>
        <w:rPr>
          <w:rFonts w:ascii="Arial" w:hAnsi="Arial" w:cs="Arial"/>
          <w:sz w:val="20"/>
          <w:szCs w:val="20"/>
        </w:rPr>
      </w:pPr>
    </w:p>
    <w:p w:rsidR="00A278AB" w:rsidRDefault="00A278AB" w:rsidP="000821A6">
      <w:pPr>
        <w:suppressAutoHyphens/>
        <w:autoSpaceDN w:val="0"/>
        <w:spacing w:before="10" w:after="100" w:afterAutospacing="1"/>
        <w:jc w:val="both"/>
        <w:rPr>
          <w:rFonts w:ascii="Arial" w:hAnsi="Arial" w:cs="Arial"/>
          <w:sz w:val="20"/>
          <w:szCs w:val="20"/>
          <w:highlight w:val="yellow"/>
        </w:rPr>
      </w:pPr>
    </w:p>
    <w:tbl>
      <w:tblPr>
        <w:tblW w:w="95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7"/>
        <w:gridCol w:w="1173"/>
        <w:gridCol w:w="960"/>
        <w:gridCol w:w="960"/>
        <w:gridCol w:w="960"/>
        <w:gridCol w:w="960"/>
      </w:tblGrid>
      <w:tr w:rsidR="000821A6" w:rsidRPr="000821A6" w:rsidTr="001D6A2A">
        <w:trPr>
          <w:trHeight w:val="300"/>
        </w:trPr>
        <w:tc>
          <w:tcPr>
            <w:tcW w:w="4507" w:type="dxa"/>
            <w:shd w:val="clear" w:color="auto" w:fill="auto"/>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lastRenderedPageBreak/>
              <w:t> </w:t>
            </w:r>
          </w:p>
        </w:tc>
        <w:tc>
          <w:tcPr>
            <w:tcW w:w="1173" w:type="dxa"/>
            <w:shd w:val="clear" w:color="auto" w:fill="auto"/>
            <w:noWrap/>
            <w:vAlign w:val="center"/>
            <w:hideMark/>
          </w:tcPr>
          <w:p w:rsidR="000821A6" w:rsidRPr="000821A6" w:rsidRDefault="00C37814" w:rsidP="001D6A2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6Μ</w:t>
            </w:r>
            <w:r w:rsidR="000821A6" w:rsidRPr="000821A6">
              <w:rPr>
                <w:rFonts w:ascii="Arial" w:eastAsia="Times New Roman" w:hAnsi="Arial" w:cs="Arial"/>
                <w:b/>
                <w:bCs/>
                <w:color w:val="000000"/>
                <w:sz w:val="20"/>
                <w:szCs w:val="20"/>
              </w:rPr>
              <w:t>2021</w:t>
            </w:r>
            <w:r>
              <w:rPr>
                <w:rFonts w:ascii="Arial" w:eastAsia="Times New Roman" w:hAnsi="Arial" w:cs="Arial"/>
                <w:b/>
                <w:bCs/>
                <w:color w:val="000000"/>
                <w:sz w:val="20"/>
                <w:szCs w:val="20"/>
              </w:rPr>
              <w:t xml:space="preserve"> Α</w:t>
            </w:r>
          </w:p>
        </w:tc>
        <w:tc>
          <w:tcPr>
            <w:tcW w:w="960" w:type="dxa"/>
            <w:shd w:val="clear" w:color="auto" w:fill="auto"/>
            <w:noWrap/>
            <w:vAlign w:val="center"/>
            <w:hideMark/>
          </w:tcPr>
          <w:p w:rsidR="000821A6" w:rsidRPr="000821A6" w:rsidRDefault="000821A6" w:rsidP="001D6A2A">
            <w:pPr>
              <w:spacing w:after="0" w:line="240" w:lineRule="auto"/>
              <w:jc w:val="center"/>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2021</w:t>
            </w:r>
            <w:r w:rsidR="00C37814">
              <w:rPr>
                <w:rFonts w:ascii="Arial" w:eastAsia="Times New Roman" w:hAnsi="Arial" w:cs="Arial"/>
                <w:b/>
                <w:bCs/>
                <w:color w:val="000000"/>
                <w:sz w:val="20"/>
                <w:szCs w:val="20"/>
              </w:rPr>
              <w:t xml:space="preserve"> Π</w:t>
            </w:r>
          </w:p>
        </w:tc>
        <w:tc>
          <w:tcPr>
            <w:tcW w:w="960" w:type="dxa"/>
            <w:shd w:val="clear" w:color="auto" w:fill="auto"/>
            <w:noWrap/>
            <w:vAlign w:val="center"/>
            <w:hideMark/>
          </w:tcPr>
          <w:p w:rsidR="000821A6" w:rsidRPr="000821A6" w:rsidRDefault="000821A6" w:rsidP="001D6A2A">
            <w:pPr>
              <w:spacing w:after="0" w:line="240" w:lineRule="auto"/>
              <w:jc w:val="center"/>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2022</w:t>
            </w:r>
            <w:r w:rsidR="00C37814">
              <w:rPr>
                <w:rFonts w:ascii="Arial" w:eastAsia="Times New Roman" w:hAnsi="Arial" w:cs="Arial"/>
                <w:b/>
                <w:bCs/>
                <w:color w:val="000000"/>
                <w:sz w:val="20"/>
                <w:szCs w:val="20"/>
              </w:rPr>
              <w:t xml:space="preserve"> Π</w:t>
            </w:r>
          </w:p>
        </w:tc>
        <w:tc>
          <w:tcPr>
            <w:tcW w:w="960" w:type="dxa"/>
            <w:shd w:val="clear" w:color="auto" w:fill="auto"/>
            <w:noWrap/>
            <w:vAlign w:val="center"/>
            <w:hideMark/>
          </w:tcPr>
          <w:p w:rsidR="000821A6" w:rsidRPr="000821A6" w:rsidRDefault="000821A6" w:rsidP="001D6A2A">
            <w:pPr>
              <w:spacing w:after="0" w:line="240" w:lineRule="auto"/>
              <w:jc w:val="center"/>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2023</w:t>
            </w:r>
            <w:r w:rsidR="00C37814">
              <w:rPr>
                <w:rFonts w:ascii="Arial" w:eastAsia="Times New Roman" w:hAnsi="Arial" w:cs="Arial"/>
                <w:b/>
                <w:bCs/>
                <w:color w:val="000000"/>
                <w:sz w:val="20"/>
                <w:szCs w:val="20"/>
              </w:rPr>
              <w:t xml:space="preserve"> Π</w:t>
            </w:r>
          </w:p>
        </w:tc>
        <w:tc>
          <w:tcPr>
            <w:tcW w:w="960" w:type="dxa"/>
            <w:shd w:val="clear" w:color="auto" w:fill="auto"/>
            <w:noWrap/>
            <w:vAlign w:val="center"/>
            <w:hideMark/>
          </w:tcPr>
          <w:p w:rsidR="000821A6" w:rsidRPr="000821A6" w:rsidRDefault="000821A6" w:rsidP="001D6A2A">
            <w:pPr>
              <w:spacing w:after="0" w:line="240" w:lineRule="auto"/>
              <w:jc w:val="center"/>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2024</w:t>
            </w:r>
            <w:r w:rsidR="00C37814">
              <w:rPr>
                <w:rFonts w:ascii="Arial" w:eastAsia="Times New Roman" w:hAnsi="Arial" w:cs="Arial"/>
                <w:b/>
                <w:bCs/>
                <w:color w:val="000000"/>
                <w:sz w:val="20"/>
                <w:szCs w:val="20"/>
              </w:rPr>
              <w:t xml:space="preserve"> Π</w:t>
            </w:r>
          </w:p>
        </w:tc>
      </w:tr>
      <w:tr w:rsidR="000821A6" w:rsidRPr="000821A6" w:rsidTr="001D6A2A">
        <w:trPr>
          <w:trHeight w:val="300"/>
        </w:trPr>
        <w:tc>
          <w:tcPr>
            <w:tcW w:w="4507" w:type="dxa"/>
            <w:tcBorders>
              <w:bottom w:val="single" w:sz="12" w:space="0" w:color="auto"/>
            </w:tcBorders>
            <w:shd w:val="clear" w:color="auto" w:fill="auto"/>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1173" w:type="dxa"/>
            <w:tcBorders>
              <w:bottom w:val="single" w:sz="12" w:space="0" w:color="auto"/>
            </w:tcBorders>
            <w:shd w:val="clear" w:color="auto" w:fill="auto"/>
            <w:noWrap/>
            <w:vAlign w:val="center"/>
            <w:hideMark/>
          </w:tcPr>
          <w:p w:rsidR="000821A6" w:rsidRPr="000821A6" w:rsidRDefault="000821A6" w:rsidP="001D6A2A">
            <w:pPr>
              <w:spacing w:after="0" w:line="240" w:lineRule="auto"/>
              <w:jc w:val="center"/>
              <w:rPr>
                <w:rFonts w:ascii="Arial" w:eastAsia="Times New Roman" w:hAnsi="Arial" w:cs="Arial"/>
                <w:color w:val="000000"/>
                <w:sz w:val="20"/>
                <w:szCs w:val="20"/>
              </w:rPr>
            </w:pPr>
            <w:r w:rsidRPr="000821A6">
              <w:rPr>
                <w:rFonts w:ascii="Arial" w:eastAsia="Times New Roman" w:hAnsi="Arial" w:cs="Arial"/>
                <w:color w:val="000000"/>
                <w:sz w:val="20"/>
                <w:szCs w:val="20"/>
              </w:rPr>
              <w:t>€ 000</w:t>
            </w:r>
          </w:p>
        </w:tc>
        <w:tc>
          <w:tcPr>
            <w:tcW w:w="960" w:type="dxa"/>
            <w:tcBorders>
              <w:bottom w:val="single" w:sz="12" w:space="0" w:color="auto"/>
            </w:tcBorders>
            <w:shd w:val="clear" w:color="auto" w:fill="auto"/>
            <w:noWrap/>
            <w:hideMark/>
          </w:tcPr>
          <w:p w:rsidR="000821A6" w:rsidRPr="000821A6" w:rsidRDefault="000821A6" w:rsidP="001D6A2A">
            <w:pPr>
              <w:spacing w:after="0" w:line="240" w:lineRule="auto"/>
              <w:jc w:val="center"/>
              <w:rPr>
                <w:rFonts w:ascii="Arial" w:eastAsia="Times New Roman" w:hAnsi="Arial" w:cs="Arial"/>
                <w:color w:val="000000"/>
                <w:sz w:val="20"/>
                <w:szCs w:val="20"/>
              </w:rPr>
            </w:pPr>
            <w:r w:rsidRPr="000821A6">
              <w:rPr>
                <w:rFonts w:ascii="Arial" w:eastAsia="Times New Roman" w:hAnsi="Arial" w:cs="Arial"/>
                <w:color w:val="000000"/>
                <w:sz w:val="20"/>
                <w:szCs w:val="20"/>
              </w:rPr>
              <w:t>€ 000</w:t>
            </w:r>
          </w:p>
        </w:tc>
        <w:tc>
          <w:tcPr>
            <w:tcW w:w="960" w:type="dxa"/>
            <w:tcBorders>
              <w:bottom w:val="single" w:sz="12" w:space="0" w:color="auto"/>
            </w:tcBorders>
            <w:shd w:val="clear" w:color="auto" w:fill="auto"/>
            <w:noWrap/>
            <w:hideMark/>
          </w:tcPr>
          <w:p w:rsidR="000821A6" w:rsidRPr="000821A6" w:rsidRDefault="000821A6" w:rsidP="001D6A2A">
            <w:pPr>
              <w:spacing w:after="0" w:line="240" w:lineRule="auto"/>
              <w:jc w:val="center"/>
              <w:rPr>
                <w:rFonts w:ascii="Arial" w:eastAsia="Times New Roman" w:hAnsi="Arial" w:cs="Arial"/>
                <w:color w:val="000000"/>
                <w:sz w:val="20"/>
                <w:szCs w:val="20"/>
              </w:rPr>
            </w:pPr>
            <w:r w:rsidRPr="000821A6">
              <w:rPr>
                <w:rFonts w:ascii="Arial" w:eastAsia="Times New Roman" w:hAnsi="Arial" w:cs="Arial"/>
                <w:color w:val="000000"/>
                <w:sz w:val="20"/>
                <w:szCs w:val="20"/>
              </w:rPr>
              <w:t>€ 000</w:t>
            </w:r>
          </w:p>
        </w:tc>
        <w:tc>
          <w:tcPr>
            <w:tcW w:w="960" w:type="dxa"/>
            <w:tcBorders>
              <w:bottom w:val="single" w:sz="12" w:space="0" w:color="auto"/>
            </w:tcBorders>
            <w:shd w:val="clear" w:color="auto" w:fill="auto"/>
            <w:noWrap/>
            <w:hideMark/>
          </w:tcPr>
          <w:p w:rsidR="000821A6" w:rsidRPr="000821A6" w:rsidRDefault="000821A6" w:rsidP="001D6A2A">
            <w:pPr>
              <w:spacing w:after="0" w:line="240" w:lineRule="auto"/>
              <w:jc w:val="center"/>
              <w:rPr>
                <w:rFonts w:ascii="Arial" w:eastAsia="Times New Roman" w:hAnsi="Arial" w:cs="Arial"/>
                <w:color w:val="000000"/>
                <w:sz w:val="20"/>
                <w:szCs w:val="20"/>
              </w:rPr>
            </w:pPr>
            <w:r w:rsidRPr="000821A6">
              <w:rPr>
                <w:rFonts w:ascii="Arial" w:eastAsia="Times New Roman" w:hAnsi="Arial" w:cs="Arial"/>
                <w:color w:val="000000"/>
                <w:sz w:val="20"/>
                <w:szCs w:val="20"/>
              </w:rPr>
              <w:t>€ 000</w:t>
            </w:r>
          </w:p>
        </w:tc>
        <w:tc>
          <w:tcPr>
            <w:tcW w:w="960" w:type="dxa"/>
            <w:tcBorders>
              <w:bottom w:val="single" w:sz="12" w:space="0" w:color="auto"/>
            </w:tcBorders>
            <w:shd w:val="clear" w:color="auto" w:fill="auto"/>
            <w:noWrap/>
            <w:hideMark/>
          </w:tcPr>
          <w:p w:rsidR="000821A6" w:rsidRPr="000821A6" w:rsidRDefault="000821A6" w:rsidP="001D6A2A">
            <w:pPr>
              <w:spacing w:after="0" w:line="240" w:lineRule="auto"/>
              <w:jc w:val="center"/>
              <w:rPr>
                <w:rFonts w:ascii="Arial" w:eastAsia="Times New Roman" w:hAnsi="Arial" w:cs="Arial"/>
                <w:color w:val="000000"/>
                <w:sz w:val="20"/>
                <w:szCs w:val="20"/>
              </w:rPr>
            </w:pPr>
            <w:r w:rsidRPr="000821A6">
              <w:rPr>
                <w:rFonts w:ascii="Arial" w:eastAsia="Times New Roman" w:hAnsi="Arial" w:cs="Arial"/>
                <w:color w:val="000000"/>
                <w:sz w:val="20"/>
                <w:szCs w:val="20"/>
              </w:rPr>
              <w:t>€ 000</w:t>
            </w:r>
          </w:p>
        </w:tc>
      </w:tr>
      <w:tr w:rsidR="000821A6" w:rsidRPr="000821A6" w:rsidTr="001D6A2A">
        <w:trPr>
          <w:trHeight w:val="300"/>
        </w:trPr>
        <w:tc>
          <w:tcPr>
            <w:tcW w:w="4507" w:type="dxa"/>
            <w:tcBorders>
              <w:top w:val="single" w:sz="12" w:space="0" w:color="auto"/>
              <w:bottom w:val="single" w:sz="12" w:space="0" w:color="auto"/>
            </w:tcBorders>
            <w:shd w:val="clear" w:color="auto" w:fill="auto"/>
            <w:vAlign w:val="center"/>
            <w:hideMark/>
          </w:tcPr>
          <w:p w:rsidR="000821A6" w:rsidRPr="000821A6" w:rsidRDefault="000821A6" w:rsidP="001D6A2A">
            <w:pPr>
              <w:spacing w:after="0" w:line="240" w:lineRule="auto"/>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ΜΕΔ (βάσει ΕΑΤ)</w:t>
            </w:r>
          </w:p>
        </w:tc>
        <w:tc>
          <w:tcPr>
            <w:tcW w:w="1173" w:type="dxa"/>
            <w:tcBorders>
              <w:top w:val="single" w:sz="12" w:space="0" w:color="auto"/>
              <w:bottom w:val="single" w:sz="12" w:space="0" w:color="auto"/>
            </w:tcBorders>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tcBorders>
              <w:top w:val="single" w:sz="12" w:space="0" w:color="auto"/>
              <w:bottom w:val="single" w:sz="12"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281.596</w:t>
            </w:r>
          </w:p>
        </w:tc>
        <w:tc>
          <w:tcPr>
            <w:tcW w:w="960" w:type="dxa"/>
            <w:tcBorders>
              <w:top w:val="single" w:sz="12" w:space="0" w:color="auto"/>
              <w:bottom w:val="single" w:sz="12"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276.518</w:t>
            </w:r>
          </w:p>
        </w:tc>
        <w:tc>
          <w:tcPr>
            <w:tcW w:w="960" w:type="dxa"/>
            <w:tcBorders>
              <w:top w:val="single" w:sz="12" w:space="0" w:color="auto"/>
              <w:bottom w:val="single" w:sz="12"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222.053</w:t>
            </w:r>
          </w:p>
        </w:tc>
        <w:tc>
          <w:tcPr>
            <w:tcW w:w="960" w:type="dxa"/>
            <w:tcBorders>
              <w:top w:val="single" w:sz="12" w:space="0" w:color="auto"/>
              <w:bottom w:val="single" w:sz="12"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185.748</w:t>
            </w:r>
          </w:p>
        </w:tc>
      </w:tr>
      <w:tr w:rsidR="000821A6" w:rsidRPr="000821A6" w:rsidTr="001D6A2A">
        <w:trPr>
          <w:trHeight w:val="300"/>
        </w:trPr>
        <w:tc>
          <w:tcPr>
            <w:tcW w:w="4507" w:type="dxa"/>
            <w:tcBorders>
              <w:top w:val="single" w:sz="12" w:space="0" w:color="auto"/>
            </w:tcBorders>
            <w:shd w:val="clear" w:color="auto" w:fill="F2DBDB" w:themeFill="accent2" w:themeFillTint="33"/>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Δάνεια που θα αποχαρακτηριστούν από ΜΕΔ</w:t>
            </w:r>
          </w:p>
        </w:tc>
        <w:tc>
          <w:tcPr>
            <w:tcW w:w="1173" w:type="dxa"/>
            <w:tcBorders>
              <w:top w:val="single" w:sz="12" w:space="0" w:color="auto"/>
            </w:tcBorders>
            <w:shd w:val="clear" w:color="auto" w:fill="F2DBDB" w:themeFill="accent2" w:themeFillTint="33"/>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7.029</w:t>
            </w:r>
          </w:p>
        </w:tc>
        <w:tc>
          <w:tcPr>
            <w:tcW w:w="960" w:type="dxa"/>
            <w:tcBorders>
              <w:top w:val="single" w:sz="12" w:space="0" w:color="auto"/>
            </w:tcBorders>
            <w:shd w:val="clear" w:color="auto" w:fill="F2DBDB" w:themeFill="accent2" w:themeFillTint="33"/>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-4.156</w:t>
            </w:r>
          </w:p>
        </w:tc>
        <w:tc>
          <w:tcPr>
            <w:tcW w:w="960" w:type="dxa"/>
            <w:tcBorders>
              <w:top w:val="single" w:sz="12" w:space="0" w:color="auto"/>
            </w:tcBorders>
            <w:shd w:val="clear" w:color="auto" w:fill="F2DBDB" w:themeFill="accent2" w:themeFillTint="33"/>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-2.873</w:t>
            </w:r>
          </w:p>
        </w:tc>
        <w:tc>
          <w:tcPr>
            <w:tcW w:w="960" w:type="dxa"/>
            <w:tcBorders>
              <w:top w:val="single" w:sz="12" w:space="0" w:color="auto"/>
            </w:tcBorders>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tcBorders>
              <w:top w:val="single" w:sz="12" w:space="0" w:color="auto"/>
            </w:tcBorders>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F2DBDB" w:themeFill="accent2" w:themeFillTint="33"/>
            <w:vAlign w:val="center"/>
            <w:hideMark/>
          </w:tcPr>
          <w:p w:rsidR="000821A6" w:rsidRPr="000821A6" w:rsidRDefault="000821A6" w:rsidP="001D6A2A">
            <w:pPr>
              <w:spacing w:after="0" w:line="240" w:lineRule="auto"/>
              <w:rPr>
                <w:rFonts w:ascii="Arial" w:eastAsia="Times New Roman" w:hAnsi="Arial" w:cs="Arial"/>
                <w:b/>
                <w:bCs/>
                <w:color w:val="000000"/>
                <w:sz w:val="20"/>
                <w:szCs w:val="20"/>
                <w:u w:val="single"/>
              </w:rPr>
            </w:pPr>
            <w:r w:rsidRPr="000821A6">
              <w:rPr>
                <w:rFonts w:ascii="Arial" w:eastAsia="Times New Roman" w:hAnsi="Arial" w:cs="Arial"/>
                <w:b/>
                <w:bCs/>
                <w:color w:val="000000"/>
                <w:sz w:val="20"/>
                <w:szCs w:val="20"/>
                <w:u w:val="single"/>
              </w:rPr>
              <w:t xml:space="preserve">Σχέδιο ΚΦΙΚΒ </w:t>
            </w:r>
          </w:p>
        </w:tc>
        <w:tc>
          <w:tcPr>
            <w:tcW w:w="1173" w:type="dxa"/>
            <w:shd w:val="clear" w:color="auto" w:fill="F2DBDB" w:themeFill="accent2" w:themeFillTint="33"/>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u w:val="single"/>
              </w:rPr>
            </w:pPr>
            <w:r w:rsidRPr="000821A6">
              <w:rPr>
                <w:rFonts w:ascii="Arial" w:eastAsia="Times New Roman" w:hAnsi="Arial" w:cs="Arial"/>
                <w:b/>
                <w:bCs/>
                <w:color w:val="000000"/>
                <w:sz w:val="20"/>
                <w:szCs w:val="20"/>
                <w:u w:val="single"/>
              </w:rPr>
              <w:t>11.599</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i/>
                <w:iCs/>
                <w:color w:val="000000"/>
                <w:sz w:val="20"/>
                <w:szCs w:val="20"/>
                <w:u w:val="single"/>
              </w:rPr>
            </w:pPr>
            <w:r w:rsidRPr="000821A6">
              <w:rPr>
                <w:rFonts w:ascii="Arial" w:eastAsia="Times New Roman" w:hAnsi="Arial" w:cs="Arial"/>
                <w:i/>
                <w:iCs/>
                <w:color w:val="000000"/>
                <w:sz w:val="20"/>
                <w:szCs w:val="20"/>
                <w:u w:val="single"/>
              </w:rPr>
              <w:t xml:space="preserve">Δάνεια που αξιολογήθηκαν </w:t>
            </w:r>
          </w:p>
        </w:tc>
        <w:tc>
          <w:tcPr>
            <w:tcW w:w="1173" w:type="dxa"/>
            <w:shd w:val="clear" w:color="auto" w:fill="auto"/>
            <w:noWrap/>
            <w:vAlign w:val="center"/>
          </w:tcPr>
          <w:p w:rsidR="000821A6" w:rsidRPr="000821A6" w:rsidRDefault="000821A6" w:rsidP="001D6A2A">
            <w:pPr>
              <w:spacing w:after="0" w:line="240" w:lineRule="auto"/>
              <w:jc w:val="right"/>
              <w:rPr>
                <w:rFonts w:ascii="Arial" w:eastAsia="Times New Roman" w:hAnsi="Arial" w:cs="Arial"/>
                <w:i/>
                <w:iCs/>
                <w:color w:val="000000"/>
                <w:sz w:val="20"/>
                <w:szCs w:val="20"/>
                <w:u w:val="single"/>
              </w:rPr>
            </w:pPr>
            <w:r w:rsidRPr="000821A6">
              <w:rPr>
                <w:rFonts w:ascii="Arial" w:eastAsia="Times New Roman" w:hAnsi="Arial" w:cs="Arial"/>
                <w:bCs/>
                <w:i/>
                <w:color w:val="000000"/>
                <w:sz w:val="20"/>
                <w:szCs w:val="20"/>
                <w:u w:val="single"/>
              </w:rPr>
              <w:t>3.692</w:t>
            </w:r>
          </w:p>
        </w:tc>
        <w:tc>
          <w:tcPr>
            <w:tcW w:w="960" w:type="dxa"/>
            <w:shd w:val="clear" w:color="auto" w:fill="auto"/>
            <w:noWrap/>
            <w:vAlign w:val="center"/>
          </w:tcPr>
          <w:p w:rsidR="000821A6" w:rsidRPr="008025D7" w:rsidRDefault="000821A6" w:rsidP="001D6A2A">
            <w:pPr>
              <w:spacing w:after="0" w:line="240" w:lineRule="auto"/>
              <w:rPr>
                <w:rFonts w:ascii="Arial" w:eastAsia="Times New Roman" w:hAnsi="Arial" w:cs="Arial"/>
                <w:color w:val="000000"/>
                <w:sz w:val="20"/>
                <w:szCs w:val="20"/>
              </w:rPr>
            </w:pP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Μη βιώσιμοι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529</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-529</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Πλήρεις Αποπληρωμή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1.430</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-715</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-715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Αίτημα ρύθμισης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1.733</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-433</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-433</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i/>
                <w:iCs/>
                <w:color w:val="000000"/>
                <w:sz w:val="20"/>
                <w:szCs w:val="20"/>
                <w:u w:val="single"/>
              </w:rPr>
            </w:pPr>
            <w:r w:rsidRPr="000821A6">
              <w:rPr>
                <w:rFonts w:ascii="Arial" w:eastAsia="Times New Roman" w:hAnsi="Arial" w:cs="Arial"/>
                <w:i/>
                <w:iCs/>
                <w:color w:val="000000"/>
                <w:sz w:val="20"/>
                <w:szCs w:val="20"/>
                <w:u w:val="single"/>
              </w:rPr>
              <w:t xml:space="preserve">Δάνεια επιλέξιμα αλλά δεν αξιολογήθηκαν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i/>
                <w:iCs/>
                <w:color w:val="000000"/>
                <w:sz w:val="20"/>
                <w:szCs w:val="20"/>
                <w:u w:val="single"/>
              </w:rPr>
            </w:pPr>
            <w:r w:rsidRPr="000821A6">
              <w:rPr>
                <w:rFonts w:ascii="Arial" w:eastAsia="Times New Roman" w:hAnsi="Arial" w:cs="Arial"/>
                <w:i/>
                <w:iCs/>
                <w:color w:val="000000"/>
                <w:sz w:val="20"/>
                <w:szCs w:val="20"/>
                <w:u w:val="single"/>
              </w:rPr>
              <w:t>7.732</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Μη βιώσιμοι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1.108</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-554</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-554</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Πλήρεις Αποπληρωμή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2.995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-2.995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Αίτημα ρύθμισης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3.629</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-907</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i/>
                <w:iCs/>
                <w:color w:val="000000"/>
                <w:sz w:val="20"/>
                <w:szCs w:val="20"/>
                <w:u w:val="single"/>
              </w:rPr>
            </w:pPr>
            <w:r w:rsidRPr="000821A6">
              <w:rPr>
                <w:rFonts w:ascii="Arial" w:eastAsia="Times New Roman" w:hAnsi="Arial" w:cs="Arial"/>
                <w:i/>
                <w:iCs/>
                <w:color w:val="000000"/>
                <w:sz w:val="20"/>
                <w:szCs w:val="20"/>
                <w:u w:val="single"/>
              </w:rPr>
              <w:t>Δάνεια μη επιλέξιμα</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i/>
                <w:iCs/>
                <w:color w:val="000000"/>
                <w:sz w:val="20"/>
                <w:szCs w:val="20"/>
                <w:u w:val="single"/>
              </w:rPr>
            </w:pPr>
            <w:r w:rsidRPr="000821A6">
              <w:rPr>
                <w:rFonts w:ascii="Arial" w:eastAsia="Times New Roman" w:hAnsi="Arial" w:cs="Arial"/>
                <w:i/>
                <w:iCs/>
                <w:color w:val="000000"/>
                <w:sz w:val="20"/>
                <w:szCs w:val="20"/>
                <w:u w:val="single"/>
              </w:rPr>
              <w:t>175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-175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F2DBDB" w:themeFill="accent2" w:themeFillTint="33"/>
            <w:vAlign w:val="center"/>
            <w:hideMark/>
          </w:tcPr>
          <w:p w:rsidR="000821A6" w:rsidRPr="000821A6" w:rsidRDefault="000821A6" w:rsidP="001D6A2A">
            <w:pPr>
              <w:spacing w:after="0" w:line="240" w:lineRule="auto"/>
              <w:rPr>
                <w:rFonts w:ascii="Arial" w:eastAsia="Times New Roman" w:hAnsi="Arial" w:cs="Arial"/>
                <w:b/>
                <w:bCs/>
                <w:color w:val="000000"/>
                <w:sz w:val="20"/>
                <w:szCs w:val="20"/>
                <w:u w:val="single"/>
              </w:rPr>
            </w:pPr>
            <w:r w:rsidRPr="000821A6">
              <w:rPr>
                <w:rFonts w:ascii="Arial" w:eastAsia="Times New Roman" w:hAnsi="Arial" w:cs="Arial"/>
                <w:b/>
                <w:bCs/>
                <w:color w:val="000000"/>
                <w:sz w:val="20"/>
                <w:szCs w:val="20"/>
                <w:u w:val="single"/>
              </w:rPr>
              <w:t>Σχέδιο ΕΣΤΙΑ</w:t>
            </w:r>
          </w:p>
        </w:tc>
        <w:tc>
          <w:tcPr>
            <w:tcW w:w="1173" w:type="dxa"/>
            <w:shd w:val="clear" w:color="auto" w:fill="F2DBDB" w:themeFill="accent2" w:themeFillTint="33"/>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u w:val="single"/>
              </w:rPr>
            </w:pPr>
            <w:r w:rsidRPr="000821A6">
              <w:rPr>
                <w:rFonts w:ascii="Arial" w:eastAsia="Times New Roman" w:hAnsi="Arial" w:cs="Arial"/>
                <w:color w:val="000000"/>
                <w:sz w:val="20"/>
                <w:szCs w:val="20"/>
                <w:u w:val="single"/>
              </w:rPr>
              <w:t>15.548</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Μη βιώσιμοι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7.527</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Αιτήματα προς ρύθμιση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2.505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-626</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-626</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Αιτήματα που έχουν υλοποίηθει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5.516</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-1.379</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-1.379</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-1.379</w:t>
            </w:r>
          </w:p>
        </w:tc>
      </w:tr>
      <w:tr w:rsidR="000821A6" w:rsidRPr="000821A6" w:rsidTr="001D6A2A">
        <w:trPr>
          <w:trHeight w:val="300"/>
        </w:trPr>
        <w:tc>
          <w:tcPr>
            <w:tcW w:w="4507" w:type="dxa"/>
            <w:shd w:val="clear" w:color="auto" w:fill="F2DBDB" w:themeFill="accent2" w:themeFillTint="33"/>
            <w:vAlign w:val="center"/>
            <w:hideMark/>
          </w:tcPr>
          <w:p w:rsidR="000821A6" w:rsidRPr="000821A6" w:rsidRDefault="000821A6" w:rsidP="001D6A2A">
            <w:pPr>
              <w:spacing w:after="0" w:line="240" w:lineRule="auto"/>
              <w:rPr>
                <w:rFonts w:ascii="Arial" w:eastAsia="Times New Roman" w:hAnsi="Arial" w:cs="Arial"/>
                <w:b/>
                <w:bCs/>
                <w:color w:val="000000"/>
                <w:sz w:val="20"/>
                <w:szCs w:val="20"/>
                <w:u w:val="single"/>
              </w:rPr>
            </w:pPr>
            <w:r w:rsidRPr="000821A6">
              <w:rPr>
                <w:rFonts w:ascii="Arial" w:eastAsia="Times New Roman" w:hAnsi="Arial" w:cs="Arial"/>
                <w:b/>
                <w:bCs/>
                <w:color w:val="000000"/>
                <w:sz w:val="20"/>
                <w:szCs w:val="20"/>
                <w:u w:val="single"/>
              </w:rPr>
              <w:t>Σχέδιο ΗΡΑΚΛΗΣ</w:t>
            </w:r>
          </w:p>
        </w:tc>
        <w:tc>
          <w:tcPr>
            <w:tcW w:w="1173" w:type="dxa"/>
            <w:shd w:val="clear" w:color="auto" w:fill="F2DBDB" w:themeFill="accent2" w:themeFillTint="33"/>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u w:val="single"/>
              </w:rPr>
            </w:pPr>
            <w:r w:rsidRPr="000821A6">
              <w:rPr>
                <w:rFonts w:ascii="Arial" w:eastAsia="Times New Roman" w:hAnsi="Arial" w:cs="Arial"/>
                <w:color w:val="000000"/>
                <w:sz w:val="20"/>
                <w:szCs w:val="20"/>
                <w:u w:val="single"/>
              </w:rPr>
              <w:t>1.094</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Μη βιώσιμοι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184</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Πλήρεις Αποπληρωμή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208</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-208</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Αίτημα ρύθμισης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702</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-176</w:t>
            </w:r>
          </w:p>
        </w:tc>
      </w:tr>
      <w:tr w:rsidR="000821A6" w:rsidRPr="000821A6" w:rsidTr="001D6A2A">
        <w:trPr>
          <w:trHeight w:val="300"/>
        </w:trPr>
        <w:tc>
          <w:tcPr>
            <w:tcW w:w="4507" w:type="dxa"/>
            <w:shd w:val="clear" w:color="auto" w:fill="F2DBDB" w:themeFill="accent2" w:themeFillTint="33"/>
            <w:vAlign w:val="center"/>
            <w:hideMark/>
          </w:tcPr>
          <w:p w:rsidR="000821A6" w:rsidRPr="000821A6" w:rsidRDefault="000821A6" w:rsidP="001D6A2A">
            <w:pPr>
              <w:spacing w:after="0" w:line="240" w:lineRule="auto"/>
              <w:rPr>
                <w:rFonts w:ascii="Arial" w:eastAsia="Times New Roman" w:hAnsi="Arial" w:cs="Arial"/>
                <w:b/>
                <w:bCs/>
                <w:color w:val="000000"/>
                <w:sz w:val="20"/>
                <w:szCs w:val="20"/>
                <w:u w:val="single"/>
              </w:rPr>
            </w:pPr>
            <w:r w:rsidRPr="000821A6">
              <w:rPr>
                <w:rFonts w:ascii="Arial" w:eastAsia="Times New Roman" w:hAnsi="Arial" w:cs="Arial"/>
                <w:b/>
                <w:bCs/>
                <w:color w:val="000000"/>
                <w:sz w:val="20"/>
                <w:szCs w:val="20"/>
                <w:u w:val="single"/>
              </w:rPr>
              <w:t xml:space="preserve">Διαχείριση ΜΕΔ από συμβούλους </w:t>
            </w:r>
          </w:p>
        </w:tc>
        <w:tc>
          <w:tcPr>
            <w:tcW w:w="1173" w:type="dxa"/>
            <w:shd w:val="clear" w:color="auto" w:fill="F2DBDB" w:themeFill="accent2" w:themeFillTint="33"/>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54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Δάνεια με ποσοστό αποπληρωμής &gt;60% και υπόλοιπο &lt;= €50χιλ</w:t>
            </w:r>
          </w:p>
        </w:tc>
        <w:tc>
          <w:tcPr>
            <w:tcW w:w="1173"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-3.966</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54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Δάνεια με ποσοστό αποπληρωμής &gt;60% και υπόλοιπο &gt; €50χιλ και μικρότερο &lt;€100χιλ</w:t>
            </w:r>
          </w:p>
        </w:tc>
        <w:tc>
          <w:tcPr>
            <w:tcW w:w="1173"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-7.010</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Δάνεια επιτυχούς Διαχείρισης/Ρύθμισης </w:t>
            </w:r>
          </w:p>
        </w:tc>
        <w:tc>
          <w:tcPr>
            <w:tcW w:w="1173"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-12.024</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-14.429</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-14.429</w:t>
            </w:r>
          </w:p>
        </w:tc>
      </w:tr>
      <w:tr w:rsidR="000821A6" w:rsidRPr="000821A6" w:rsidTr="001D6A2A">
        <w:trPr>
          <w:trHeight w:val="54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Διαχείριση δανείων μέσω ανταλλαγής ακινήτων/διαγραφή </w:t>
            </w:r>
          </w:p>
        </w:tc>
        <w:tc>
          <w:tcPr>
            <w:tcW w:w="1173"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-7.125</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-14.251</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-24.939</w:t>
            </w:r>
          </w:p>
        </w:tc>
      </w:tr>
      <w:tr w:rsidR="000821A6" w:rsidRPr="000821A6" w:rsidTr="001D6A2A">
        <w:trPr>
          <w:trHeight w:val="300"/>
        </w:trPr>
        <w:tc>
          <w:tcPr>
            <w:tcW w:w="4507" w:type="dxa"/>
            <w:shd w:val="clear" w:color="auto" w:fill="F2DBDB" w:themeFill="accent2" w:themeFillTint="33"/>
            <w:vAlign w:val="center"/>
            <w:hideMark/>
          </w:tcPr>
          <w:p w:rsidR="000821A6" w:rsidRPr="000821A6" w:rsidRDefault="000821A6" w:rsidP="001D6A2A">
            <w:pPr>
              <w:spacing w:after="0" w:line="240" w:lineRule="auto"/>
              <w:rPr>
                <w:rFonts w:ascii="Arial" w:eastAsia="Times New Roman" w:hAnsi="Arial" w:cs="Arial"/>
                <w:b/>
                <w:bCs/>
                <w:color w:val="000000"/>
                <w:sz w:val="20"/>
                <w:szCs w:val="20"/>
                <w:u w:val="single"/>
              </w:rPr>
            </w:pPr>
            <w:r w:rsidRPr="000821A6">
              <w:rPr>
                <w:rFonts w:ascii="Arial" w:eastAsia="Times New Roman" w:hAnsi="Arial" w:cs="Arial"/>
                <w:b/>
                <w:bCs/>
                <w:color w:val="000000"/>
                <w:sz w:val="20"/>
                <w:szCs w:val="20"/>
                <w:u w:val="single"/>
              </w:rPr>
              <w:t>Σχέδιο ΟΙΚΙΑ</w:t>
            </w:r>
          </w:p>
        </w:tc>
        <w:tc>
          <w:tcPr>
            <w:tcW w:w="1173" w:type="dxa"/>
            <w:shd w:val="clear" w:color="auto" w:fill="F2DBDB" w:themeFill="accent2" w:themeFillTint="33"/>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u w:val="single"/>
              </w:rPr>
            </w:pPr>
            <w:r w:rsidRPr="000821A6">
              <w:rPr>
                <w:rFonts w:ascii="Arial" w:eastAsia="Times New Roman" w:hAnsi="Arial" w:cs="Arial"/>
                <w:color w:val="000000"/>
                <w:sz w:val="20"/>
                <w:szCs w:val="20"/>
                <w:u w:val="single"/>
              </w:rPr>
              <w:t>70.496</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Μη βιώσιμοι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10.105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Πλήρεις Αποπληρωμή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27.305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-27.305</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r>
      <w:tr w:rsidR="000821A6" w:rsidRPr="000821A6" w:rsidTr="001D6A2A">
        <w:trPr>
          <w:trHeight w:val="30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 xml:space="preserve">Αίτημα ρύθμισης </w:t>
            </w:r>
          </w:p>
        </w:tc>
        <w:tc>
          <w:tcPr>
            <w:tcW w:w="1173"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33.086</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-8.272</w:t>
            </w:r>
          </w:p>
        </w:tc>
      </w:tr>
      <w:tr w:rsidR="000821A6" w:rsidRPr="000821A6" w:rsidTr="001D6A2A">
        <w:trPr>
          <w:trHeight w:val="540"/>
        </w:trPr>
        <w:tc>
          <w:tcPr>
            <w:tcW w:w="4507" w:type="dxa"/>
            <w:shd w:val="clear" w:color="auto" w:fill="auto"/>
            <w:vAlign w:val="center"/>
            <w:hideMark/>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color w:val="000000"/>
                <w:sz w:val="20"/>
                <w:szCs w:val="20"/>
              </w:rPr>
              <w:t>Διαχείριση δανείων που εμπίπτουν στο ΟΙΚΙΑ και θα μεταφερθούν στους συμβουλους</w:t>
            </w:r>
          </w:p>
        </w:tc>
        <w:tc>
          <w:tcPr>
            <w:tcW w:w="1173"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-2.448</w:t>
            </w:r>
          </w:p>
        </w:tc>
        <w:tc>
          <w:tcPr>
            <w:tcW w:w="960" w:type="dxa"/>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-2.448</w:t>
            </w:r>
          </w:p>
        </w:tc>
      </w:tr>
      <w:tr w:rsidR="000821A6" w:rsidRPr="000821A6" w:rsidTr="001D6A2A">
        <w:trPr>
          <w:trHeight w:val="220"/>
        </w:trPr>
        <w:tc>
          <w:tcPr>
            <w:tcW w:w="4507" w:type="dxa"/>
            <w:shd w:val="clear" w:color="auto" w:fill="F2DBDB" w:themeFill="accent2" w:themeFillTint="33"/>
            <w:vAlign w:val="center"/>
          </w:tcPr>
          <w:p w:rsidR="000821A6" w:rsidRPr="000821A6" w:rsidRDefault="000821A6" w:rsidP="001D6A2A">
            <w:pPr>
              <w:spacing w:after="0" w:line="240" w:lineRule="auto"/>
              <w:rPr>
                <w:rFonts w:ascii="Arial" w:eastAsia="Times New Roman" w:hAnsi="Arial" w:cs="Arial"/>
                <w:color w:val="000000"/>
                <w:sz w:val="20"/>
                <w:szCs w:val="20"/>
              </w:rPr>
            </w:pPr>
            <w:r w:rsidRPr="000821A6">
              <w:rPr>
                <w:rFonts w:ascii="Arial" w:eastAsia="Times New Roman" w:hAnsi="Arial" w:cs="Arial"/>
                <w:b/>
                <w:bCs/>
                <w:color w:val="000000"/>
                <w:sz w:val="20"/>
                <w:szCs w:val="20"/>
              </w:rPr>
              <w:t>Νέα ΜΕΔ (βάσει ΕΑΤ)</w:t>
            </w:r>
          </w:p>
        </w:tc>
        <w:tc>
          <w:tcPr>
            <w:tcW w:w="1173" w:type="dxa"/>
            <w:shd w:val="clear" w:color="auto" w:fill="F2DBDB" w:themeFill="accent2" w:themeFillTint="33"/>
            <w:noWrap/>
            <w:vAlign w:val="bottom"/>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shd w:val="clear" w:color="auto" w:fill="F2DBDB" w:themeFill="accent2" w:themeFillTint="33"/>
            <w:noWrap/>
            <w:vAlign w:val="center"/>
          </w:tcPr>
          <w:p w:rsidR="000821A6" w:rsidRPr="008025D7"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5.000</w:t>
            </w:r>
          </w:p>
        </w:tc>
        <w:tc>
          <w:tcPr>
            <w:tcW w:w="960" w:type="dxa"/>
            <w:shd w:val="clear" w:color="auto" w:fill="F2DBDB" w:themeFill="accent2" w:themeFillTint="33"/>
            <w:noWrap/>
            <w:vAlign w:val="center"/>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5.000</w:t>
            </w:r>
          </w:p>
        </w:tc>
        <w:tc>
          <w:tcPr>
            <w:tcW w:w="960" w:type="dxa"/>
            <w:shd w:val="clear" w:color="auto" w:fill="F2DBDB" w:themeFill="accent2" w:themeFillTint="33"/>
            <w:noWrap/>
            <w:vAlign w:val="center"/>
          </w:tcPr>
          <w:p w:rsidR="000821A6" w:rsidRPr="000821A6" w:rsidRDefault="000821A6" w:rsidP="001D6A2A">
            <w:pPr>
              <w:spacing w:after="0" w:line="240" w:lineRule="auto"/>
              <w:jc w:val="right"/>
              <w:rPr>
                <w:rFonts w:ascii="Arial" w:eastAsia="Times New Roman" w:hAnsi="Arial" w:cs="Arial"/>
                <w:color w:val="000000"/>
                <w:sz w:val="20"/>
                <w:szCs w:val="20"/>
              </w:rPr>
            </w:pPr>
            <w:r w:rsidRPr="000821A6">
              <w:rPr>
                <w:rFonts w:ascii="Arial" w:eastAsia="Times New Roman" w:hAnsi="Arial" w:cs="Arial"/>
                <w:color w:val="000000"/>
                <w:sz w:val="20"/>
                <w:szCs w:val="20"/>
              </w:rPr>
              <w:t>5.000</w:t>
            </w:r>
          </w:p>
        </w:tc>
      </w:tr>
      <w:tr w:rsidR="000821A6" w:rsidRPr="000821A6" w:rsidTr="001D6A2A">
        <w:trPr>
          <w:trHeight w:val="300"/>
        </w:trPr>
        <w:tc>
          <w:tcPr>
            <w:tcW w:w="4507" w:type="dxa"/>
            <w:tcBorders>
              <w:bottom w:val="single" w:sz="12" w:space="0" w:color="auto"/>
            </w:tcBorders>
            <w:shd w:val="clear" w:color="auto" w:fill="auto"/>
            <w:vAlign w:val="center"/>
          </w:tcPr>
          <w:p w:rsidR="000821A6" w:rsidRPr="000821A6" w:rsidRDefault="000821A6" w:rsidP="001D6A2A">
            <w:pPr>
              <w:spacing w:after="0" w:line="240" w:lineRule="auto"/>
              <w:rPr>
                <w:rFonts w:ascii="Arial" w:eastAsia="Times New Roman" w:hAnsi="Arial" w:cs="Arial"/>
                <w:b/>
                <w:bCs/>
                <w:color w:val="000000"/>
                <w:sz w:val="20"/>
                <w:szCs w:val="20"/>
              </w:rPr>
            </w:pPr>
          </w:p>
        </w:tc>
        <w:tc>
          <w:tcPr>
            <w:tcW w:w="1173" w:type="dxa"/>
            <w:tcBorders>
              <w:bottom w:val="single" w:sz="12" w:space="0" w:color="auto"/>
            </w:tcBorders>
            <w:shd w:val="clear" w:color="auto" w:fill="auto"/>
            <w:noWrap/>
            <w:vAlign w:val="bottom"/>
          </w:tcPr>
          <w:p w:rsidR="000821A6" w:rsidRPr="008025D7" w:rsidRDefault="000821A6" w:rsidP="001D6A2A">
            <w:pPr>
              <w:spacing w:after="0" w:line="240" w:lineRule="auto"/>
              <w:rPr>
                <w:rFonts w:ascii="Arial" w:eastAsia="Times New Roman" w:hAnsi="Arial" w:cs="Arial"/>
                <w:color w:val="000000"/>
                <w:sz w:val="20"/>
                <w:szCs w:val="20"/>
              </w:rPr>
            </w:pPr>
          </w:p>
        </w:tc>
        <w:tc>
          <w:tcPr>
            <w:tcW w:w="960" w:type="dxa"/>
            <w:tcBorders>
              <w:bottom w:val="single" w:sz="12" w:space="0" w:color="auto"/>
            </w:tcBorders>
            <w:shd w:val="clear" w:color="auto" w:fill="auto"/>
            <w:noWrap/>
            <w:vAlign w:val="center"/>
          </w:tcPr>
          <w:p w:rsidR="000821A6" w:rsidRPr="008025D7" w:rsidRDefault="000821A6" w:rsidP="001D6A2A">
            <w:pPr>
              <w:spacing w:after="0" w:line="240" w:lineRule="auto"/>
              <w:rPr>
                <w:rFonts w:ascii="Arial" w:eastAsia="Times New Roman" w:hAnsi="Arial" w:cs="Arial"/>
                <w:color w:val="000000"/>
                <w:sz w:val="20"/>
                <w:szCs w:val="20"/>
              </w:rPr>
            </w:pPr>
          </w:p>
        </w:tc>
        <w:tc>
          <w:tcPr>
            <w:tcW w:w="960" w:type="dxa"/>
            <w:tcBorders>
              <w:bottom w:val="single" w:sz="12" w:space="0" w:color="auto"/>
            </w:tcBorders>
            <w:shd w:val="clear" w:color="auto" w:fill="auto"/>
            <w:noWrap/>
            <w:vAlign w:val="center"/>
          </w:tcPr>
          <w:p w:rsidR="000821A6" w:rsidRPr="000821A6" w:rsidRDefault="000821A6" w:rsidP="001D6A2A">
            <w:pPr>
              <w:spacing w:after="0" w:line="240" w:lineRule="auto"/>
              <w:jc w:val="right"/>
              <w:rPr>
                <w:rFonts w:ascii="Arial" w:eastAsia="Times New Roman" w:hAnsi="Arial" w:cs="Arial"/>
                <w:color w:val="000000"/>
                <w:sz w:val="20"/>
                <w:szCs w:val="20"/>
              </w:rPr>
            </w:pPr>
          </w:p>
        </w:tc>
        <w:tc>
          <w:tcPr>
            <w:tcW w:w="960" w:type="dxa"/>
            <w:tcBorders>
              <w:bottom w:val="single" w:sz="12" w:space="0" w:color="auto"/>
            </w:tcBorders>
            <w:shd w:val="clear" w:color="auto" w:fill="auto"/>
            <w:noWrap/>
            <w:vAlign w:val="center"/>
          </w:tcPr>
          <w:p w:rsidR="000821A6" w:rsidRPr="000821A6" w:rsidRDefault="000821A6" w:rsidP="001D6A2A">
            <w:pPr>
              <w:spacing w:after="0" w:line="240" w:lineRule="auto"/>
              <w:jc w:val="right"/>
              <w:rPr>
                <w:rFonts w:ascii="Arial" w:eastAsia="Times New Roman" w:hAnsi="Arial" w:cs="Arial"/>
                <w:color w:val="000000"/>
                <w:sz w:val="20"/>
                <w:szCs w:val="20"/>
              </w:rPr>
            </w:pPr>
          </w:p>
        </w:tc>
        <w:tc>
          <w:tcPr>
            <w:tcW w:w="960" w:type="dxa"/>
            <w:tcBorders>
              <w:bottom w:val="single" w:sz="12" w:space="0" w:color="auto"/>
            </w:tcBorders>
            <w:shd w:val="clear" w:color="auto" w:fill="auto"/>
            <w:noWrap/>
            <w:vAlign w:val="center"/>
          </w:tcPr>
          <w:p w:rsidR="000821A6" w:rsidRPr="000821A6" w:rsidRDefault="000821A6" w:rsidP="001D6A2A">
            <w:pPr>
              <w:spacing w:after="0" w:line="240" w:lineRule="auto"/>
              <w:jc w:val="right"/>
              <w:rPr>
                <w:rFonts w:ascii="Arial" w:eastAsia="Times New Roman" w:hAnsi="Arial" w:cs="Arial"/>
                <w:color w:val="000000"/>
                <w:sz w:val="20"/>
                <w:szCs w:val="20"/>
              </w:rPr>
            </w:pPr>
          </w:p>
        </w:tc>
      </w:tr>
      <w:tr w:rsidR="000821A6" w:rsidRPr="000821A6" w:rsidTr="008025D7">
        <w:trPr>
          <w:trHeight w:val="300"/>
        </w:trPr>
        <w:tc>
          <w:tcPr>
            <w:tcW w:w="4507" w:type="dxa"/>
            <w:tcBorders>
              <w:top w:val="single" w:sz="12" w:space="0" w:color="auto"/>
              <w:bottom w:val="single" w:sz="4" w:space="0" w:color="auto"/>
            </w:tcBorders>
            <w:shd w:val="clear" w:color="auto" w:fill="auto"/>
            <w:vAlign w:val="center"/>
            <w:hideMark/>
          </w:tcPr>
          <w:p w:rsidR="000821A6" w:rsidRPr="000821A6" w:rsidRDefault="000821A6" w:rsidP="001D6A2A">
            <w:pPr>
              <w:spacing w:after="0" w:line="240" w:lineRule="auto"/>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ΜΕΔ (βάσει ΕΑΤ)</w:t>
            </w:r>
          </w:p>
        </w:tc>
        <w:tc>
          <w:tcPr>
            <w:tcW w:w="1173" w:type="dxa"/>
            <w:tcBorders>
              <w:top w:val="single" w:sz="12" w:space="0" w:color="auto"/>
              <w:bottom w:val="single" w:sz="4" w:space="0" w:color="auto"/>
            </w:tcBorders>
            <w:shd w:val="clear" w:color="auto" w:fill="auto"/>
            <w:noWrap/>
            <w:vAlign w:val="bottom"/>
            <w:hideMark/>
          </w:tcPr>
          <w:p w:rsidR="000821A6" w:rsidRPr="008025D7" w:rsidRDefault="000821A6" w:rsidP="001D6A2A">
            <w:pPr>
              <w:spacing w:after="0" w:line="240" w:lineRule="auto"/>
              <w:rPr>
                <w:rFonts w:ascii="Arial" w:eastAsia="Times New Roman" w:hAnsi="Arial" w:cs="Arial"/>
                <w:color w:val="000000"/>
                <w:sz w:val="20"/>
                <w:szCs w:val="20"/>
              </w:rPr>
            </w:pPr>
            <w:r w:rsidRPr="008025D7">
              <w:rPr>
                <w:rFonts w:ascii="Arial" w:eastAsia="Times New Roman" w:hAnsi="Arial" w:cs="Arial"/>
                <w:color w:val="000000"/>
                <w:sz w:val="20"/>
                <w:szCs w:val="20"/>
              </w:rPr>
              <w:t> </w:t>
            </w:r>
          </w:p>
        </w:tc>
        <w:tc>
          <w:tcPr>
            <w:tcW w:w="960" w:type="dxa"/>
            <w:tcBorders>
              <w:top w:val="single" w:sz="12" w:space="0" w:color="auto"/>
              <w:bottom w:val="single" w:sz="4"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276.518</w:t>
            </w:r>
          </w:p>
        </w:tc>
        <w:tc>
          <w:tcPr>
            <w:tcW w:w="960" w:type="dxa"/>
            <w:tcBorders>
              <w:top w:val="single" w:sz="12" w:space="0" w:color="auto"/>
              <w:bottom w:val="single" w:sz="4"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222.053</w:t>
            </w:r>
          </w:p>
        </w:tc>
        <w:tc>
          <w:tcPr>
            <w:tcW w:w="960" w:type="dxa"/>
            <w:tcBorders>
              <w:top w:val="single" w:sz="12" w:space="0" w:color="auto"/>
              <w:bottom w:val="single" w:sz="4"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185.748</w:t>
            </w:r>
          </w:p>
        </w:tc>
        <w:tc>
          <w:tcPr>
            <w:tcW w:w="960" w:type="dxa"/>
            <w:tcBorders>
              <w:top w:val="single" w:sz="12" w:space="0" w:color="auto"/>
              <w:bottom w:val="single" w:sz="4" w:space="0" w:color="auto"/>
            </w:tcBorders>
            <w:shd w:val="clear" w:color="auto" w:fill="auto"/>
            <w:noWrap/>
            <w:vAlign w:val="center"/>
            <w:hideMark/>
          </w:tcPr>
          <w:p w:rsidR="000821A6" w:rsidRPr="000821A6" w:rsidRDefault="000821A6" w:rsidP="001D6A2A">
            <w:pPr>
              <w:spacing w:after="0" w:line="240" w:lineRule="auto"/>
              <w:jc w:val="right"/>
              <w:rPr>
                <w:rFonts w:ascii="Arial" w:eastAsia="Times New Roman" w:hAnsi="Arial" w:cs="Arial"/>
                <w:b/>
                <w:bCs/>
                <w:color w:val="000000"/>
                <w:sz w:val="20"/>
                <w:szCs w:val="20"/>
              </w:rPr>
            </w:pPr>
            <w:r w:rsidRPr="000821A6">
              <w:rPr>
                <w:rFonts w:ascii="Arial" w:eastAsia="Times New Roman" w:hAnsi="Arial" w:cs="Arial"/>
                <w:b/>
                <w:bCs/>
                <w:color w:val="000000"/>
                <w:sz w:val="20"/>
                <w:szCs w:val="20"/>
              </w:rPr>
              <w:t>137.139</w:t>
            </w:r>
          </w:p>
        </w:tc>
      </w:tr>
      <w:tr w:rsidR="000821A6" w:rsidRPr="000821A6" w:rsidTr="008025D7">
        <w:trPr>
          <w:trHeight w:val="300"/>
        </w:trPr>
        <w:tc>
          <w:tcPr>
            <w:tcW w:w="4507" w:type="dxa"/>
            <w:tcBorders>
              <w:top w:val="single" w:sz="4" w:space="0" w:color="auto"/>
              <w:bottom w:val="single" w:sz="4" w:space="0" w:color="auto"/>
            </w:tcBorders>
            <w:shd w:val="clear" w:color="auto" w:fill="auto"/>
            <w:vAlign w:val="center"/>
          </w:tcPr>
          <w:p w:rsidR="000821A6" w:rsidRPr="008025D7" w:rsidRDefault="000821A6" w:rsidP="000821A6">
            <w:pPr>
              <w:spacing w:after="0" w:line="240" w:lineRule="auto"/>
              <w:rPr>
                <w:rFonts w:ascii="Arial" w:eastAsia="Times New Roman" w:hAnsi="Arial" w:cs="Arial"/>
                <w:bCs/>
                <w:i/>
                <w:color w:val="000000"/>
                <w:sz w:val="18"/>
                <w:szCs w:val="18"/>
              </w:rPr>
            </w:pPr>
            <w:r w:rsidRPr="008025D7">
              <w:rPr>
                <w:rFonts w:ascii="Arial" w:eastAsia="Times New Roman" w:hAnsi="Arial" w:cs="Arial"/>
                <w:bCs/>
                <w:i/>
                <w:color w:val="000000"/>
                <w:sz w:val="18"/>
                <w:szCs w:val="18"/>
              </w:rPr>
              <w:t>Ποσοστιαία αλλαγή (ετησιοποιημένη)</w:t>
            </w:r>
          </w:p>
        </w:tc>
        <w:tc>
          <w:tcPr>
            <w:tcW w:w="1173" w:type="dxa"/>
            <w:tcBorders>
              <w:top w:val="single" w:sz="4" w:space="0" w:color="auto"/>
              <w:bottom w:val="single" w:sz="4" w:space="0" w:color="auto"/>
            </w:tcBorders>
            <w:shd w:val="clear" w:color="auto" w:fill="auto"/>
            <w:noWrap/>
          </w:tcPr>
          <w:p w:rsidR="000821A6" w:rsidRPr="000821A6" w:rsidRDefault="000821A6" w:rsidP="000821A6">
            <w:pPr>
              <w:spacing w:after="0" w:line="240" w:lineRule="auto"/>
              <w:jc w:val="right"/>
              <w:rPr>
                <w:rFonts w:ascii="Arial" w:eastAsia="Times New Roman" w:hAnsi="Arial" w:cs="Arial"/>
                <w:i/>
                <w:iCs/>
                <w:sz w:val="18"/>
                <w:szCs w:val="18"/>
                <w:lang w:val="en-GB" w:eastAsia="en-GB"/>
              </w:rPr>
            </w:pPr>
            <w:r w:rsidRPr="000821A6">
              <w:rPr>
                <w:rFonts w:ascii="Arial" w:eastAsia="Times New Roman" w:hAnsi="Arial" w:cs="Arial"/>
                <w:i/>
                <w:iCs/>
                <w:sz w:val="18"/>
                <w:szCs w:val="18"/>
                <w:lang w:val="en-GB" w:eastAsia="en-GB"/>
              </w:rPr>
              <w:t>-1,48%</w:t>
            </w:r>
          </w:p>
        </w:tc>
        <w:tc>
          <w:tcPr>
            <w:tcW w:w="960" w:type="dxa"/>
            <w:tcBorders>
              <w:top w:val="single" w:sz="4" w:space="0" w:color="auto"/>
              <w:bottom w:val="single" w:sz="4" w:space="0" w:color="auto"/>
            </w:tcBorders>
            <w:shd w:val="clear" w:color="auto" w:fill="auto"/>
            <w:noWrap/>
          </w:tcPr>
          <w:p w:rsidR="000821A6" w:rsidRPr="000821A6" w:rsidRDefault="000821A6">
            <w:pPr>
              <w:spacing w:after="0" w:line="240" w:lineRule="auto"/>
              <w:jc w:val="right"/>
              <w:rPr>
                <w:rFonts w:ascii="Arial" w:eastAsia="Times New Roman" w:hAnsi="Arial" w:cs="Arial"/>
                <w:i/>
                <w:iCs/>
                <w:sz w:val="18"/>
                <w:szCs w:val="18"/>
                <w:lang w:val="en-GB" w:eastAsia="en-GB"/>
              </w:rPr>
            </w:pPr>
            <w:r w:rsidRPr="000821A6">
              <w:rPr>
                <w:rFonts w:ascii="Arial" w:eastAsia="Times New Roman" w:hAnsi="Arial" w:cs="Arial"/>
                <w:i/>
                <w:iCs/>
                <w:sz w:val="18"/>
                <w:szCs w:val="18"/>
                <w:lang w:val="en-GB" w:eastAsia="en-GB"/>
              </w:rPr>
              <w:t>-</w:t>
            </w:r>
            <w:r w:rsidRPr="000821A6">
              <w:rPr>
                <w:rFonts w:ascii="Arial" w:eastAsia="Times New Roman" w:hAnsi="Arial" w:cs="Arial"/>
                <w:i/>
                <w:iCs/>
                <w:sz w:val="18"/>
                <w:szCs w:val="18"/>
                <w:lang w:eastAsia="en-GB"/>
              </w:rPr>
              <w:t>3,27</w:t>
            </w:r>
            <w:r w:rsidRPr="000821A6">
              <w:rPr>
                <w:rFonts w:ascii="Arial" w:eastAsia="Times New Roman" w:hAnsi="Arial" w:cs="Arial"/>
                <w:i/>
                <w:iCs/>
                <w:sz w:val="18"/>
                <w:szCs w:val="18"/>
                <w:lang w:val="en-GB" w:eastAsia="en-GB"/>
              </w:rPr>
              <w:t>%</w:t>
            </w:r>
          </w:p>
        </w:tc>
        <w:tc>
          <w:tcPr>
            <w:tcW w:w="960" w:type="dxa"/>
            <w:tcBorders>
              <w:top w:val="single" w:sz="4" w:space="0" w:color="auto"/>
              <w:bottom w:val="single" w:sz="4" w:space="0" w:color="auto"/>
            </w:tcBorders>
            <w:shd w:val="clear" w:color="auto" w:fill="auto"/>
            <w:noWrap/>
          </w:tcPr>
          <w:p w:rsidR="000821A6" w:rsidRPr="000821A6" w:rsidRDefault="000821A6">
            <w:pPr>
              <w:spacing w:after="0" w:line="240" w:lineRule="auto"/>
              <w:jc w:val="right"/>
              <w:rPr>
                <w:rFonts w:ascii="Arial" w:eastAsia="Times New Roman" w:hAnsi="Arial" w:cs="Arial"/>
                <w:i/>
                <w:iCs/>
                <w:sz w:val="18"/>
                <w:szCs w:val="18"/>
                <w:lang w:val="en-GB" w:eastAsia="en-GB"/>
              </w:rPr>
            </w:pPr>
            <w:r w:rsidRPr="000821A6">
              <w:rPr>
                <w:rFonts w:ascii="Arial" w:eastAsia="Times New Roman" w:hAnsi="Arial" w:cs="Arial"/>
                <w:i/>
                <w:iCs/>
                <w:sz w:val="18"/>
                <w:szCs w:val="18"/>
                <w:lang w:val="en-GB" w:eastAsia="en-GB"/>
              </w:rPr>
              <w:t>-</w:t>
            </w:r>
            <w:r w:rsidRPr="000821A6">
              <w:rPr>
                <w:rFonts w:ascii="Arial" w:eastAsia="Times New Roman" w:hAnsi="Arial" w:cs="Arial"/>
                <w:i/>
                <w:iCs/>
                <w:sz w:val="18"/>
                <w:szCs w:val="18"/>
                <w:lang w:eastAsia="en-GB"/>
              </w:rPr>
              <w:t>19,70</w:t>
            </w:r>
            <w:r w:rsidRPr="000821A6">
              <w:rPr>
                <w:rFonts w:ascii="Arial" w:eastAsia="Times New Roman" w:hAnsi="Arial" w:cs="Arial"/>
                <w:i/>
                <w:iCs/>
                <w:sz w:val="18"/>
                <w:szCs w:val="18"/>
                <w:lang w:val="en-GB" w:eastAsia="en-GB"/>
              </w:rPr>
              <w:t>%</w:t>
            </w:r>
          </w:p>
        </w:tc>
        <w:tc>
          <w:tcPr>
            <w:tcW w:w="960" w:type="dxa"/>
            <w:tcBorders>
              <w:top w:val="single" w:sz="4" w:space="0" w:color="auto"/>
              <w:bottom w:val="single" w:sz="4" w:space="0" w:color="auto"/>
            </w:tcBorders>
            <w:shd w:val="clear" w:color="auto" w:fill="auto"/>
            <w:noWrap/>
          </w:tcPr>
          <w:p w:rsidR="000821A6" w:rsidRPr="000821A6" w:rsidRDefault="000821A6">
            <w:pPr>
              <w:spacing w:after="0" w:line="240" w:lineRule="auto"/>
              <w:jc w:val="right"/>
              <w:rPr>
                <w:rFonts w:ascii="Arial" w:eastAsia="Times New Roman" w:hAnsi="Arial" w:cs="Arial"/>
                <w:i/>
                <w:iCs/>
                <w:sz w:val="18"/>
                <w:szCs w:val="18"/>
                <w:lang w:val="en-GB" w:eastAsia="en-GB"/>
              </w:rPr>
            </w:pPr>
            <w:r w:rsidRPr="000821A6">
              <w:rPr>
                <w:rFonts w:ascii="Arial" w:eastAsia="Times New Roman" w:hAnsi="Arial" w:cs="Arial"/>
                <w:i/>
                <w:iCs/>
                <w:sz w:val="18"/>
                <w:szCs w:val="18"/>
                <w:lang w:val="en-GB" w:eastAsia="en-GB"/>
              </w:rPr>
              <w:t>-</w:t>
            </w:r>
            <w:r w:rsidRPr="000821A6">
              <w:rPr>
                <w:rFonts w:ascii="Arial" w:eastAsia="Times New Roman" w:hAnsi="Arial" w:cs="Arial"/>
                <w:i/>
                <w:iCs/>
                <w:sz w:val="18"/>
                <w:szCs w:val="18"/>
                <w:lang w:eastAsia="en-GB"/>
              </w:rPr>
              <w:t>16,35</w:t>
            </w:r>
            <w:r w:rsidRPr="000821A6">
              <w:rPr>
                <w:rFonts w:ascii="Arial" w:eastAsia="Times New Roman" w:hAnsi="Arial" w:cs="Arial"/>
                <w:i/>
                <w:iCs/>
                <w:sz w:val="18"/>
                <w:szCs w:val="18"/>
                <w:lang w:val="en-GB" w:eastAsia="en-GB"/>
              </w:rPr>
              <w:t>%</w:t>
            </w:r>
          </w:p>
        </w:tc>
        <w:tc>
          <w:tcPr>
            <w:tcW w:w="960" w:type="dxa"/>
            <w:tcBorders>
              <w:top w:val="single" w:sz="4" w:space="0" w:color="auto"/>
              <w:bottom w:val="single" w:sz="4" w:space="0" w:color="auto"/>
            </w:tcBorders>
            <w:shd w:val="clear" w:color="auto" w:fill="auto"/>
            <w:noWrap/>
          </w:tcPr>
          <w:p w:rsidR="000821A6" w:rsidRPr="000821A6" w:rsidRDefault="000821A6">
            <w:pPr>
              <w:spacing w:after="0" w:line="240" w:lineRule="auto"/>
              <w:jc w:val="right"/>
              <w:rPr>
                <w:rFonts w:ascii="Arial" w:eastAsia="Times New Roman" w:hAnsi="Arial" w:cs="Arial"/>
                <w:i/>
                <w:iCs/>
                <w:sz w:val="18"/>
                <w:szCs w:val="18"/>
                <w:lang w:val="en-GB" w:eastAsia="en-GB"/>
              </w:rPr>
            </w:pPr>
            <w:r w:rsidRPr="000821A6">
              <w:rPr>
                <w:rFonts w:ascii="Arial" w:eastAsia="Times New Roman" w:hAnsi="Arial" w:cs="Arial"/>
                <w:i/>
                <w:iCs/>
                <w:sz w:val="18"/>
                <w:szCs w:val="18"/>
                <w:lang w:val="en-GB" w:eastAsia="en-GB"/>
              </w:rPr>
              <w:t>-</w:t>
            </w:r>
            <w:r w:rsidRPr="000821A6">
              <w:rPr>
                <w:rFonts w:ascii="Arial" w:eastAsia="Times New Roman" w:hAnsi="Arial" w:cs="Arial"/>
                <w:i/>
                <w:iCs/>
                <w:sz w:val="18"/>
                <w:szCs w:val="18"/>
                <w:lang w:eastAsia="en-GB"/>
              </w:rPr>
              <w:t>26,17</w:t>
            </w:r>
            <w:r w:rsidRPr="000821A6">
              <w:rPr>
                <w:rFonts w:ascii="Arial" w:eastAsia="Times New Roman" w:hAnsi="Arial" w:cs="Arial"/>
                <w:i/>
                <w:iCs/>
                <w:sz w:val="18"/>
                <w:szCs w:val="18"/>
                <w:lang w:val="en-GB" w:eastAsia="en-GB"/>
              </w:rPr>
              <w:t>%</w:t>
            </w:r>
          </w:p>
        </w:tc>
      </w:tr>
      <w:tr w:rsidR="000821A6" w:rsidRPr="000821A6" w:rsidTr="008025D7">
        <w:trPr>
          <w:trHeight w:val="300"/>
        </w:trPr>
        <w:tc>
          <w:tcPr>
            <w:tcW w:w="4507" w:type="dxa"/>
            <w:tcBorders>
              <w:top w:val="single" w:sz="4" w:space="0" w:color="auto"/>
              <w:bottom w:val="single" w:sz="4" w:space="0" w:color="auto"/>
            </w:tcBorders>
            <w:shd w:val="clear" w:color="auto" w:fill="auto"/>
            <w:vAlign w:val="center"/>
          </w:tcPr>
          <w:p w:rsidR="000821A6" w:rsidRPr="008025D7" w:rsidRDefault="000821A6" w:rsidP="001D6A2A">
            <w:pPr>
              <w:spacing w:after="0" w:line="240" w:lineRule="auto"/>
              <w:rPr>
                <w:rFonts w:ascii="Arial" w:eastAsia="Times New Roman" w:hAnsi="Arial" w:cs="Arial"/>
                <w:bCs/>
                <w:i/>
                <w:color w:val="000000"/>
                <w:sz w:val="18"/>
                <w:szCs w:val="20"/>
              </w:rPr>
            </w:pPr>
            <w:r w:rsidRPr="008025D7">
              <w:rPr>
                <w:rFonts w:ascii="Arial" w:eastAsia="Times New Roman" w:hAnsi="Arial" w:cs="Arial"/>
                <w:bCs/>
                <w:i/>
                <w:color w:val="000000"/>
                <w:sz w:val="18"/>
                <w:szCs w:val="20"/>
              </w:rPr>
              <w:t>ΜΕΔ/Μεικτά Δάνεια και χορηγήσεις</w:t>
            </w:r>
          </w:p>
        </w:tc>
        <w:tc>
          <w:tcPr>
            <w:tcW w:w="1173" w:type="dxa"/>
            <w:tcBorders>
              <w:top w:val="single" w:sz="4" w:space="0" w:color="auto"/>
              <w:bottom w:val="single" w:sz="4" w:space="0" w:color="auto"/>
            </w:tcBorders>
            <w:shd w:val="clear" w:color="auto" w:fill="auto"/>
            <w:noWrap/>
            <w:vAlign w:val="bottom"/>
          </w:tcPr>
          <w:p w:rsidR="000821A6" w:rsidRPr="008025D7" w:rsidRDefault="000821A6" w:rsidP="008025D7">
            <w:pPr>
              <w:spacing w:after="0" w:line="240" w:lineRule="auto"/>
              <w:jc w:val="right"/>
              <w:rPr>
                <w:rFonts w:ascii="Arial" w:eastAsia="Times New Roman" w:hAnsi="Arial" w:cs="Arial"/>
                <w:i/>
                <w:color w:val="000000"/>
                <w:sz w:val="18"/>
                <w:szCs w:val="20"/>
              </w:rPr>
            </w:pPr>
            <w:r w:rsidRPr="008025D7">
              <w:rPr>
                <w:rFonts w:ascii="Arial" w:eastAsia="Times New Roman" w:hAnsi="Arial" w:cs="Arial"/>
                <w:i/>
                <w:color w:val="000000"/>
                <w:sz w:val="18"/>
                <w:szCs w:val="20"/>
              </w:rPr>
              <w:t>44,79%</w:t>
            </w:r>
          </w:p>
        </w:tc>
        <w:tc>
          <w:tcPr>
            <w:tcW w:w="960" w:type="dxa"/>
            <w:tcBorders>
              <w:top w:val="single" w:sz="4" w:space="0" w:color="auto"/>
              <w:bottom w:val="single" w:sz="4" w:space="0" w:color="auto"/>
            </w:tcBorders>
            <w:shd w:val="clear" w:color="auto" w:fill="auto"/>
            <w:noWrap/>
            <w:vAlign w:val="center"/>
          </w:tcPr>
          <w:p w:rsidR="000821A6" w:rsidRPr="008025D7" w:rsidRDefault="000821A6">
            <w:pPr>
              <w:spacing w:after="0" w:line="240" w:lineRule="auto"/>
              <w:jc w:val="right"/>
              <w:rPr>
                <w:rFonts w:ascii="Arial" w:eastAsia="Times New Roman" w:hAnsi="Arial" w:cs="Arial"/>
                <w:bCs/>
                <w:i/>
                <w:color w:val="000000"/>
                <w:sz w:val="18"/>
                <w:szCs w:val="20"/>
              </w:rPr>
            </w:pPr>
            <w:r w:rsidRPr="008025D7">
              <w:rPr>
                <w:rFonts w:ascii="Arial" w:eastAsia="Times New Roman" w:hAnsi="Arial" w:cs="Arial"/>
                <w:bCs/>
                <w:i/>
                <w:color w:val="000000"/>
                <w:sz w:val="18"/>
                <w:szCs w:val="20"/>
              </w:rPr>
              <w:t>44,95%</w:t>
            </w:r>
          </w:p>
        </w:tc>
        <w:tc>
          <w:tcPr>
            <w:tcW w:w="960" w:type="dxa"/>
            <w:tcBorders>
              <w:top w:val="single" w:sz="4" w:space="0" w:color="auto"/>
              <w:bottom w:val="single" w:sz="4" w:space="0" w:color="auto"/>
            </w:tcBorders>
            <w:shd w:val="clear" w:color="auto" w:fill="auto"/>
            <w:noWrap/>
            <w:vAlign w:val="center"/>
          </w:tcPr>
          <w:p w:rsidR="000821A6" w:rsidRPr="008025D7" w:rsidRDefault="000821A6">
            <w:pPr>
              <w:spacing w:after="0" w:line="240" w:lineRule="auto"/>
              <w:jc w:val="right"/>
              <w:rPr>
                <w:rFonts w:ascii="Arial" w:eastAsia="Times New Roman" w:hAnsi="Arial" w:cs="Arial"/>
                <w:bCs/>
                <w:i/>
                <w:color w:val="000000"/>
                <w:sz w:val="18"/>
                <w:szCs w:val="20"/>
              </w:rPr>
            </w:pPr>
            <w:r w:rsidRPr="008025D7">
              <w:rPr>
                <w:rFonts w:ascii="Arial" w:eastAsia="Times New Roman" w:hAnsi="Arial" w:cs="Arial"/>
                <w:bCs/>
                <w:i/>
                <w:color w:val="000000"/>
                <w:sz w:val="18"/>
                <w:szCs w:val="20"/>
              </w:rPr>
              <w:t>36,10%</w:t>
            </w:r>
          </w:p>
        </w:tc>
        <w:tc>
          <w:tcPr>
            <w:tcW w:w="960" w:type="dxa"/>
            <w:tcBorders>
              <w:top w:val="single" w:sz="4" w:space="0" w:color="auto"/>
              <w:bottom w:val="single" w:sz="4" w:space="0" w:color="auto"/>
            </w:tcBorders>
            <w:shd w:val="clear" w:color="auto" w:fill="auto"/>
            <w:noWrap/>
            <w:vAlign w:val="center"/>
          </w:tcPr>
          <w:p w:rsidR="000821A6" w:rsidRPr="008025D7" w:rsidRDefault="000821A6">
            <w:pPr>
              <w:spacing w:after="0" w:line="240" w:lineRule="auto"/>
              <w:jc w:val="right"/>
              <w:rPr>
                <w:rFonts w:ascii="Arial" w:eastAsia="Times New Roman" w:hAnsi="Arial" w:cs="Arial"/>
                <w:bCs/>
                <w:i/>
                <w:color w:val="000000"/>
                <w:sz w:val="18"/>
                <w:szCs w:val="20"/>
              </w:rPr>
            </w:pPr>
            <w:r w:rsidRPr="008025D7">
              <w:rPr>
                <w:rFonts w:ascii="Arial" w:eastAsia="Times New Roman" w:hAnsi="Arial" w:cs="Arial"/>
                <w:bCs/>
                <w:i/>
                <w:color w:val="000000"/>
                <w:sz w:val="18"/>
                <w:szCs w:val="20"/>
              </w:rPr>
              <w:t>30,29%</w:t>
            </w:r>
          </w:p>
        </w:tc>
        <w:tc>
          <w:tcPr>
            <w:tcW w:w="960" w:type="dxa"/>
            <w:tcBorders>
              <w:top w:val="single" w:sz="4" w:space="0" w:color="auto"/>
              <w:bottom w:val="single" w:sz="4" w:space="0" w:color="auto"/>
            </w:tcBorders>
            <w:shd w:val="clear" w:color="auto" w:fill="auto"/>
            <w:noWrap/>
            <w:vAlign w:val="center"/>
          </w:tcPr>
          <w:p w:rsidR="000821A6" w:rsidRPr="008025D7" w:rsidRDefault="000821A6">
            <w:pPr>
              <w:spacing w:after="0" w:line="240" w:lineRule="auto"/>
              <w:jc w:val="right"/>
              <w:rPr>
                <w:rFonts w:ascii="Arial" w:eastAsia="Times New Roman" w:hAnsi="Arial" w:cs="Arial"/>
                <w:bCs/>
                <w:i/>
                <w:color w:val="000000"/>
                <w:sz w:val="18"/>
                <w:szCs w:val="20"/>
              </w:rPr>
            </w:pPr>
            <w:r w:rsidRPr="008025D7">
              <w:rPr>
                <w:rFonts w:ascii="Arial" w:eastAsia="Times New Roman" w:hAnsi="Arial" w:cs="Arial"/>
                <w:bCs/>
                <w:i/>
                <w:color w:val="000000"/>
                <w:sz w:val="18"/>
                <w:szCs w:val="20"/>
              </w:rPr>
              <w:t>22,35%</w:t>
            </w:r>
          </w:p>
        </w:tc>
      </w:tr>
    </w:tbl>
    <w:p w:rsidR="000821A6" w:rsidRPr="009E324E" w:rsidRDefault="000821A6" w:rsidP="000821A6">
      <w:pPr>
        <w:pStyle w:val="ListParagraph"/>
        <w:spacing w:after="120" w:line="240" w:lineRule="auto"/>
        <w:ind w:left="0"/>
        <w:jc w:val="both"/>
        <w:rPr>
          <w:rFonts w:ascii="Arial" w:hAnsi="Arial" w:cs="Arial"/>
          <w:i/>
          <w:sz w:val="18"/>
          <w:szCs w:val="18"/>
        </w:rPr>
      </w:pPr>
      <w:r w:rsidRPr="009E324E">
        <w:rPr>
          <w:rFonts w:ascii="Arial" w:hAnsi="Arial" w:cs="Arial"/>
          <w:i/>
          <w:sz w:val="18"/>
          <w:szCs w:val="18"/>
        </w:rPr>
        <w:t>Α: απόδοση βάσει των αποτελεσμάτων του έτους</w:t>
      </w:r>
    </w:p>
    <w:p w:rsidR="000821A6" w:rsidRPr="009E324E" w:rsidRDefault="000821A6" w:rsidP="000821A6">
      <w:pPr>
        <w:pStyle w:val="ListParagraph"/>
        <w:spacing w:after="120" w:line="240" w:lineRule="auto"/>
        <w:ind w:left="0"/>
        <w:jc w:val="both"/>
        <w:rPr>
          <w:rFonts w:ascii="Arial" w:hAnsi="Arial" w:cs="Arial"/>
          <w:i/>
          <w:sz w:val="18"/>
          <w:szCs w:val="18"/>
        </w:rPr>
      </w:pPr>
      <w:r w:rsidRPr="009E324E">
        <w:rPr>
          <w:rFonts w:ascii="Arial" w:hAnsi="Arial" w:cs="Arial"/>
          <w:i/>
          <w:sz w:val="18"/>
          <w:szCs w:val="18"/>
        </w:rPr>
        <w:t>Π: απόδοση βάσει προϋπολογισμού έτους</w:t>
      </w:r>
    </w:p>
    <w:p w:rsidR="000821A6" w:rsidRPr="009E324E" w:rsidRDefault="000821A6" w:rsidP="000821A6">
      <w:pPr>
        <w:pStyle w:val="ListParagraph"/>
        <w:spacing w:after="120" w:line="240" w:lineRule="auto"/>
        <w:ind w:left="0"/>
        <w:jc w:val="both"/>
        <w:rPr>
          <w:rFonts w:ascii="Arial" w:hAnsi="Arial" w:cs="Arial"/>
          <w:i/>
          <w:sz w:val="18"/>
          <w:szCs w:val="18"/>
        </w:rPr>
      </w:pPr>
      <w:r w:rsidRPr="009E324E">
        <w:rPr>
          <w:rFonts w:ascii="Arial" w:hAnsi="Arial" w:cs="Arial"/>
          <w:i/>
          <w:sz w:val="18"/>
          <w:szCs w:val="18"/>
        </w:rPr>
        <w:t>6Μ: ετησιοποιημένη απόδοση βάσει εξαμηνιαίων αποτελεσμάτων</w:t>
      </w:r>
    </w:p>
    <w:p w:rsidR="0056545F" w:rsidRDefault="0056545F" w:rsidP="00E309E7">
      <w:pPr>
        <w:suppressAutoHyphens/>
        <w:autoSpaceDN w:val="0"/>
        <w:spacing w:before="10" w:after="100" w:afterAutospacing="1"/>
        <w:jc w:val="both"/>
        <w:rPr>
          <w:rFonts w:ascii="Arial" w:hAnsi="Arial" w:cs="Arial"/>
          <w:sz w:val="20"/>
          <w:szCs w:val="20"/>
        </w:rPr>
      </w:pPr>
    </w:p>
    <w:p w:rsidR="0023232D" w:rsidRDefault="0023232D" w:rsidP="00E309E7">
      <w:pPr>
        <w:suppressAutoHyphens/>
        <w:autoSpaceDN w:val="0"/>
        <w:spacing w:before="10" w:after="100" w:afterAutospacing="1"/>
        <w:jc w:val="both"/>
        <w:rPr>
          <w:rFonts w:ascii="Arial" w:hAnsi="Arial" w:cs="Arial"/>
          <w:sz w:val="20"/>
          <w:szCs w:val="20"/>
        </w:rPr>
      </w:pPr>
      <w:r w:rsidRPr="00570EF0">
        <w:rPr>
          <w:rFonts w:ascii="Arial" w:hAnsi="Arial" w:cs="Arial"/>
          <w:sz w:val="20"/>
          <w:szCs w:val="20"/>
        </w:rPr>
        <w:lastRenderedPageBreak/>
        <w:t>Στον πίνακα πιο κάτω παρουσιάζεται η</w:t>
      </w:r>
      <w:r w:rsidR="000821A6">
        <w:rPr>
          <w:rFonts w:ascii="Arial" w:hAnsi="Arial" w:cs="Arial"/>
          <w:sz w:val="20"/>
          <w:szCs w:val="20"/>
        </w:rPr>
        <w:t xml:space="preserve"> ανάλυση του δανειακού χαρτοφυλακίου ανά στάδιο σύμφωνα με τις πρόνοιες του ΔΠΧΑ 9 (Διεθνές Πρότυπο Χρηματοοικονομικής Αναφοράς 9) και οι αντίστοιχες προβλέψεις για </w:t>
      </w:r>
      <w:r w:rsidRPr="00570EF0">
        <w:rPr>
          <w:rFonts w:ascii="Arial" w:hAnsi="Arial" w:cs="Arial"/>
          <w:sz w:val="20"/>
          <w:szCs w:val="20"/>
        </w:rPr>
        <w:t xml:space="preserve">κάλυψη του πιστωτικού κινδύνου: </w:t>
      </w:r>
    </w:p>
    <w:p w:rsidR="00B50A20" w:rsidRPr="008025D7" w:rsidRDefault="00B50A20" w:rsidP="00E309E7">
      <w:pPr>
        <w:suppressAutoHyphens/>
        <w:autoSpaceDN w:val="0"/>
        <w:spacing w:before="10" w:after="100" w:afterAutospacing="1"/>
        <w:jc w:val="both"/>
        <w:rPr>
          <w:rFonts w:ascii="Arial" w:hAnsi="Arial" w:cs="Arial"/>
          <w:b/>
          <w:sz w:val="20"/>
          <w:szCs w:val="20"/>
          <w:u w:val="single"/>
        </w:rPr>
      </w:pPr>
      <w:r w:rsidRPr="008025D7">
        <w:rPr>
          <w:rFonts w:ascii="Arial" w:hAnsi="Arial" w:cs="Arial"/>
          <w:b/>
          <w:sz w:val="20"/>
          <w:szCs w:val="20"/>
          <w:u w:val="single"/>
        </w:rPr>
        <w:t>Ανάλυση Δανείων και Χορηγήσεων σύμφωνα με τις πρόνοιες του ΔΠΧΑ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867"/>
        <w:gridCol w:w="867"/>
        <w:gridCol w:w="1097"/>
        <w:gridCol w:w="867"/>
        <w:gridCol w:w="867"/>
        <w:gridCol w:w="867"/>
        <w:gridCol w:w="867"/>
      </w:tblGrid>
      <w:tr w:rsidR="00C37814" w:rsidRPr="00C37814" w:rsidTr="008025D7">
        <w:trPr>
          <w:trHeight w:val="300"/>
        </w:trPr>
        <w:tc>
          <w:tcPr>
            <w:tcW w:w="1937" w:type="pct"/>
            <w:shd w:val="clear" w:color="auto" w:fill="auto"/>
            <w:noWrap/>
            <w:vAlign w:val="bottom"/>
            <w:hideMark/>
          </w:tcPr>
          <w:p w:rsidR="00C37814" w:rsidRPr="008025D7" w:rsidRDefault="00C37814" w:rsidP="00C37814">
            <w:pPr>
              <w:spacing w:after="0" w:line="240" w:lineRule="auto"/>
              <w:rPr>
                <w:rFonts w:ascii="Times New Roman" w:eastAsia="Times New Roman" w:hAnsi="Times New Roman" w:cs="Times New Roman"/>
                <w:sz w:val="18"/>
                <w:szCs w:val="24"/>
              </w:rPr>
            </w:pP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szCs w:val="20"/>
              </w:rPr>
            </w:pPr>
            <w:r w:rsidRPr="008025D7">
              <w:rPr>
                <w:rFonts w:ascii="Arial" w:eastAsia="Times New Roman" w:hAnsi="Arial" w:cs="Arial"/>
                <w:b/>
                <w:bCs/>
                <w:sz w:val="18"/>
                <w:szCs w:val="20"/>
                <w:lang w:val="en-US"/>
              </w:rPr>
              <w:t>2019</w:t>
            </w:r>
            <w:r>
              <w:rPr>
                <w:rFonts w:ascii="Arial" w:eastAsia="Times New Roman" w:hAnsi="Arial" w:cs="Arial"/>
                <w:b/>
                <w:bCs/>
                <w:sz w:val="18"/>
                <w:szCs w:val="20"/>
              </w:rPr>
              <w:t xml:space="preserve"> Α</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szCs w:val="20"/>
              </w:rPr>
            </w:pPr>
            <w:r w:rsidRPr="008025D7">
              <w:rPr>
                <w:rFonts w:ascii="Arial" w:eastAsia="Times New Roman" w:hAnsi="Arial" w:cs="Arial"/>
                <w:b/>
                <w:bCs/>
                <w:sz w:val="18"/>
                <w:szCs w:val="20"/>
                <w:lang w:val="en-US"/>
              </w:rPr>
              <w:t>2020</w:t>
            </w:r>
            <w:r>
              <w:rPr>
                <w:rFonts w:ascii="Arial" w:eastAsia="Times New Roman" w:hAnsi="Arial" w:cs="Arial"/>
                <w:b/>
                <w:bCs/>
                <w:sz w:val="18"/>
                <w:szCs w:val="20"/>
              </w:rPr>
              <w:t>Α</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szCs w:val="20"/>
              </w:rPr>
            </w:pPr>
            <w:r>
              <w:rPr>
                <w:rFonts w:ascii="Arial" w:eastAsia="Times New Roman" w:hAnsi="Arial" w:cs="Arial"/>
                <w:b/>
                <w:bCs/>
                <w:sz w:val="18"/>
                <w:szCs w:val="20"/>
              </w:rPr>
              <w:t>6Μ 2021 Α</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szCs w:val="20"/>
              </w:rPr>
            </w:pPr>
            <w:r w:rsidRPr="008025D7">
              <w:rPr>
                <w:rFonts w:ascii="Arial" w:eastAsia="Times New Roman" w:hAnsi="Arial" w:cs="Arial"/>
                <w:b/>
                <w:bCs/>
                <w:sz w:val="18"/>
                <w:szCs w:val="20"/>
                <w:lang w:val="en-US"/>
              </w:rPr>
              <w:t>2021</w:t>
            </w:r>
            <w:r>
              <w:rPr>
                <w:rFonts w:ascii="Arial" w:eastAsia="Times New Roman" w:hAnsi="Arial" w:cs="Arial"/>
                <w:b/>
                <w:bCs/>
                <w:sz w:val="18"/>
                <w:szCs w:val="20"/>
              </w:rPr>
              <w:t xml:space="preserve"> Π</w:t>
            </w:r>
            <w:r>
              <w:rPr>
                <w:rStyle w:val="FootnoteReference"/>
                <w:rFonts w:ascii="Arial" w:eastAsia="Times New Roman" w:hAnsi="Arial" w:cs="Arial"/>
                <w:b/>
                <w:bCs/>
                <w:sz w:val="18"/>
                <w:szCs w:val="20"/>
              </w:rPr>
              <w:footnoteReference w:id="1"/>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szCs w:val="20"/>
              </w:rPr>
            </w:pPr>
            <w:r w:rsidRPr="008025D7">
              <w:rPr>
                <w:rFonts w:ascii="Arial" w:eastAsia="Times New Roman" w:hAnsi="Arial" w:cs="Arial"/>
                <w:b/>
                <w:bCs/>
                <w:sz w:val="18"/>
                <w:szCs w:val="20"/>
                <w:lang w:val="en-US"/>
              </w:rPr>
              <w:t>2022</w:t>
            </w:r>
            <w:r>
              <w:rPr>
                <w:rFonts w:ascii="Arial" w:eastAsia="Times New Roman" w:hAnsi="Arial" w:cs="Arial"/>
                <w:b/>
                <w:bCs/>
                <w:sz w:val="18"/>
                <w:szCs w:val="20"/>
              </w:rPr>
              <w:t xml:space="preserve"> Π</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szCs w:val="20"/>
              </w:rPr>
            </w:pPr>
            <w:r w:rsidRPr="008025D7">
              <w:rPr>
                <w:rFonts w:ascii="Arial" w:eastAsia="Times New Roman" w:hAnsi="Arial" w:cs="Arial"/>
                <w:b/>
                <w:bCs/>
                <w:sz w:val="18"/>
                <w:szCs w:val="20"/>
                <w:lang w:val="en-US"/>
              </w:rPr>
              <w:t>2023</w:t>
            </w:r>
            <w:r>
              <w:rPr>
                <w:rFonts w:ascii="Arial" w:eastAsia="Times New Roman" w:hAnsi="Arial" w:cs="Arial"/>
                <w:b/>
                <w:bCs/>
                <w:sz w:val="18"/>
                <w:szCs w:val="20"/>
              </w:rPr>
              <w:t xml:space="preserve"> Π</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szCs w:val="20"/>
              </w:rPr>
            </w:pPr>
            <w:r w:rsidRPr="008025D7">
              <w:rPr>
                <w:rFonts w:ascii="Arial" w:eastAsia="Times New Roman" w:hAnsi="Arial" w:cs="Arial"/>
                <w:b/>
                <w:bCs/>
                <w:sz w:val="18"/>
                <w:szCs w:val="20"/>
                <w:lang w:val="en-US"/>
              </w:rPr>
              <w:t>2024</w:t>
            </w:r>
            <w:r>
              <w:rPr>
                <w:rFonts w:ascii="Arial" w:eastAsia="Times New Roman" w:hAnsi="Arial" w:cs="Arial"/>
                <w:b/>
                <w:bCs/>
                <w:sz w:val="18"/>
                <w:szCs w:val="20"/>
              </w:rPr>
              <w:t xml:space="preserve"> Π</w:t>
            </w:r>
          </w:p>
        </w:tc>
      </w:tr>
      <w:tr w:rsidR="00C37814" w:rsidRPr="00C37814" w:rsidTr="00C37814">
        <w:trPr>
          <w:trHeight w:val="300"/>
        </w:trPr>
        <w:tc>
          <w:tcPr>
            <w:tcW w:w="1937" w:type="pct"/>
            <w:shd w:val="clear" w:color="auto" w:fill="auto"/>
            <w:noWrap/>
            <w:vAlign w:val="bottom"/>
          </w:tcPr>
          <w:p w:rsidR="00C37814" w:rsidRPr="00C37814" w:rsidRDefault="00C37814" w:rsidP="00C37814">
            <w:pPr>
              <w:spacing w:after="0" w:line="240" w:lineRule="auto"/>
              <w:rPr>
                <w:rFonts w:ascii="Times New Roman" w:eastAsia="Times New Roman" w:hAnsi="Times New Roman" w:cs="Times New Roman"/>
                <w:sz w:val="18"/>
                <w:szCs w:val="24"/>
                <w:lang w:val="en-US"/>
              </w:rPr>
            </w:pPr>
          </w:p>
        </w:tc>
        <w:tc>
          <w:tcPr>
            <w:tcW w:w="438" w:type="pct"/>
            <w:shd w:val="clear" w:color="auto" w:fill="auto"/>
            <w:noWrap/>
            <w:vAlign w:val="bottom"/>
          </w:tcPr>
          <w:p w:rsidR="00C37814" w:rsidRPr="008025D7" w:rsidRDefault="00C37814" w:rsidP="00C37814">
            <w:pPr>
              <w:spacing w:after="0" w:line="240" w:lineRule="auto"/>
              <w:jc w:val="right"/>
              <w:rPr>
                <w:rFonts w:ascii="Arial" w:eastAsia="Times New Roman" w:hAnsi="Arial" w:cs="Arial"/>
                <w:b/>
                <w:bCs/>
                <w:sz w:val="18"/>
                <w:szCs w:val="20"/>
              </w:rPr>
            </w:pPr>
            <w:r>
              <w:rPr>
                <w:rFonts w:ascii="Arial" w:eastAsia="Times New Roman" w:hAnsi="Arial" w:cs="Arial"/>
                <w:b/>
                <w:bCs/>
                <w:sz w:val="18"/>
                <w:szCs w:val="20"/>
              </w:rPr>
              <w:t>€000</w:t>
            </w:r>
          </w:p>
        </w:tc>
        <w:tc>
          <w:tcPr>
            <w:tcW w:w="438" w:type="pct"/>
            <w:shd w:val="clear" w:color="auto" w:fill="auto"/>
            <w:noWrap/>
            <w:vAlign w:val="bottom"/>
          </w:tcPr>
          <w:p w:rsidR="00C37814" w:rsidRPr="00C37814" w:rsidRDefault="00C37814" w:rsidP="00C37814">
            <w:pPr>
              <w:spacing w:after="0" w:line="240" w:lineRule="auto"/>
              <w:jc w:val="right"/>
              <w:rPr>
                <w:rFonts w:ascii="Arial" w:eastAsia="Times New Roman" w:hAnsi="Arial" w:cs="Arial"/>
                <w:b/>
                <w:bCs/>
                <w:sz w:val="18"/>
                <w:szCs w:val="20"/>
                <w:lang w:val="en-US"/>
              </w:rPr>
            </w:pPr>
            <w:r>
              <w:rPr>
                <w:rFonts w:ascii="Arial" w:eastAsia="Times New Roman" w:hAnsi="Arial" w:cs="Arial"/>
                <w:b/>
                <w:bCs/>
                <w:sz w:val="18"/>
                <w:szCs w:val="20"/>
              </w:rPr>
              <w:t>€000</w:t>
            </w:r>
          </w:p>
        </w:tc>
        <w:tc>
          <w:tcPr>
            <w:tcW w:w="438" w:type="pct"/>
            <w:shd w:val="clear" w:color="auto" w:fill="auto"/>
            <w:noWrap/>
            <w:vAlign w:val="bottom"/>
          </w:tcPr>
          <w:p w:rsidR="00C37814" w:rsidRPr="00C37814" w:rsidRDefault="00C37814" w:rsidP="00C37814">
            <w:pPr>
              <w:spacing w:after="0" w:line="240" w:lineRule="auto"/>
              <w:jc w:val="right"/>
              <w:rPr>
                <w:rFonts w:ascii="Arial" w:eastAsia="Times New Roman" w:hAnsi="Arial" w:cs="Arial"/>
                <w:b/>
                <w:bCs/>
                <w:sz w:val="18"/>
                <w:szCs w:val="20"/>
                <w:lang w:val="en-US"/>
              </w:rPr>
            </w:pPr>
            <w:r>
              <w:rPr>
                <w:rFonts w:ascii="Arial" w:eastAsia="Times New Roman" w:hAnsi="Arial" w:cs="Arial"/>
                <w:b/>
                <w:bCs/>
                <w:sz w:val="18"/>
                <w:szCs w:val="20"/>
              </w:rPr>
              <w:t>€000</w:t>
            </w:r>
          </w:p>
        </w:tc>
        <w:tc>
          <w:tcPr>
            <w:tcW w:w="438" w:type="pct"/>
            <w:shd w:val="clear" w:color="auto" w:fill="auto"/>
            <w:noWrap/>
            <w:vAlign w:val="bottom"/>
          </w:tcPr>
          <w:p w:rsidR="00C37814" w:rsidRPr="00C37814" w:rsidRDefault="00C37814" w:rsidP="00C37814">
            <w:pPr>
              <w:spacing w:after="0" w:line="240" w:lineRule="auto"/>
              <w:jc w:val="right"/>
              <w:rPr>
                <w:rFonts w:ascii="Arial" w:eastAsia="Times New Roman" w:hAnsi="Arial" w:cs="Arial"/>
                <w:b/>
                <w:bCs/>
                <w:sz w:val="18"/>
                <w:szCs w:val="20"/>
                <w:lang w:val="en-US"/>
              </w:rPr>
            </w:pPr>
            <w:r>
              <w:rPr>
                <w:rFonts w:ascii="Arial" w:eastAsia="Times New Roman" w:hAnsi="Arial" w:cs="Arial"/>
                <w:b/>
                <w:bCs/>
                <w:sz w:val="18"/>
                <w:szCs w:val="20"/>
              </w:rPr>
              <w:t>€000</w:t>
            </w:r>
          </w:p>
        </w:tc>
        <w:tc>
          <w:tcPr>
            <w:tcW w:w="438" w:type="pct"/>
            <w:shd w:val="clear" w:color="auto" w:fill="auto"/>
            <w:noWrap/>
            <w:vAlign w:val="bottom"/>
          </w:tcPr>
          <w:p w:rsidR="00C37814" w:rsidRPr="00C37814" w:rsidRDefault="00C37814" w:rsidP="00C37814">
            <w:pPr>
              <w:spacing w:after="0" w:line="240" w:lineRule="auto"/>
              <w:jc w:val="right"/>
              <w:rPr>
                <w:rFonts w:ascii="Arial" w:eastAsia="Times New Roman" w:hAnsi="Arial" w:cs="Arial"/>
                <w:b/>
                <w:bCs/>
                <w:sz w:val="18"/>
                <w:szCs w:val="20"/>
                <w:lang w:val="en-US"/>
              </w:rPr>
            </w:pPr>
            <w:r>
              <w:rPr>
                <w:rFonts w:ascii="Arial" w:eastAsia="Times New Roman" w:hAnsi="Arial" w:cs="Arial"/>
                <w:b/>
                <w:bCs/>
                <w:sz w:val="18"/>
                <w:szCs w:val="20"/>
              </w:rPr>
              <w:t>€000</w:t>
            </w:r>
          </w:p>
        </w:tc>
        <w:tc>
          <w:tcPr>
            <w:tcW w:w="438" w:type="pct"/>
            <w:shd w:val="clear" w:color="auto" w:fill="auto"/>
            <w:noWrap/>
            <w:vAlign w:val="bottom"/>
          </w:tcPr>
          <w:p w:rsidR="00C37814" w:rsidRPr="00C37814" w:rsidRDefault="00C37814" w:rsidP="00C37814">
            <w:pPr>
              <w:spacing w:after="0" w:line="240" w:lineRule="auto"/>
              <w:jc w:val="right"/>
              <w:rPr>
                <w:rFonts w:ascii="Arial" w:eastAsia="Times New Roman" w:hAnsi="Arial" w:cs="Arial"/>
                <w:b/>
                <w:bCs/>
                <w:sz w:val="18"/>
                <w:szCs w:val="20"/>
                <w:lang w:val="en-US"/>
              </w:rPr>
            </w:pPr>
            <w:r>
              <w:rPr>
                <w:rFonts w:ascii="Arial" w:eastAsia="Times New Roman" w:hAnsi="Arial" w:cs="Arial"/>
                <w:b/>
                <w:bCs/>
                <w:sz w:val="18"/>
                <w:szCs w:val="20"/>
              </w:rPr>
              <w:t>€000</w:t>
            </w:r>
          </w:p>
        </w:tc>
        <w:tc>
          <w:tcPr>
            <w:tcW w:w="438" w:type="pct"/>
            <w:shd w:val="clear" w:color="auto" w:fill="auto"/>
            <w:noWrap/>
            <w:vAlign w:val="bottom"/>
          </w:tcPr>
          <w:p w:rsidR="00C37814" w:rsidRPr="00C37814" w:rsidRDefault="00C37814" w:rsidP="00C37814">
            <w:pPr>
              <w:spacing w:after="0" w:line="240" w:lineRule="auto"/>
              <w:jc w:val="right"/>
              <w:rPr>
                <w:rFonts w:ascii="Arial" w:eastAsia="Times New Roman" w:hAnsi="Arial" w:cs="Arial"/>
                <w:b/>
                <w:bCs/>
                <w:sz w:val="18"/>
                <w:szCs w:val="20"/>
                <w:lang w:val="en-US"/>
              </w:rPr>
            </w:pPr>
            <w:r>
              <w:rPr>
                <w:rFonts w:ascii="Arial" w:eastAsia="Times New Roman" w:hAnsi="Arial" w:cs="Arial"/>
                <w:b/>
                <w:bCs/>
                <w:sz w:val="18"/>
                <w:szCs w:val="20"/>
              </w:rPr>
              <w:t>€000</w:t>
            </w:r>
          </w:p>
        </w:tc>
      </w:tr>
      <w:tr w:rsidR="00C37814" w:rsidRPr="00C37814" w:rsidTr="008025D7">
        <w:trPr>
          <w:trHeight w:val="300"/>
        </w:trPr>
        <w:tc>
          <w:tcPr>
            <w:tcW w:w="1937" w:type="pct"/>
            <w:shd w:val="clear" w:color="auto" w:fill="auto"/>
            <w:noWrap/>
            <w:vAlign w:val="bottom"/>
            <w:hideMark/>
          </w:tcPr>
          <w:p w:rsidR="00C37814" w:rsidRPr="008025D7" w:rsidRDefault="00C37814" w:rsidP="00C37814">
            <w:pPr>
              <w:spacing w:after="0" w:line="240" w:lineRule="auto"/>
              <w:rPr>
                <w:rFonts w:ascii="Arial" w:eastAsia="Times New Roman" w:hAnsi="Arial" w:cs="Arial"/>
                <w:bCs/>
                <w:sz w:val="18"/>
                <w:szCs w:val="20"/>
                <w:lang w:val="en-US"/>
              </w:rPr>
            </w:pPr>
            <w:r w:rsidRPr="008025D7">
              <w:rPr>
                <w:rFonts w:ascii="Arial" w:eastAsia="Times New Roman" w:hAnsi="Arial" w:cs="Arial"/>
                <w:bCs/>
                <w:sz w:val="18"/>
                <w:szCs w:val="20"/>
                <w:lang w:val="en-US"/>
              </w:rPr>
              <w:t>Στάδιο 1</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271,922</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285,837</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293,494</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278,812</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279,884</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279,058</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279,249</w:t>
            </w:r>
          </w:p>
        </w:tc>
      </w:tr>
      <w:tr w:rsidR="00C37814" w:rsidRPr="00C37814" w:rsidTr="008025D7">
        <w:trPr>
          <w:trHeight w:val="300"/>
        </w:trPr>
        <w:tc>
          <w:tcPr>
            <w:tcW w:w="1937" w:type="pct"/>
            <w:shd w:val="clear" w:color="auto" w:fill="auto"/>
            <w:noWrap/>
            <w:vAlign w:val="bottom"/>
            <w:hideMark/>
          </w:tcPr>
          <w:p w:rsidR="00C37814" w:rsidRPr="008025D7" w:rsidRDefault="00C37814" w:rsidP="00C37814">
            <w:pPr>
              <w:spacing w:after="0" w:line="240" w:lineRule="auto"/>
              <w:rPr>
                <w:rFonts w:ascii="Arial" w:eastAsia="Times New Roman" w:hAnsi="Arial" w:cs="Arial"/>
                <w:bCs/>
                <w:sz w:val="18"/>
                <w:szCs w:val="20"/>
                <w:lang w:val="en-US"/>
              </w:rPr>
            </w:pPr>
            <w:r w:rsidRPr="008025D7">
              <w:rPr>
                <w:rFonts w:ascii="Arial" w:eastAsia="Times New Roman" w:hAnsi="Arial" w:cs="Arial"/>
                <w:bCs/>
                <w:sz w:val="18"/>
                <w:szCs w:val="20"/>
                <w:lang w:val="en-US"/>
              </w:rPr>
              <w:t>Στάδιο 2</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64,280</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58,978</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53,651</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59,864</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113,192</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148,509</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197,346</w:t>
            </w:r>
          </w:p>
        </w:tc>
      </w:tr>
      <w:tr w:rsidR="00C37814" w:rsidRPr="00C37814" w:rsidTr="008025D7">
        <w:trPr>
          <w:trHeight w:val="300"/>
        </w:trPr>
        <w:tc>
          <w:tcPr>
            <w:tcW w:w="1937" w:type="pct"/>
            <w:shd w:val="clear" w:color="auto" w:fill="auto"/>
            <w:noWrap/>
            <w:vAlign w:val="bottom"/>
            <w:hideMark/>
          </w:tcPr>
          <w:p w:rsidR="00C37814" w:rsidRPr="008025D7" w:rsidRDefault="00C37814" w:rsidP="00C37814">
            <w:pPr>
              <w:spacing w:after="0" w:line="240" w:lineRule="auto"/>
              <w:rPr>
                <w:rFonts w:ascii="Arial" w:eastAsia="Times New Roman" w:hAnsi="Arial" w:cs="Arial"/>
                <w:bCs/>
                <w:sz w:val="18"/>
                <w:szCs w:val="20"/>
                <w:lang w:val="en-US"/>
              </w:rPr>
            </w:pPr>
            <w:r w:rsidRPr="008025D7">
              <w:rPr>
                <w:rFonts w:ascii="Arial" w:eastAsia="Times New Roman" w:hAnsi="Arial" w:cs="Arial"/>
                <w:bCs/>
                <w:sz w:val="18"/>
                <w:szCs w:val="20"/>
                <w:lang w:val="en-US"/>
              </w:rPr>
              <w:t>Στάδιο 3</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292,532</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285,878</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281,653</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276,518</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222,053</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185,748</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Cs/>
                <w:sz w:val="18"/>
                <w:szCs w:val="20"/>
                <w:lang w:val="en-US"/>
              </w:rPr>
            </w:pPr>
            <w:r w:rsidRPr="008025D7">
              <w:rPr>
                <w:rFonts w:ascii="Arial" w:eastAsia="Times New Roman" w:hAnsi="Arial" w:cs="Arial"/>
                <w:bCs/>
                <w:sz w:val="18"/>
                <w:szCs w:val="20"/>
                <w:lang w:val="en-US"/>
              </w:rPr>
              <w:t>137,139</w:t>
            </w:r>
          </w:p>
        </w:tc>
      </w:tr>
      <w:tr w:rsidR="00C37814" w:rsidRPr="00C37814" w:rsidTr="008025D7">
        <w:trPr>
          <w:trHeight w:val="300"/>
        </w:trPr>
        <w:tc>
          <w:tcPr>
            <w:tcW w:w="1937" w:type="pct"/>
            <w:shd w:val="clear" w:color="auto" w:fill="auto"/>
            <w:noWrap/>
            <w:vAlign w:val="bottom"/>
            <w:hideMark/>
          </w:tcPr>
          <w:p w:rsidR="00C37814" w:rsidRPr="008025D7" w:rsidRDefault="00C37814" w:rsidP="00C37814">
            <w:pPr>
              <w:spacing w:after="0" w:line="240" w:lineRule="auto"/>
              <w:rPr>
                <w:rFonts w:ascii="Arial" w:eastAsia="Times New Roman" w:hAnsi="Arial" w:cs="Arial"/>
                <w:b/>
                <w:bCs/>
                <w:sz w:val="18"/>
                <w:szCs w:val="20"/>
                <w:lang w:val="en-US"/>
              </w:rPr>
            </w:pPr>
            <w:r>
              <w:rPr>
                <w:rFonts w:ascii="Arial" w:eastAsia="Times New Roman" w:hAnsi="Arial" w:cs="Arial"/>
                <w:b/>
                <w:bCs/>
                <w:sz w:val="18"/>
                <w:szCs w:val="20"/>
              </w:rPr>
              <w:t xml:space="preserve">Σύνολο </w:t>
            </w:r>
            <w:r w:rsidRPr="008025D7">
              <w:rPr>
                <w:rFonts w:ascii="Arial" w:eastAsia="Times New Roman" w:hAnsi="Arial" w:cs="Arial"/>
                <w:b/>
                <w:bCs/>
                <w:sz w:val="18"/>
                <w:szCs w:val="20"/>
                <w:lang w:val="en-US"/>
              </w:rPr>
              <w:t xml:space="preserve">Δάνεια και Χορηγήσεις </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lang w:val="en-US"/>
              </w:rPr>
            </w:pPr>
            <w:r w:rsidRPr="008025D7">
              <w:rPr>
                <w:rFonts w:ascii="Arial" w:eastAsia="Times New Roman" w:hAnsi="Arial" w:cs="Arial"/>
                <w:b/>
                <w:bCs/>
                <w:sz w:val="18"/>
                <w:lang w:val="en-US"/>
              </w:rPr>
              <w:t>628,733</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lang w:val="en-US"/>
              </w:rPr>
            </w:pPr>
            <w:r w:rsidRPr="008025D7">
              <w:rPr>
                <w:rFonts w:ascii="Arial" w:eastAsia="Times New Roman" w:hAnsi="Arial" w:cs="Arial"/>
                <w:b/>
                <w:bCs/>
                <w:sz w:val="18"/>
                <w:lang w:val="en-US"/>
              </w:rPr>
              <w:t>630,693</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lang w:val="en-US"/>
              </w:rPr>
            </w:pPr>
            <w:r w:rsidRPr="008025D7">
              <w:rPr>
                <w:rFonts w:ascii="Arial" w:eastAsia="Times New Roman" w:hAnsi="Arial" w:cs="Arial"/>
                <w:b/>
                <w:bCs/>
                <w:sz w:val="18"/>
                <w:lang w:val="en-US"/>
              </w:rPr>
              <w:t>628,797</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lang w:val="en-US"/>
              </w:rPr>
            </w:pPr>
            <w:r w:rsidRPr="008025D7">
              <w:rPr>
                <w:rFonts w:ascii="Arial" w:eastAsia="Times New Roman" w:hAnsi="Arial" w:cs="Arial"/>
                <w:b/>
                <w:bCs/>
                <w:sz w:val="18"/>
                <w:lang w:val="en-US"/>
              </w:rPr>
              <w:t>615,194</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lang w:val="en-US"/>
              </w:rPr>
            </w:pPr>
            <w:r w:rsidRPr="008025D7">
              <w:rPr>
                <w:rFonts w:ascii="Arial" w:eastAsia="Times New Roman" w:hAnsi="Arial" w:cs="Arial"/>
                <w:b/>
                <w:bCs/>
                <w:sz w:val="18"/>
                <w:lang w:val="en-US"/>
              </w:rPr>
              <w:t>615,129</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lang w:val="en-US"/>
              </w:rPr>
            </w:pPr>
            <w:r w:rsidRPr="008025D7">
              <w:rPr>
                <w:rFonts w:ascii="Arial" w:eastAsia="Times New Roman" w:hAnsi="Arial" w:cs="Arial"/>
                <w:b/>
                <w:bCs/>
                <w:sz w:val="18"/>
                <w:lang w:val="en-US"/>
              </w:rPr>
              <w:t>613,315</w:t>
            </w:r>
          </w:p>
        </w:tc>
        <w:tc>
          <w:tcPr>
            <w:tcW w:w="438" w:type="pct"/>
            <w:shd w:val="clear" w:color="auto" w:fill="auto"/>
            <w:noWrap/>
            <w:vAlign w:val="bottom"/>
            <w:hideMark/>
          </w:tcPr>
          <w:p w:rsidR="00C37814" w:rsidRPr="008025D7" w:rsidRDefault="00C37814" w:rsidP="00C37814">
            <w:pPr>
              <w:spacing w:after="0" w:line="240" w:lineRule="auto"/>
              <w:jc w:val="right"/>
              <w:rPr>
                <w:rFonts w:ascii="Arial" w:eastAsia="Times New Roman" w:hAnsi="Arial" w:cs="Arial"/>
                <w:b/>
                <w:bCs/>
                <w:sz w:val="18"/>
                <w:lang w:val="en-US"/>
              </w:rPr>
            </w:pPr>
            <w:r w:rsidRPr="008025D7">
              <w:rPr>
                <w:rFonts w:ascii="Arial" w:eastAsia="Times New Roman" w:hAnsi="Arial" w:cs="Arial"/>
                <w:b/>
                <w:bCs/>
                <w:sz w:val="18"/>
                <w:lang w:val="en-US"/>
              </w:rPr>
              <w:t>613,735</w:t>
            </w:r>
          </w:p>
        </w:tc>
      </w:tr>
    </w:tbl>
    <w:p w:rsidR="000821A6" w:rsidRDefault="000821A6" w:rsidP="00E309E7">
      <w:pPr>
        <w:suppressAutoHyphens/>
        <w:autoSpaceDN w:val="0"/>
        <w:spacing w:before="10" w:after="100" w:afterAutospacing="1"/>
        <w:jc w:val="both"/>
        <w:rPr>
          <w:rFonts w:ascii="Arial" w:hAnsi="Arial" w:cs="Arial"/>
          <w:sz w:val="20"/>
          <w:szCs w:val="20"/>
        </w:rPr>
      </w:pPr>
    </w:p>
    <w:p w:rsidR="00B50A20" w:rsidRDefault="00B50A20" w:rsidP="00B50A20">
      <w:pPr>
        <w:suppressAutoHyphens/>
        <w:autoSpaceDN w:val="0"/>
        <w:spacing w:before="10" w:after="100" w:afterAutospacing="1"/>
        <w:jc w:val="both"/>
        <w:rPr>
          <w:rFonts w:ascii="Arial" w:hAnsi="Arial" w:cs="Arial"/>
          <w:b/>
          <w:sz w:val="20"/>
          <w:szCs w:val="20"/>
          <w:u w:val="single"/>
        </w:rPr>
      </w:pPr>
      <w:r w:rsidRPr="00EF74BC">
        <w:rPr>
          <w:rFonts w:ascii="Arial" w:hAnsi="Arial" w:cs="Arial"/>
          <w:b/>
          <w:sz w:val="20"/>
          <w:szCs w:val="20"/>
          <w:u w:val="single"/>
        </w:rPr>
        <w:t xml:space="preserve">Ανάλυση </w:t>
      </w:r>
      <w:r>
        <w:rPr>
          <w:rFonts w:ascii="Arial" w:hAnsi="Arial" w:cs="Arial"/>
          <w:b/>
          <w:sz w:val="20"/>
          <w:szCs w:val="20"/>
          <w:u w:val="single"/>
        </w:rPr>
        <w:t>προβλέψεων για κάλυψη του πιστωτικού κινδύνου</w:t>
      </w:r>
      <w:r w:rsidRPr="00EF74BC">
        <w:rPr>
          <w:rFonts w:ascii="Arial" w:hAnsi="Arial" w:cs="Arial"/>
          <w:b/>
          <w:sz w:val="20"/>
          <w:szCs w:val="20"/>
          <w:u w:val="single"/>
        </w:rPr>
        <w:t xml:space="preserve"> σύμφωνα με τις πρόνοιες του ΔΠΧΑ 9</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60"/>
        <w:gridCol w:w="960"/>
        <w:gridCol w:w="1280"/>
        <w:gridCol w:w="960"/>
        <w:gridCol w:w="960"/>
        <w:gridCol w:w="960"/>
        <w:gridCol w:w="960"/>
      </w:tblGrid>
      <w:tr w:rsidR="00B50A20" w:rsidRPr="00B50A20" w:rsidTr="008025D7">
        <w:trPr>
          <w:trHeight w:val="300"/>
          <w:jc w:val="center"/>
        </w:trPr>
        <w:tc>
          <w:tcPr>
            <w:tcW w:w="2920" w:type="dxa"/>
            <w:shd w:val="clear" w:color="auto" w:fill="auto"/>
            <w:noWrap/>
            <w:vAlign w:val="bottom"/>
            <w:hideMark/>
          </w:tcPr>
          <w:p w:rsidR="00B50A20" w:rsidRPr="008025D7" w:rsidRDefault="00B50A20" w:rsidP="00B50A20">
            <w:pPr>
              <w:spacing w:after="0" w:line="240" w:lineRule="auto"/>
              <w:rPr>
                <w:rFonts w:ascii="Arial" w:eastAsia="Times New Roman" w:hAnsi="Arial" w:cs="Arial"/>
                <w:color w:val="000000"/>
              </w:rPr>
            </w:pPr>
            <w:r w:rsidRPr="008025D7">
              <w:rPr>
                <w:rFonts w:ascii="Arial" w:eastAsia="Times New Roman" w:hAnsi="Arial" w:cs="Arial"/>
                <w:color w:val="000000"/>
                <w:lang w:val="en-US"/>
              </w:rPr>
              <w:t> </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2019 Α</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2020Α</w:t>
            </w:r>
          </w:p>
        </w:tc>
        <w:tc>
          <w:tcPr>
            <w:tcW w:w="128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rPr>
              <w:t>6Μ 2021 Α</w:t>
            </w:r>
          </w:p>
        </w:tc>
        <w:tc>
          <w:tcPr>
            <w:tcW w:w="960" w:type="dxa"/>
            <w:shd w:val="clear" w:color="auto" w:fill="auto"/>
            <w:noWrap/>
            <w:vAlign w:val="bottom"/>
            <w:hideMark/>
          </w:tcPr>
          <w:p w:rsidR="00B50A20" w:rsidRPr="008025D7" w:rsidRDefault="00B50A20">
            <w:pPr>
              <w:spacing w:after="0" w:line="240" w:lineRule="auto"/>
              <w:jc w:val="right"/>
              <w:rPr>
                <w:rFonts w:ascii="Arial" w:eastAsia="Times New Roman" w:hAnsi="Arial" w:cs="Arial"/>
                <w:color w:val="0563C1"/>
                <w:u w:val="single"/>
              </w:rPr>
            </w:pPr>
            <w:r w:rsidRPr="00EF74BC">
              <w:rPr>
                <w:rFonts w:ascii="Arial" w:eastAsia="Times New Roman" w:hAnsi="Arial" w:cs="Arial"/>
                <w:b/>
                <w:bCs/>
                <w:sz w:val="18"/>
                <w:szCs w:val="20"/>
                <w:lang w:val="en-US"/>
              </w:rPr>
              <w:t>2021</w:t>
            </w:r>
            <w:r>
              <w:rPr>
                <w:rFonts w:ascii="Arial" w:eastAsia="Times New Roman" w:hAnsi="Arial" w:cs="Arial"/>
                <w:b/>
                <w:bCs/>
                <w:sz w:val="18"/>
                <w:szCs w:val="20"/>
              </w:rPr>
              <w:t xml:space="preserve"> Π</w:t>
            </w:r>
            <w:r>
              <w:rPr>
                <w:rStyle w:val="FootnoteReference"/>
              </w:rPr>
              <w:t>1</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2022 Π</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2023 Π</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2024 Π</w:t>
            </w:r>
          </w:p>
        </w:tc>
      </w:tr>
      <w:tr w:rsidR="00B50A20" w:rsidRPr="00B50A20" w:rsidTr="001D6A2A">
        <w:trPr>
          <w:trHeight w:val="300"/>
          <w:jc w:val="center"/>
        </w:trPr>
        <w:tc>
          <w:tcPr>
            <w:tcW w:w="2920" w:type="dxa"/>
            <w:shd w:val="clear" w:color="auto" w:fill="auto"/>
            <w:noWrap/>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 </w:t>
            </w:r>
          </w:p>
        </w:tc>
        <w:tc>
          <w:tcPr>
            <w:tcW w:w="960" w:type="dxa"/>
            <w:shd w:val="clear" w:color="auto" w:fill="auto"/>
            <w:noWrap/>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73F65">
              <w:rPr>
                <w:rFonts w:ascii="Arial" w:eastAsia="Times New Roman" w:hAnsi="Arial" w:cs="Arial"/>
                <w:b/>
                <w:bCs/>
                <w:sz w:val="18"/>
                <w:szCs w:val="20"/>
              </w:rPr>
              <w:t>€000</w:t>
            </w:r>
          </w:p>
        </w:tc>
        <w:tc>
          <w:tcPr>
            <w:tcW w:w="960" w:type="dxa"/>
            <w:shd w:val="clear" w:color="auto" w:fill="auto"/>
            <w:noWrap/>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73F65">
              <w:rPr>
                <w:rFonts w:ascii="Arial" w:eastAsia="Times New Roman" w:hAnsi="Arial" w:cs="Arial"/>
                <w:b/>
                <w:bCs/>
                <w:sz w:val="18"/>
                <w:szCs w:val="20"/>
              </w:rPr>
              <w:t>€000</w:t>
            </w:r>
          </w:p>
        </w:tc>
        <w:tc>
          <w:tcPr>
            <w:tcW w:w="1280" w:type="dxa"/>
            <w:shd w:val="clear" w:color="auto" w:fill="auto"/>
            <w:noWrap/>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73F65">
              <w:rPr>
                <w:rFonts w:ascii="Arial" w:eastAsia="Times New Roman" w:hAnsi="Arial" w:cs="Arial"/>
                <w:b/>
                <w:bCs/>
                <w:sz w:val="18"/>
                <w:szCs w:val="20"/>
              </w:rPr>
              <w:t>€000</w:t>
            </w:r>
          </w:p>
        </w:tc>
        <w:tc>
          <w:tcPr>
            <w:tcW w:w="960" w:type="dxa"/>
            <w:shd w:val="clear" w:color="auto" w:fill="auto"/>
            <w:noWrap/>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73F65">
              <w:rPr>
                <w:rFonts w:ascii="Arial" w:eastAsia="Times New Roman" w:hAnsi="Arial" w:cs="Arial"/>
                <w:b/>
                <w:bCs/>
                <w:sz w:val="18"/>
                <w:szCs w:val="20"/>
              </w:rPr>
              <w:t>€000</w:t>
            </w:r>
          </w:p>
        </w:tc>
        <w:tc>
          <w:tcPr>
            <w:tcW w:w="960" w:type="dxa"/>
            <w:shd w:val="clear" w:color="auto" w:fill="auto"/>
            <w:noWrap/>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73F65">
              <w:rPr>
                <w:rFonts w:ascii="Arial" w:eastAsia="Times New Roman" w:hAnsi="Arial" w:cs="Arial"/>
                <w:b/>
                <w:bCs/>
                <w:sz w:val="18"/>
                <w:szCs w:val="20"/>
              </w:rPr>
              <w:t>€000</w:t>
            </w:r>
          </w:p>
        </w:tc>
        <w:tc>
          <w:tcPr>
            <w:tcW w:w="960" w:type="dxa"/>
            <w:shd w:val="clear" w:color="auto" w:fill="auto"/>
            <w:noWrap/>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73F65">
              <w:rPr>
                <w:rFonts w:ascii="Arial" w:eastAsia="Times New Roman" w:hAnsi="Arial" w:cs="Arial"/>
                <w:b/>
                <w:bCs/>
                <w:sz w:val="18"/>
                <w:szCs w:val="20"/>
              </w:rPr>
              <w:t>€000</w:t>
            </w:r>
          </w:p>
        </w:tc>
        <w:tc>
          <w:tcPr>
            <w:tcW w:w="960" w:type="dxa"/>
            <w:shd w:val="clear" w:color="auto" w:fill="auto"/>
            <w:noWrap/>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73F65">
              <w:rPr>
                <w:rFonts w:ascii="Arial" w:eastAsia="Times New Roman" w:hAnsi="Arial" w:cs="Arial"/>
                <w:b/>
                <w:bCs/>
                <w:sz w:val="18"/>
                <w:szCs w:val="20"/>
              </w:rPr>
              <w:t>€000</w:t>
            </w:r>
          </w:p>
        </w:tc>
      </w:tr>
      <w:tr w:rsidR="00B50A20" w:rsidRPr="00B50A20" w:rsidTr="008025D7">
        <w:trPr>
          <w:trHeight w:val="300"/>
          <w:jc w:val="center"/>
        </w:trPr>
        <w:tc>
          <w:tcPr>
            <w:tcW w:w="2920" w:type="dxa"/>
            <w:shd w:val="clear" w:color="auto" w:fill="auto"/>
            <w:noWrap/>
            <w:vAlign w:val="center"/>
            <w:hideMark/>
          </w:tcPr>
          <w:p w:rsidR="00B50A20" w:rsidRPr="00B50A20" w:rsidRDefault="00B50A20" w:rsidP="00B50A20">
            <w:pPr>
              <w:spacing w:after="0" w:line="240" w:lineRule="auto"/>
              <w:rPr>
                <w:rFonts w:ascii="Arial" w:eastAsia="Times New Roman" w:hAnsi="Arial" w:cs="Arial"/>
                <w:color w:val="000000"/>
                <w:sz w:val="18"/>
                <w:szCs w:val="18"/>
                <w:lang w:val="en-US"/>
              </w:rPr>
            </w:pPr>
            <w:r w:rsidRPr="00B50A20">
              <w:rPr>
                <w:rFonts w:ascii="Arial" w:eastAsia="Times New Roman" w:hAnsi="Arial" w:cs="Arial"/>
                <w:color w:val="000000"/>
                <w:sz w:val="18"/>
                <w:szCs w:val="18"/>
                <w:lang w:val="en-US"/>
              </w:rPr>
              <w:t>Στάδιο 1</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548</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1,402</w:t>
            </w:r>
          </w:p>
        </w:tc>
        <w:tc>
          <w:tcPr>
            <w:tcW w:w="128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1,164</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1,673</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3,499</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3,488</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3,491</w:t>
            </w:r>
          </w:p>
        </w:tc>
      </w:tr>
      <w:tr w:rsidR="00B50A20" w:rsidRPr="00B50A20" w:rsidTr="008025D7">
        <w:trPr>
          <w:trHeight w:val="300"/>
          <w:jc w:val="center"/>
        </w:trPr>
        <w:tc>
          <w:tcPr>
            <w:tcW w:w="2920" w:type="dxa"/>
            <w:shd w:val="clear" w:color="auto" w:fill="auto"/>
            <w:noWrap/>
            <w:vAlign w:val="center"/>
            <w:hideMark/>
          </w:tcPr>
          <w:p w:rsidR="00B50A20" w:rsidRPr="00B50A20" w:rsidRDefault="00B50A20" w:rsidP="00B50A20">
            <w:pPr>
              <w:spacing w:after="0" w:line="240" w:lineRule="auto"/>
              <w:rPr>
                <w:rFonts w:ascii="Arial" w:eastAsia="Times New Roman" w:hAnsi="Arial" w:cs="Arial"/>
                <w:color w:val="000000"/>
                <w:sz w:val="18"/>
                <w:szCs w:val="18"/>
                <w:lang w:val="en-US"/>
              </w:rPr>
            </w:pPr>
            <w:r w:rsidRPr="00B50A20">
              <w:rPr>
                <w:rFonts w:ascii="Arial" w:eastAsia="Times New Roman" w:hAnsi="Arial" w:cs="Arial"/>
                <w:color w:val="000000"/>
                <w:sz w:val="18"/>
                <w:szCs w:val="18"/>
                <w:lang w:val="en-US"/>
              </w:rPr>
              <w:t>Στάδιο 2</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971</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1,330</w:t>
            </w:r>
          </w:p>
        </w:tc>
        <w:tc>
          <w:tcPr>
            <w:tcW w:w="128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1,361</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2,095</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5,660</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9,653</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14,308</w:t>
            </w:r>
          </w:p>
        </w:tc>
      </w:tr>
      <w:tr w:rsidR="00B50A20" w:rsidRPr="00B50A20" w:rsidTr="008025D7">
        <w:trPr>
          <w:trHeight w:val="300"/>
          <w:jc w:val="center"/>
        </w:trPr>
        <w:tc>
          <w:tcPr>
            <w:tcW w:w="2920" w:type="dxa"/>
            <w:shd w:val="clear" w:color="auto" w:fill="auto"/>
            <w:noWrap/>
            <w:vAlign w:val="center"/>
            <w:hideMark/>
          </w:tcPr>
          <w:p w:rsidR="00B50A20" w:rsidRPr="00B50A20" w:rsidRDefault="00B50A20" w:rsidP="00B50A20">
            <w:pPr>
              <w:spacing w:after="0" w:line="240" w:lineRule="auto"/>
              <w:rPr>
                <w:rFonts w:ascii="Arial" w:eastAsia="Times New Roman" w:hAnsi="Arial" w:cs="Arial"/>
                <w:color w:val="000000"/>
                <w:sz w:val="18"/>
                <w:szCs w:val="18"/>
                <w:lang w:val="en-US"/>
              </w:rPr>
            </w:pPr>
            <w:r w:rsidRPr="00B50A20">
              <w:rPr>
                <w:rFonts w:ascii="Arial" w:eastAsia="Times New Roman" w:hAnsi="Arial" w:cs="Arial"/>
                <w:color w:val="000000"/>
                <w:sz w:val="18"/>
                <w:szCs w:val="18"/>
                <w:lang w:val="en-US"/>
              </w:rPr>
              <w:t>Στάδιο 3</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104,823</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110,935</w:t>
            </w:r>
          </w:p>
        </w:tc>
        <w:tc>
          <w:tcPr>
            <w:tcW w:w="128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112,073</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117,520</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111,026</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102,161</w:t>
            </w: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bCs/>
                <w:color w:val="000000"/>
                <w:sz w:val="18"/>
                <w:szCs w:val="18"/>
                <w:lang w:val="en-US"/>
              </w:rPr>
            </w:pPr>
            <w:r w:rsidRPr="008025D7">
              <w:rPr>
                <w:rFonts w:ascii="Arial" w:eastAsia="Times New Roman" w:hAnsi="Arial" w:cs="Arial"/>
                <w:bCs/>
                <w:color w:val="000000"/>
                <w:sz w:val="18"/>
                <w:szCs w:val="18"/>
                <w:lang w:val="en-US"/>
              </w:rPr>
              <w:t>95,997</w:t>
            </w:r>
          </w:p>
        </w:tc>
      </w:tr>
      <w:tr w:rsidR="00B50A20" w:rsidRPr="00B50A20" w:rsidTr="008025D7">
        <w:trPr>
          <w:trHeight w:val="300"/>
          <w:jc w:val="center"/>
        </w:trPr>
        <w:tc>
          <w:tcPr>
            <w:tcW w:w="292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rPr>
              <w:t>Ποσοστό κάλυψης με προβλέψεις</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35.83%</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38.81%</w:t>
            </w:r>
          </w:p>
        </w:tc>
        <w:tc>
          <w:tcPr>
            <w:tcW w:w="128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39.79%</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42.50%</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50.00%</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55.00%</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70.00%</w:t>
            </w:r>
          </w:p>
        </w:tc>
      </w:tr>
      <w:tr w:rsidR="00B50A20" w:rsidRPr="00B50A20" w:rsidTr="008025D7">
        <w:trPr>
          <w:trHeight w:val="288"/>
          <w:jc w:val="center"/>
        </w:trPr>
        <w:tc>
          <w:tcPr>
            <w:tcW w:w="2920" w:type="dxa"/>
            <w:vMerge w:val="restart"/>
            <w:shd w:val="clear" w:color="auto" w:fill="auto"/>
            <w:vAlign w:val="center"/>
            <w:hideMark/>
          </w:tcPr>
          <w:p w:rsidR="00B50A20" w:rsidRPr="008025D7" w:rsidRDefault="00B50A20" w:rsidP="00B50A20">
            <w:pPr>
              <w:spacing w:after="0" w:line="240" w:lineRule="auto"/>
              <w:rPr>
                <w:rFonts w:ascii="Arial" w:eastAsia="Times New Roman" w:hAnsi="Arial" w:cs="Arial"/>
                <w:b/>
                <w:bCs/>
                <w:color w:val="000000"/>
                <w:sz w:val="18"/>
                <w:szCs w:val="18"/>
              </w:rPr>
            </w:pPr>
            <w:r w:rsidRPr="00B50A20">
              <w:rPr>
                <w:rFonts w:ascii="Arial" w:eastAsia="Times New Roman" w:hAnsi="Arial" w:cs="Arial"/>
                <w:b/>
                <w:bCs/>
                <w:color w:val="000000"/>
                <w:sz w:val="18"/>
                <w:szCs w:val="18"/>
              </w:rPr>
              <w:t>Συνολικές προβλέψεις για κάλυψη πιστωτικού κινδύνου σύμφωνα με ΔΠΧΑ 9</w:t>
            </w:r>
          </w:p>
        </w:tc>
        <w:tc>
          <w:tcPr>
            <w:tcW w:w="960" w:type="dxa"/>
            <w:vMerge w:val="restart"/>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106,342</w:t>
            </w:r>
          </w:p>
        </w:tc>
        <w:tc>
          <w:tcPr>
            <w:tcW w:w="960" w:type="dxa"/>
            <w:vMerge w:val="restart"/>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113,667</w:t>
            </w:r>
          </w:p>
        </w:tc>
        <w:tc>
          <w:tcPr>
            <w:tcW w:w="1280" w:type="dxa"/>
            <w:vMerge w:val="restart"/>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114,598</w:t>
            </w:r>
          </w:p>
        </w:tc>
        <w:tc>
          <w:tcPr>
            <w:tcW w:w="960" w:type="dxa"/>
            <w:vMerge w:val="restart"/>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121,288</w:t>
            </w:r>
          </w:p>
        </w:tc>
        <w:tc>
          <w:tcPr>
            <w:tcW w:w="960" w:type="dxa"/>
            <w:vMerge w:val="restart"/>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120,185</w:t>
            </w:r>
          </w:p>
        </w:tc>
        <w:tc>
          <w:tcPr>
            <w:tcW w:w="960" w:type="dxa"/>
            <w:vMerge w:val="restart"/>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115,302</w:t>
            </w:r>
          </w:p>
        </w:tc>
        <w:tc>
          <w:tcPr>
            <w:tcW w:w="960" w:type="dxa"/>
            <w:vMerge w:val="restart"/>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b/>
                <w:bCs/>
                <w:color w:val="000000"/>
                <w:sz w:val="18"/>
                <w:szCs w:val="18"/>
                <w:lang w:val="en-US"/>
              </w:rPr>
            </w:pPr>
            <w:r w:rsidRPr="00B50A20">
              <w:rPr>
                <w:rFonts w:ascii="Arial" w:eastAsia="Times New Roman" w:hAnsi="Arial" w:cs="Arial"/>
                <w:b/>
                <w:bCs/>
                <w:color w:val="000000"/>
                <w:sz w:val="18"/>
                <w:szCs w:val="18"/>
                <w:lang w:val="en-US"/>
              </w:rPr>
              <w:t>113,796</w:t>
            </w:r>
          </w:p>
        </w:tc>
      </w:tr>
      <w:tr w:rsidR="00B50A20" w:rsidRPr="00B50A20" w:rsidTr="008025D7">
        <w:trPr>
          <w:trHeight w:val="288"/>
          <w:jc w:val="center"/>
        </w:trPr>
        <w:tc>
          <w:tcPr>
            <w:tcW w:w="292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128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r>
      <w:tr w:rsidR="00B50A20" w:rsidRPr="00B50A20" w:rsidTr="008025D7">
        <w:trPr>
          <w:trHeight w:val="288"/>
          <w:jc w:val="center"/>
        </w:trPr>
        <w:tc>
          <w:tcPr>
            <w:tcW w:w="292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128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r>
      <w:tr w:rsidR="00B50A20" w:rsidRPr="00B50A20" w:rsidTr="008025D7">
        <w:trPr>
          <w:trHeight w:val="300"/>
          <w:jc w:val="center"/>
        </w:trPr>
        <w:tc>
          <w:tcPr>
            <w:tcW w:w="292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128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c>
          <w:tcPr>
            <w:tcW w:w="960" w:type="dxa"/>
            <w:vMerge/>
            <w:vAlign w:val="center"/>
            <w:hideMark/>
          </w:tcPr>
          <w:p w:rsidR="00B50A20" w:rsidRPr="00B50A20" w:rsidRDefault="00B50A20" w:rsidP="00B50A20">
            <w:pPr>
              <w:spacing w:after="0" w:line="240" w:lineRule="auto"/>
              <w:rPr>
                <w:rFonts w:ascii="Arial" w:eastAsia="Times New Roman" w:hAnsi="Arial" w:cs="Arial"/>
                <w:b/>
                <w:bCs/>
                <w:color w:val="000000"/>
                <w:sz w:val="18"/>
                <w:szCs w:val="18"/>
                <w:lang w:val="en-US"/>
              </w:rPr>
            </w:pPr>
          </w:p>
        </w:tc>
      </w:tr>
      <w:tr w:rsidR="00B50A20" w:rsidRPr="00B50A20" w:rsidTr="008025D7">
        <w:trPr>
          <w:trHeight w:val="300"/>
          <w:jc w:val="center"/>
        </w:trPr>
        <w:tc>
          <w:tcPr>
            <w:tcW w:w="2920" w:type="dxa"/>
            <w:shd w:val="clear" w:color="auto" w:fill="auto"/>
            <w:noWrap/>
            <w:vAlign w:val="bottom"/>
            <w:hideMark/>
          </w:tcPr>
          <w:p w:rsidR="00B50A20" w:rsidRPr="008025D7" w:rsidRDefault="00B50A20" w:rsidP="00B50A20">
            <w:pPr>
              <w:spacing w:after="0" w:line="240" w:lineRule="auto"/>
              <w:rPr>
                <w:rFonts w:ascii="Arial" w:eastAsia="Times New Roman" w:hAnsi="Arial" w:cs="Arial"/>
                <w:color w:val="000000"/>
                <w:sz w:val="18"/>
                <w:szCs w:val="18"/>
              </w:rPr>
            </w:pPr>
            <w:r w:rsidRPr="008025D7">
              <w:rPr>
                <w:rFonts w:ascii="Arial" w:eastAsia="Times New Roman" w:hAnsi="Arial" w:cs="Arial"/>
                <w:color w:val="000000"/>
                <w:sz w:val="18"/>
                <w:szCs w:val="18"/>
                <w:lang w:val="en-US"/>
              </w:rPr>
              <w:t> </w:t>
            </w:r>
            <w:r w:rsidRPr="008025D7">
              <w:rPr>
                <w:rFonts w:ascii="Arial" w:eastAsia="Times New Roman" w:hAnsi="Arial" w:cs="Arial"/>
                <w:color w:val="000000"/>
                <w:sz w:val="18"/>
                <w:szCs w:val="18"/>
              </w:rPr>
              <w:t>Αναστροφή προβλέψεων (</w:t>
            </w:r>
            <w:r w:rsidRPr="001D6A2A">
              <w:rPr>
                <w:rFonts w:ascii="Arial" w:hAnsi="Arial" w:cs="Arial"/>
                <w:i/>
                <w:sz w:val="18"/>
                <w:szCs w:val="18"/>
              </w:rPr>
              <w:t>εξαιρείται η αναστροφή προβλέψεων λόγω της εφαρμογής του Σχεδίου</w:t>
            </w:r>
            <w:r w:rsidRPr="008025D7">
              <w:rPr>
                <w:rFonts w:ascii="Arial" w:hAnsi="Arial" w:cs="Arial"/>
                <w:i/>
                <w:sz w:val="18"/>
                <w:szCs w:val="18"/>
              </w:rPr>
              <w:t xml:space="preserve"> ΜΕΔ ΙΙ)</w:t>
            </w:r>
          </w:p>
          <w:p w:rsidR="00B50A20" w:rsidRPr="008025D7" w:rsidRDefault="00B50A20" w:rsidP="00B50A20">
            <w:pPr>
              <w:spacing w:after="0" w:line="240" w:lineRule="auto"/>
              <w:rPr>
                <w:rFonts w:ascii="Arial" w:eastAsia="Times New Roman" w:hAnsi="Arial" w:cs="Arial"/>
                <w:color w:val="000000"/>
              </w:rPr>
            </w:pPr>
          </w:p>
        </w:tc>
        <w:tc>
          <w:tcPr>
            <w:tcW w:w="960" w:type="dxa"/>
            <w:shd w:val="clear" w:color="auto" w:fill="auto"/>
            <w:noWrap/>
            <w:vAlign w:val="bottom"/>
            <w:hideMark/>
          </w:tcPr>
          <w:p w:rsidR="00B50A20" w:rsidRPr="008025D7" w:rsidRDefault="00B50A20" w:rsidP="00B50A20">
            <w:pPr>
              <w:spacing w:after="0" w:line="240" w:lineRule="auto"/>
              <w:rPr>
                <w:rFonts w:ascii="Arial" w:eastAsia="Times New Roman" w:hAnsi="Arial" w:cs="Arial"/>
                <w:color w:val="000000"/>
              </w:rPr>
            </w:pPr>
            <w:r w:rsidRPr="008025D7">
              <w:rPr>
                <w:rFonts w:ascii="Arial" w:eastAsia="Times New Roman" w:hAnsi="Arial" w:cs="Arial"/>
                <w:color w:val="000000"/>
                <w:lang w:val="en-US"/>
              </w:rPr>
              <w:t> </w:t>
            </w:r>
          </w:p>
        </w:tc>
        <w:tc>
          <w:tcPr>
            <w:tcW w:w="960" w:type="dxa"/>
            <w:shd w:val="clear" w:color="auto" w:fill="auto"/>
            <w:noWrap/>
            <w:vAlign w:val="bottom"/>
            <w:hideMark/>
          </w:tcPr>
          <w:p w:rsidR="00B50A20" w:rsidRPr="008025D7" w:rsidRDefault="00B50A20" w:rsidP="00B50A20">
            <w:pPr>
              <w:spacing w:after="0" w:line="240" w:lineRule="auto"/>
              <w:rPr>
                <w:rFonts w:ascii="Arial" w:eastAsia="Times New Roman" w:hAnsi="Arial" w:cs="Arial"/>
                <w:color w:val="000000"/>
              </w:rPr>
            </w:pPr>
            <w:r w:rsidRPr="008025D7">
              <w:rPr>
                <w:rFonts w:ascii="Arial" w:eastAsia="Times New Roman" w:hAnsi="Arial" w:cs="Arial"/>
                <w:color w:val="000000"/>
                <w:lang w:val="en-US"/>
              </w:rPr>
              <w:t> </w:t>
            </w:r>
          </w:p>
        </w:tc>
        <w:tc>
          <w:tcPr>
            <w:tcW w:w="128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i/>
                <w:iCs/>
                <w:color w:val="000000"/>
                <w:sz w:val="18"/>
                <w:szCs w:val="18"/>
              </w:rPr>
            </w:pPr>
          </w:p>
        </w:tc>
        <w:tc>
          <w:tcPr>
            <w:tcW w:w="960" w:type="dxa"/>
            <w:shd w:val="clear" w:color="auto" w:fill="auto"/>
            <w:noWrap/>
            <w:vAlign w:val="center"/>
            <w:hideMark/>
          </w:tcPr>
          <w:p w:rsidR="00B50A20" w:rsidRPr="008025D7" w:rsidRDefault="00B50A20" w:rsidP="00B50A20">
            <w:pPr>
              <w:spacing w:after="0" w:line="240" w:lineRule="auto"/>
              <w:jc w:val="right"/>
              <w:rPr>
                <w:rFonts w:ascii="Arial" w:eastAsia="Times New Roman" w:hAnsi="Arial" w:cs="Arial"/>
                <w:i/>
                <w:iCs/>
                <w:color w:val="000000"/>
                <w:sz w:val="18"/>
                <w:szCs w:val="18"/>
              </w:rPr>
            </w:pP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-1,104</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-4,882</w:t>
            </w:r>
          </w:p>
        </w:tc>
        <w:tc>
          <w:tcPr>
            <w:tcW w:w="960" w:type="dxa"/>
            <w:shd w:val="clear" w:color="auto" w:fill="auto"/>
            <w:noWrap/>
            <w:vAlign w:val="center"/>
            <w:hideMark/>
          </w:tcPr>
          <w:p w:rsidR="00B50A20" w:rsidRPr="00B50A20" w:rsidRDefault="00B50A20" w:rsidP="00B50A20">
            <w:pPr>
              <w:spacing w:after="0" w:line="240" w:lineRule="auto"/>
              <w:jc w:val="right"/>
              <w:rPr>
                <w:rFonts w:ascii="Arial" w:eastAsia="Times New Roman" w:hAnsi="Arial" w:cs="Arial"/>
                <w:i/>
                <w:iCs/>
                <w:color w:val="000000"/>
                <w:sz w:val="18"/>
                <w:szCs w:val="18"/>
                <w:lang w:val="en-US"/>
              </w:rPr>
            </w:pPr>
            <w:r w:rsidRPr="00B50A20">
              <w:rPr>
                <w:rFonts w:ascii="Arial" w:eastAsia="Times New Roman" w:hAnsi="Arial" w:cs="Arial"/>
                <w:i/>
                <w:iCs/>
                <w:color w:val="000000"/>
                <w:sz w:val="18"/>
                <w:szCs w:val="18"/>
                <w:lang w:val="en-US"/>
              </w:rPr>
              <w:t>-1,507</w:t>
            </w:r>
          </w:p>
        </w:tc>
      </w:tr>
    </w:tbl>
    <w:p w:rsidR="00B50A20" w:rsidRPr="00EF74BC" w:rsidRDefault="00B50A20" w:rsidP="00B50A20">
      <w:pPr>
        <w:suppressAutoHyphens/>
        <w:autoSpaceDN w:val="0"/>
        <w:spacing w:before="10" w:after="100" w:afterAutospacing="1"/>
        <w:jc w:val="both"/>
        <w:rPr>
          <w:rFonts w:ascii="Arial" w:hAnsi="Arial" w:cs="Arial"/>
          <w:b/>
          <w:sz w:val="20"/>
          <w:szCs w:val="20"/>
          <w:u w:val="single"/>
        </w:rPr>
      </w:pPr>
    </w:p>
    <w:p w:rsidR="00244EEC" w:rsidRDefault="00244EEC" w:rsidP="00E309E7">
      <w:pPr>
        <w:suppressAutoHyphens/>
        <w:autoSpaceDN w:val="0"/>
        <w:spacing w:before="10" w:after="100" w:afterAutospacing="1"/>
        <w:jc w:val="both"/>
        <w:rPr>
          <w:rFonts w:ascii="Arial" w:hAnsi="Arial" w:cs="Arial"/>
          <w:sz w:val="20"/>
          <w:szCs w:val="20"/>
        </w:rPr>
      </w:pPr>
      <w:r w:rsidRPr="004E655E">
        <w:rPr>
          <w:rFonts w:ascii="Arial" w:hAnsi="Arial" w:cs="Arial"/>
          <w:sz w:val="20"/>
          <w:szCs w:val="20"/>
        </w:rPr>
        <w:t xml:space="preserve">Αξίζει να σημειωθεί, ότι με τη σωστή διαχείριση των ΜΕΔ </w:t>
      </w:r>
      <w:r w:rsidRPr="00B603E5">
        <w:rPr>
          <w:rFonts w:ascii="Arial" w:hAnsi="Arial" w:cs="Arial"/>
          <w:sz w:val="20"/>
          <w:szCs w:val="20"/>
        </w:rPr>
        <w:t>(βάσει ΕΑΤ)</w:t>
      </w:r>
      <w:r w:rsidRPr="008505F9">
        <w:rPr>
          <w:rFonts w:ascii="Arial" w:hAnsi="Arial" w:cs="Arial"/>
          <w:sz w:val="20"/>
          <w:szCs w:val="20"/>
        </w:rPr>
        <w:t xml:space="preserve"> </w:t>
      </w:r>
      <w:r w:rsidRPr="004E655E">
        <w:rPr>
          <w:rFonts w:ascii="Arial" w:hAnsi="Arial" w:cs="Arial"/>
          <w:sz w:val="20"/>
          <w:szCs w:val="20"/>
        </w:rPr>
        <w:t xml:space="preserve">θα απελευθερωθούν </w:t>
      </w:r>
      <w:r>
        <w:rPr>
          <w:rFonts w:ascii="Arial" w:hAnsi="Arial" w:cs="Arial"/>
          <w:sz w:val="20"/>
          <w:szCs w:val="20"/>
        </w:rPr>
        <w:t xml:space="preserve">εποπτικά </w:t>
      </w:r>
      <w:r w:rsidRPr="004E655E">
        <w:rPr>
          <w:rFonts w:ascii="Arial" w:hAnsi="Arial" w:cs="Arial"/>
          <w:sz w:val="20"/>
          <w:szCs w:val="20"/>
        </w:rPr>
        <w:t>κεφάλαια</w:t>
      </w:r>
      <w:r>
        <w:rPr>
          <w:rFonts w:ascii="Arial" w:hAnsi="Arial" w:cs="Arial"/>
          <w:sz w:val="20"/>
          <w:szCs w:val="20"/>
        </w:rPr>
        <w:t xml:space="preserve"> </w:t>
      </w:r>
      <w:r w:rsidRPr="004E655E">
        <w:rPr>
          <w:rFonts w:ascii="Arial" w:hAnsi="Arial" w:cs="Arial"/>
          <w:sz w:val="20"/>
          <w:szCs w:val="20"/>
        </w:rPr>
        <w:t xml:space="preserve">του Οργανισμού. </w:t>
      </w:r>
    </w:p>
    <w:p w:rsidR="00A278AB" w:rsidRDefault="00A278AB" w:rsidP="008025D7">
      <w:pPr>
        <w:suppressAutoHyphens/>
        <w:autoSpaceDN w:val="0"/>
        <w:spacing w:before="10" w:after="100" w:afterAutospacing="1"/>
        <w:jc w:val="both"/>
        <w:rPr>
          <w:rFonts w:ascii="Arial" w:hAnsi="Arial" w:cs="Arial"/>
          <w:sz w:val="20"/>
          <w:szCs w:val="20"/>
        </w:rPr>
      </w:pPr>
    </w:p>
    <w:p w:rsidR="00A278AB" w:rsidRDefault="00A278AB" w:rsidP="008025D7">
      <w:pPr>
        <w:suppressAutoHyphens/>
        <w:autoSpaceDN w:val="0"/>
        <w:spacing w:before="10" w:after="100" w:afterAutospacing="1"/>
        <w:jc w:val="both"/>
        <w:rPr>
          <w:rFonts w:ascii="Arial" w:hAnsi="Arial" w:cs="Arial"/>
          <w:sz w:val="20"/>
          <w:szCs w:val="20"/>
        </w:rPr>
      </w:pPr>
    </w:p>
    <w:p w:rsidR="00A278AB" w:rsidRDefault="00A278AB" w:rsidP="008025D7">
      <w:pPr>
        <w:suppressAutoHyphens/>
        <w:autoSpaceDN w:val="0"/>
        <w:spacing w:before="10" w:after="100" w:afterAutospacing="1"/>
        <w:jc w:val="both"/>
        <w:rPr>
          <w:rFonts w:ascii="Arial" w:hAnsi="Arial" w:cs="Arial"/>
          <w:sz w:val="20"/>
          <w:szCs w:val="20"/>
        </w:rPr>
      </w:pPr>
    </w:p>
    <w:p w:rsidR="00A278AB" w:rsidRDefault="00A278AB" w:rsidP="008025D7">
      <w:pPr>
        <w:suppressAutoHyphens/>
        <w:autoSpaceDN w:val="0"/>
        <w:spacing w:before="10" w:after="100" w:afterAutospacing="1"/>
        <w:jc w:val="both"/>
        <w:rPr>
          <w:rFonts w:ascii="Arial" w:hAnsi="Arial" w:cs="Arial"/>
          <w:sz w:val="20"/>
          <w:szCs w:val="20"/>
        </w:rPr>
      </w:pPr>
    </w:p>
    <w:p w:rsidR="00A278AB" w:rsidRPr="00F80864" w:rsidRDefault="00A278AB" w:rsidP="008025D7">
      <w:pPr>
        <w:suppressAutoHyphens/>
        <w:autoSpaceDN w:val="0"/>
        <w:spacing w:before="10" w:after="100" w:afterAutospacing="1"/>
        <w:jc w:val="both"/>
        <w:rPr>
          <w:rFonts w:ascii="Arial" w:hAnsi="Arial" w:cs="Arial"/>
          <w:sz w:val="20"/>
          <w:szCs w:val="20"/>
        </w:rPr>
      </w:pPr>
    </w:p>
    <w:p w:rsidR="00D90942" w:rsidRPr="00936F0C" w:rsidRDefault="00D90942" w:rsidP="00EA252A">
      <w:pPr>
        <w:jc w:val="both"/>
        <w:rPr>
          <w:rFonts w:ascii="Arial" w:hAnsi="Arial" w:cs="Arial"/>
          <w:b/>
          <w:smallCaps/>
          <w:szCs w:val="20"/>
        </w:rPr>
      </w:pPr>
      <w:r w:rsidRPr="00D90942">
        <w:rPr>
          <w:rFonts w:ascii="Arial" w:hAnsi="Arial" w:cs="Arial"/>
          <w:b/>
          <w:smallCaps/>
          <w:szCs w:val="20"/>
        </w:rPr>
        <w:lastRenderedPageBreak/>
        <w:t xml:space="preserve">Έσοδα προϋπολογισμού </w:t>
      </w:r>
      <w:r w:rsidR="00CA4370">
        <w:rPr>
          <w:rFonts w:ascii="Arial" w:hAnsi="Arial" w:cs="Arial"/>
          <w:b/>
          <w:smallCaps/>
          <w:szCs w:val="20"/>
        </w:rPr>
        <w:t xml:space="preserve">έτους </w:t>
      </w:r>
      <w:r w:rsidRPr="00D90942">
        <w:rPr>
          <w:rFonts w:ascii="Arial" w:hAnsi="Arial" w:cs="Arial"/>
          <w:b/>
          <w:smallCaps/>
          <w:szCs w:val="20"/>
        </w:rPr>
        <w:t>20</w:t>
      </w:r>
      <w:r w:rsidR="00936F0C" w:rsidRPr="00936F0C">
        <w:rPr>
          <w:rFonts w:ascii="Arial" w:hAnsi="Arial" w:cs="Arial"/>
          <w:b/>
          <w:smallCaps/>
          <w:szCs w:val="20"/>
        </w:rPr>
        <w:t>2</w:t>
      </w:r>
      <w:r w:rsidR="002509A1" w:rsidRPr="00880E70">
        <w:rPr>
          <w:rFonts w:ascii="Arial" w:hAnsi="Arial" w:cs="Arial"/>
          <w:b/>
          <w:smallCaps/>
          <w:szCs w:val="20"/>
        </w:rPr>
        <w:t>2</w:t>
      </w:r>
    </w:p>
    <w:p w:rsidR="000C1198" w:rsidRPr="006B6892" w:rsidRDefault="000C1198" w:rsidP="000915DB">
      <w:pPr>
        <w:jc w:val="both"/>
        <w:rPr>
          <w:rFonts w:ascii="Arial" w:hAnsi="Arial" w:cs="Arial"/>
          <w:b/>
          <w:sz w:val="20"/>
          <w:szCs w:val="20"/>
          <w:u w:val="single"/>
        </w:rPr>
      </w:pPr>
      <w:r w:rsidRPr="00CE6659">
        <w:rPr>
          <w:rFonts w:ascii="Arial" w:hAnsi="Arial" w:cs="Arial"/>
          <w:b/>
          <w:sz w:val="20"/>
          <w:szCs w:val="20"/>
          <w:u w:val="single"/>
        </w:rPr>
        <w:t>Άρθρο 06011 «Έσοδα από τόκους-Δάνεια και χορηγήσεις»</w:t>
      </w:r>
      <w:r w:rsidR="002A3EAF" w:rsidRPr="00CE6659">
        <w:rPr>
          <w:rFonts w:ascii="Arial" w:hAnsi="Arial" w:cs="Arial"/>
          <w:b/>
          <w:sz w:val="20"/>
          <w:szCs w:val="20"/>
          <w:u w:val="single"/>
        </w:rPr>
        <w:tab/>
      </w:r>
      <w:r w:rsidRPr="00CE6659">
        <w:rPr>
          <w:rFonts w:ascii="Arial" w:hAnsi="Arial" w:cs="Arial"/>
          <w:b/>
          <w:sz w:val="20"/>
          <w:szCs w:val="20"/>
          <w:u w:val="single"/>
        </w:rPr>
        <w:t>€</w:t>
      </w:r>
      <w:r w:rsidR="002509A1" w:rsidRPr="00880E70">
        <w:rPr>
          <w:rFonts w:ascii="Arial" w:hAnsi="Arial" w:cs="Arial"/>
          <w:b/>
          <w:sz w:val="20"/>
          <w:szCs w:val="20"/>
          <w:u w:val="single"/>
        </w:rPr>
        <w:t>10.431.864</w:t>
      </w:r>
    </w:p>
    <w:p w:rsidR="003A304E" w:rsidRPr="003A304E" w:rsidRDefault="000C1198" w:rsidP="00E309E7">
      <w:pPr>
        <w:suppressAutoHyphens/>
        <w:autoSpaceDN w:val="0"/>
        <w:spacing w:before="10" w:after="100" w:afterAutospacing="1"/>
        <w:jc w:val="both"/>
        <w:rPr>
          <w:rFonts w:ascii="Arial" w:hAnsi="Arial" w:cs="Arial"/>
          <w:sz w:val="20"/>
          <w:szCs w:val="20"/>
        </w:rPr>
      </w:pPr>
      <w:r w:rsidRPr="00C27A72">
        <w:rPr>
          <w:rFonts w:ascii="Arial" w:hAnsi="Arial" w:cs="Arial"/>
          <w:sz w:val="20"/>
          <w:szCs w:val="20"/>
        </w:rPr>
        <w:t xml:space="preserve">Τα έσοδα από τόκους καθορίζονται </w:t>
      </w:r>
      <w:r w:rsidR="00E90570" w:rsidRPr="00C27A72">
        <w:rPr>
          <w:rFonts w:ascii="Arial" w:hAnsi="Arial" w:cs="Arial"/>
          <w:sz w:val="20"/>
          <w:szCs w:val="20"/>
        </w:rPr>
        <w:t xml:space="preserve">με βάση το </w:t>
      </w:r>
      <w:r w:rsidR="00C72A6F">
        <w:rPr>
          <w:rFonts w:ascii="Arial" w:hAnsi="Arial" w:cs="Arial"/>
          <w:sz w:val="20"/>
          <w:szCs w:val="20"/>
        </w:rPr>
        <w:t xml:space="preserve">προβλεπόμενο υπόλοιπο </w:t>
      </w:r>
      <w:r w:rsidRPr="00C27A72">
        <w:rPr>
          <w:rFonts w:ascii="Arial" w:hAnsi="Arial" w:cs="Arial"/>
          <w:sz w:val="20"/>
          <w:szCs w:val="20"/>
        </w:rPr>
        <w:t>των Δανείων και Χορηγήσεων που αναμένεται ν</w:t>
      </w:r>
      <w:r w:rsidR="000D4294">
        <w:rPr>
          <w:rFonts w:ascii="Arial" w:hAnsi="Arial" w:cs="Arial"/>
          <w:sz w:val="20"/>
          <w:szCs w:val="20"/>
        </w:rPr>
        <w:t xml:space="preserve">α διαμορφωθεί στο τέλος </w:t>
      </w:r>
      <w:r w:rsidR="00C72A6F">
        <w:rPr>
          <w:rFonts w:ascii="Arial" w:hAnsi="Arial" w:cs="Arial"/>
          <w:sz w:val="20"/>
          <w:szCs w:val="20"/>
        </w:rPr>
        <w:t>κάθε προ</w:t>
      </w:r>
      <w:r w:rsidR="002509A1">
        <w:rPr>
          <w:rFonts w:ascii="Arial" w:hAnsi="Arial" w:cs="Arial"/>
          <w:sz w:val="20"/>
          <w:szCs w:val="20"/>
        </w:rPr>
        <w:t>ϋ</w:t>
      </w:r>
      <w:r w:rsidR="00C72A6F">
        <w:rPr>
          <w:rFonts w:ascii="Arial" w:hAnsi="Arial" w:cs="Arial"/>
          <w:sz w:val="20"/>
          <w:szCs w:val="20"/>
        </w:rPr>
        <w:t>πολογιζόμενου έτους</w:t>
      </w:r>
      <w:r w:rsidR="00E90570" w:rsidRPr="00C27A72">
        <w:rPr>
          <w:rFonts w:ascii="Arial" w:hAnsi="Arial" w:cs="Arial"/>
          <w:sz w:val="20"/>
          <w:szCs w:val="20"/>
        </w:rPr>
        <w:t xml:space="preserve"> </w:t>
      </w:r>
      <w:r w:rsidR="00C72A6F">
        <w:rPr>
          <w:rFonts w:ascii="Arial" w:hAnsi="Arial" w:cs="Arial"/>
          <w:sz w:val="20"/>
          <w:szCs w:val="20"/>
        </w:rPr>
        <w:t>και το μέσο επιτόκιο του δανειακού χαρτοφυλακίου ανά έτος.</w:t>
      </w:r>
      <w:r w:rsidR="000832A2" w:rsidRPr="00E309E7">
        <w:rPr>
          <w:rFonts w:ascii="Arial" w:hAnsi="Arial" w:cs="Arial"/>
          <w:sz w:val="20"/>
          <w:szCs w:val="20"/>
        </w:rPr>
        <w:t xml:space="preserve"> Το</w:t>
      </w:r>
      <w:r w:rsidR="00342288" w:rsidRPr="00E309E7">
        <w:rPr>
          <w:rFonts w:ascii="Arial" w:hAnsi="Arial" w:cs="Arial"/>
          <w:sz w:val="20"/>
          <w:szCs w:val="20"/>
        </w:rPr>
        <w:t xml:space="preserve"> υπόλοιπο των δανείων για κάθε έτος (202</w:t>
      </w:r>
      <w:r w:rsidR="002509A1">
        <w:rPr>
          <w:rFonts w:ascii="Arial" w:hAnsi="Arial" w:cs="Arial"/>
          <w:sz w:val="20"/>
          <w:szCs w:val="20"/>
        </w:rPr>
        <w:t>2</w:t>
      </w:r>
      <w:r w:rsidR="00342288" w:rsidRPr="00E309E7">
        <w:rPr>
          <w:rFonts w:ascii="Arial" w:hAnsi="Arial" w:cs="Arial"/>
          <w:sz w:val="20"/>
          <w:szCs w:val="20"/>
        </w:rPr>
        <w:t>-202</w:t>
      </w:r>
      <w:r w:rsidR="002509A1">
        <w:rPr>
          <w:rFonts w:ascii="Arial" w:hAnsi="Arial" w:cs="Arial"/>
          <w:sz w:val="20"/>
          <w:szCs w:val="20"/>
        </w:rPr>
        <w:t>4</w:t>
      </w:r>
      <w:r w:rsidR="00342288" w:rsidRPr="00E309E7">
        <w:rPr>
          <w:rFonts w:ascii="Arial" w:hAnsi="Arial" w:cs="Arial"/>
          <w:sz w:val="20"/>
          <w:szCs w:val="20"/>
        </w:rPr>
        <w:t xml:space="preserve">) έχει υπολογιστεί με την υπόθεση ότι οι αποπληρωμές των δανείων αντικατοπτρίζονται από </w:t>
      </w:r>
      <w:r w:rsidR="00D7572A">
        <w:rPr>
          <w:rFonts w:ascii="Arial" w:hAnsi="Arial" w:cs="Arial"/>
          <w:sz w:val="20"/>
          <w:szCs w:val="20"/>
        </w:rPr>
        <w:t>τις ετησιοποιημένες</w:t>
      </w:r>
      <w:r w:rsidR="00342288" w:rsidRPr="00E309E7">
        <w:rPr>
          <w:rFonts w:ascii="Arial" w:hAnsi="Arial" w:cs="Arial"/>
          <w:sz w:val="20"/>
          <w:szCs w:val="20"/>
        </w:rPr>
        <w:t xml:space="preserve"> πραγματικές αποπληρωμές του </w:t>
      </w:r>
      <w:r w:rsidR="00D7572A">
        <w:rPr>
          <w:rFonts w:ascii="Arial" w:hAnsi="Arial" w:cs="Arial"/>
          <w:sz w:val="20"/>
          <w:szCs w:val="20"/>
        </w:rPr>
        <w:t>πρώτου εξαμήνου 2021</w:t>
      </w:r>
      <w:r w:rsidR="00342288" w:rsidRPr="00E309E7">
        <w:rPr>
          <w:rFonts w:ascii="Arial" w:hAnsi="Arial" w:cs="Arial"/>
          <w:sz w:val="20"/>
          <w:szCs w:val="20"/>
        </w:rPr>
        <w:t xml:space="preserve"> </w:t>
      </w:r>
      <w:r w:rsidR="00342288" w:rsidRPr="00B603E5">
        <w:rPr>
          <w:rFonts w:ascii="Arial" w:hAnsi="Arial" w:cs="Arial"/>
          <w:sz w:val="20"/>
          <w:szCs w:val="20"/>
        </w:rPr>
        <w:t>και ότι θα συνεχίσουν με τον ίδιο ρυθμό για τα επόμενα χρόνια.</w:t>
      </w:r>
      <w:r w:rsidR="00342288" w:rsidRPr="00E309E7">
        <w:rPr>
          <w:rFonts w:ascii="Arial" w:hAnsi="Arial" w:cs="Arial"/>
          <w:sz w:val="20"/>
          <w:szCs w:val="20"/>
        </w:rPr>
        <w:t xml:space="preserve"> Επιπρόσθετα έχει συνυπολογιστεί </w:t>
      </w:r>
      <w:r w:rsidR="00342288">
        <w:rPr>
          <w:rFonts w:ascii="Arial" w:hAnsi="Arial" w:cs="Arial"/>
          <w:sz w:val="20"/>
          <w:szCs w:val="20"/>
        </w:rPr>
        <w:t xml:space="preserve">η επίδραση της </w:t>
      </w:r>
      <w:r w:rsidRPr="00C27A72">
        <w:rPr>
          <w:rFonts w:ascii="Arial" w:hAnsi="Arial" w:cs="Arial"/>
          <w:sz w:val="20"/>
          <w:szCs w:val="20"/>
        </w:rPr>
        <w:t>κεφαλαιοποίηση</w:t>
      </w:r>
      <w:r w:rsidR="00342288">
        <w:rPr>
          <w:rFonts w:ascii="Arial" w:hAnsi="Arial" w:cs="Arial"/>
          <w:sz w:val="20"/>
          <w:szCs w:val="20"/>
        </w:rPr>
        <w:t xml:space="preserve">ς </w:t>
      </w:r>
      <w:r w:rsidRPr="00C27A72">
        <w:rPr>
          <w:rFonts w:ascii="Arial" w:hAnsi="Arial" w:cs="Arial"/>
          <w:sz w:val="20"/>
          <w:szCs w:val="20"/>
        </w:rPr>
        <w:t>των τόκων, τις αναμενόμενες εκδόσεις νέων δανείων</w:t>
      </w:r>
      <w:r w:rsidR="000D2C8A">
        <w:rPr>
          <w:rFonts w:ascii="Arial" w:hAnsi="Arial" w:cs="Arial"/>
          <w:sz w:val="20"/>
          <w:szCs w:val="20"/>
        </w:rPr>
        <w:t>, η</w:t>
      </w:r>
      <w:r w:rsidRPr="00C27A72">
        <w:rPr>
          <w:rFonts w:ascii="Arial" w:hAnsi="Arial" w:cs="Arial"/>
          <w:sz w:val="20"/>
          <w:szCs w:val="20"/>
        </w:rPr>
        <w:t xml:space="preserve"> τροποποίηση της νομοθεσίας του Οργανισμού για διεύρυνση των εργασιών του</w:t>
      </w:r>
      <w:r w:rsidR="000D2C8A">
        <w:rPr>
          <w:rFonts w:ascii="Arial" w:hAnsi="Arial" w:cs="Arial"/>
          <w:sz w:val="20"/>
          <w:szCs w:val="20"/>
        </w:rPr>
        <w:t xml:space="preserve"> και την κάλυψη πρό</w:t>
      </w:r>
      <w:r w:rsidR="002E21CE">
        <w:rPr>
          <w:rFonts w:ascii="Arial" w:hAnsi="Arial" w:cs="Arial"/>
          <w:sz w:val="20"/>
          <w:szCs w:val="20"/>
        </w:rPr>
        <w:t>σθετων αναγκών του νοικοκυριού καθώς επίσης και η υλοποίηση των Σχεδίων Διαχείρισης ΜΕΔ (βάσει ΕΑΤ).</w:t>
      </w:r>
      <w:r w:rsidRPr="00C27A72">
        <w:rPr>
          <w:rFonts w:ascii="Arial" w:hAnsi="Arial" w:cs="Arial"/>
          <w:sz w:val="20"/>
          <w:szCs w:val="20"/>
        </w:rPr>
        <w:t xml:space="preserve"> </w:t>
      </w:r>
      <w:r w:rsidR="00FD6C11" w:rsidRPr="00FD6C11">
        <w:rPr>
          <w:rFonts w:ascii="Arial" w:hAnsi="Arial" w:cs="Arial"/>
          <w:sz w:val="20"/>
          <w:szCs w:val="20"/>
        </w:rPr>
        <w:t>Για τον καθορισμό των συνολικών δανείων (όριο) που θα εγκριθούν για τα έτη 2022-2024 έχει ληφθεί υπόψη το ποσό των συνολικών εγκρίσεων/εκδόσεων για το πρώτο εξάμηνο του 2021. Σημειώνεται ότι για το έτος 2021 έχει προϋπολογιστεί ποσό λαμβάνοντας υπόψη τις εγκρίσεις εκδόσεις για το πρώτο εξάμηνο του 2021. Για τα έτη 2022-2024 έχει ενσωματωθεί κάποια αύξηση λαμβάνοντας υπόψη την αναμενόμενη ανάκαμψη στο οικονομικό περιβάλλον αλλά ταυτόχρονα έχει ενσωματωθεί μέσω των εκδόσεων των νέων δανείων η στρατηγική απόφαση του ΟΧΣ για διατήρηση του ύψους του χαρτοφυλακίου των δανείων του ΟΧΣ και διαχείριση των Μη εξυπηρετούμενων δανείων, με στόχο τη βελτίωση των σταθμισμένων περιουσιακών στοιχείων και αύξηση του δείκτη κεφαλαιακής επάρκειας. Οι εκδόσεις έχουν υπολογιστεί σύμφωνα με το ποσοστό των εκδόσεων σε σύγκριση με το ποσό έγκρισης για το έτος 2021</w:t>
      </w:r>
      <w:r w:rsidR="00FD6C11">
        <w:rPr>
          <w:rFonts w:ascii="Arial" w:hAnsi="Arial" w:cs="Arial"/>
          <w:sz w:val="20"/>
          <w:szCs w:val="20"/>
        </w:rPr>
        <w:t xml:space="preserve">. </w:t>
      </w:r>
      <w:r w:rsidR="003A304E" w:rsidRPr="003A304E">
        <w:rPr>
          <w:rFonts w:ascii="Arial" w:hAnsi="Arial" w:cs="Arial"/>
          <w:sz w:val="20"/>
          <w:szCs w:val="20"/>
        </w:rPr>
        <w:t xml:space="preserve"> </w:t>
      </w:r>
    </w:p>
    <w:p w:rsidR="000C1198" w:rsidRPr="00C27A72" w:rsidRDefault="000C1198" w:rsidP="00E309E7">
      <w:pPr>
        <w:suppressAutoHyphens/>
        <w:autoSpaceDN w:val="0"/>
        <w:spacing w:before="10" w:after="100" w:afterAutospacing="1"/>
        <w:jc w:val="both"/>
        <w:rPr>
          <w:rFonts w:ascii="Arial" w:hAnsi="Arial" w:cs="Arial"/>
          <w:sz w:val="20"/>
          <w:szCs w:val="20"/>
        </w:rPr>
      </w:pPr>
      <w:r w:rsidRPr="00C27A72">
        <w:rPr>
          <w:rFonts w:ascii="Arial" w:hAnsi="Arial" w:cs="Arial"/>
          <w:sz w:val="20"/>
          <w:szCs w:val="20"/>
        </w:rPr>
        <w:t xml:space="preserve">Τα έσοδα από Δάνεια και χορηγήσεις έχουν προϋπολογιστεί βάσει των πιο κάτω υποθέσεων: </w:t>
      </w:r>
    </w:p>
    <w:p w:rsidR="0036109B" w:rsidRDefault="000C1198" w:rsidP="00E309E7">
      <w:pPr>
        <w:pStyle w:val="ListParagraph"/>
        <w:numPr>
          <w:ilvl w:val="0"/>
          <w:numId w:val="17"/>
        </w:numPr>
        <w:suppressAutoHyphens/>
        <w:autoSpaceDN w:val="0"/>
        <w:spacing w:before="10" w:after="100" w:afterAutospacing="1"/>
        <w:jc w:val="both"/>
        <w:rPr>
          <w:rFonts w:ascii="Arial" w:hAnsi="Arial" w:cs="Arial"/>
          <w:sz w:val="20"/>
          <w:szCs w:val="20"/>
        </w:rPr>
      </w:pPr>
      <w:r w:rsidRPr="0036109B">
        <w:rPr>
          <w:rFonts w:ascii="Arial" w:hAnsi="Arial" w:cs="Arial"/>
          <w:sz w:val="20"/>
          <w:szCs w:val="20"/>
        </w:rPr>
        <w:t xml:space="preserve">Το στεγαστικό σχέδιο που </w:t>
      </w:r>
      <w:r w:rsidRPr="005362AF">
        <w:rPr>
          <w:rFonts w:ascii="Arial" w:hAnsi="Arial" w:cs="Arial"/>
          <w:sz w:val="20"/>
          <w:szCs w:val="20"/>
        </w:rPr>
        <w:t>προσφέρει ο Οργανισμός Χρηματοδοτήσεως Στέγης θα</w:t>
      </w:r>
      <w:r w:rsidR="000832A2" w:rsidRPr="005362AF">
        <w:rPr>
          <w:rFonts w:ascii="Arial" w:hAnsi="Arial" w:cs="Arial"/>
          <w:sz w:val="20"/>
          <w:szCs w:val="20"/>
        </w:rPr>
        <w:t xml:space="preserve"> έχει την ίδια και αυξανόμενη ανταπόκριση στην αγορά</w:t>
      </w:r>
      <w:r w:rsidRPr="005362AF">
        <w:rPr>
          <w:rFonts w:ascii="Arial" w:hAnsi="Arial" w:cs="Arial"/>
          <w:sz w:val="20"/>
          <w:szCs w:val="20"/>
        </w:rPr>
        <w:t>.</w:t>
      </w:r>
      <w:r w:rsidRPr="0036109B">
        <w:rPr>
          <w:rFonts w:ascii="Arial" w:hAnsi="Arial" w:cs="Arial"/>
          <w:sz w:val="20"/>
          <w:szCs w:val="20"/>
        </w:rPr>
        <w:t xml:space="preserve"> </w:t>
      </w:r>
    </w:p>
    <w:p w:rsidR="0036109B" w:rsidRDefault="0036109B" w:rsidP="0036109B">
      <w:pPr>
        <w:pStyle w:val="ListParagraph"/>
        <w:suppressAutoHyphens/>
        <w:autoSpaceDN w:val="0"/>
        <w:spacing w:before="10" w:after="100" w:afterAutospacing="1"/>
        <w:jc w:val="both"/>
        <w:rPr>
          <w:rFonts w:ascii="Arial" w:hAnsi="Arial" w:cs="Arial"/>
          <w:sz w:val="20"/>
          <w:szCs w:val="20"/>
        </w:rPr>
      </w:pPr>
    </w:p>
    <w:p w:rsidR="0036109B" w:rsidRDefault="000C1198" w:rsidP="00E309E7">
      <w:pPr>
        <w:pStyle w:val="ListParagraph"/>
        <w:numPr>
          <w:ilvl w:val="0"/>
          <w:numId w:val="17"/>
        </w:numPr>
        <w:suppressAutoHyphens/>
        <w:autoSpaceDN w:val="0"/>
        <w:spacing w:before="10" w:after="100" w:afterAutospacing="1"/>
        <w:jc w:val="both"/>
        <w:rPr>
          <w:rFonts w:ascii="Arial" w:hAnsi="Arial" w:cs="Arial"/>
          <w:sz w:val="20"/>
          <w:szCs w:val="20"/>
        </w:rPr>
      </w:pPr>
      <w:r w:rsidRPr="0036109B">
        <w:rPr>
          <w:rFonts w:ascii="Arial" w:hAnsi="Arial" w:cs="Arial"/>
          <w:sz w:val="20"/>
          <w:szCs w:val="20"/>
        </w:rPr>
        <w:t>Με</w:t>
      </w:r>
      <w:r w:rsidR="000832A2" w:rsidRPr="0036109B">
        <w:rPr>
          <w:rFonts w:ascii="Arial" w:hAnsi="Arial" w:cs="Arial"/>
          <w:sz w:val="20"/>
          <w:szCs w:val="20"/>
        </w:rPr>
        <w:t>τά την αλλαγή της Νομοθεσίας του και την</w:t>
      </w:r>
      <w:r w:rsidRPr="0036109B">
        <w:rPr>
          <w:rFonts w:ascii="Arial" w:hAnsi="Arial" w:cs="Arial"/>
          <w:sz w:val="20"/>
          <w:szCs w:val="20"/>
        </w:rPr>
        <w:t xml:space="preserve"> δυνατότητα </w:t>
      </w:r>
      <w:r w:rsidR="000832A2" w:rsidRPr="0036109B">
        <w:rPr>
          <w:rFonts w:ascii="Arial" w:hAnsi="Arial" w:cs="Arial"/>
          <w:sz w:val="20"/>
          <w:szCs w:val="20"/>
        </w:rPr>
        <w:t>προσφοράς πρόσθετων δανειοδοτικών λύσεων ο ΟΧΣ θα καθιερώνεται σταδιακά σαν επιλογή των καταναλωτών για άλλες δανειοδοτήσεις (πέραν του στεγαστικού) για κάλυψη των αναγκών του νοικοκυριού.</w:t>
      </w:r>
    </w:p>
    <w:p w:rsidR="0036109B" w:rsidRPr="0036109B" w:rsidRDefault="0036109B" w:rsidP="0036109B">
      <w:pPr>
        <w:pStyle w:val="ListParagraph"/>
        <w:rPr>
          <w:rFonts w:ascii="Arial" w:hAnsi="Arial" w:cs="Arial"/>
          <w:sz w:val="20"/>
          <w:szCs w:val="20"/>
        </w:rPr>
      </w:pPr>
    </w:p>
    <w:p w:rsidR="000D4294" w:rsidRPr="0036109B" w:rsidRDefault="000D4294" w:rsidP="00E309E7">
      <w:pPr>
        <w:pStyle w:val="ListParagraph"/>
        <w:numPr>
          <w:ilvl w:val="0"/>
          <w:numId w:val="17"/>
        </w:numPr>
        <w:suppressAutoHyphens/>
        <w:autoSpaceDN w:val="0"/>
        <w:spacing w:before="10" w:after="100" w:afterAutospacing="1"/>
        <w:jc w:val="both"/>
        <w:rPr>
          <w:rFonts w:ascii="Arial" w:hAnsi="Arial" w:cs="Arial"/>
          <w:sz w:val="20"/>
          <w:szCs w:val="20"/>
        </w:rPr>
      </w:pPr>
      <w:r w:rsidRPr="0036109B">
        <w:rPr>
          <w:rFonts w:ascii="Arial" w:hAnsi="Arial" w:cs="Arial"/>
          <w:sz w:val="20"/>
          <w:szCs w:val="20"/>
        </w:rPr>
        <w:t>Στόχος για τον Οργανισμό αποτελεί η διατήρηση των Δανείων και Χορηγήσεων στα ίδια επίπεδα έτσι ώστε να διαχειριστεί τα ΜΕΔ</w:t>
      </w:r>
      <w:r w:rsidR="000832A2" w:rsidRPr="0036109B">
        <w:rPr>
          <w:rFonts w:ascii="Arial" w:hAnsi="Arial" w:cs="Arial"/>
          <w:sz w:val="20"/>
          <w:szCs w:val="20"/>
        </w:rPr>
        <w:t xml:space="preserve"> (βάσει ΕΑΤ)</w:t>
      </w:r>
      <w:r w:rsidRPr="0036109B">
        <w:rPr>
          <w:rFonts w:ascii="Arial" w:hAnsi="Arial" w:cs="Arial"/>
          <w:sz w:val="20"/>
          <w:szCs w:val="20"/>
        </w:rPr>
        <w:t xml:space="preserve"> για την επόμενη τριετία. </w:t>
      </w:r>
    </w:p>
    <w:p w:rsidR="00E90570" w:rsidRPr="004E655E" w:rsidRDefault="00E90570" w:rsidP="00E309E7">
      <w:pPr>
        <w:suppressAutoHyphens/>
        <w:autoSpaceDN w:val="0"/>
        <w:spacing w:before="10" w:after="100" w:afterAutospacing="1"/>
        <w:jc w:val="both"/>
        <w:rPr>
          <w:rFonts w:ascii="Arial" w:hAnsi="Arial" w:cs="Arial"/>
          <w:sz w:val="20"/>
          <w:szCs w:val="20"/>
        </w:rPr>
      </w:pPr>
      <w:r w:rsidRPr="004E655E">
        <w:rPr>
          <w:rFonts w:ascii="Arial" w:hAnsi="Arial" w:cs="Arial"/>
          <w:sz w:val="20"/>
          <w:szCs w:val="20"/>
        </w:rPr>
        <w:t xml:space="preserve">Επιπρόσθετα βασική παραδοχή αποτελεί το ύψος των επιτοκίων όπου </w:t>
      </w:r>
      <w:r w:rsidR="005B6EB2" w:rsidRPr="004E655E">
        <w:rPr>
          <w:rFonts w:ascii="Arial" w:hAnsi="Arial" w:cs="Arial"/>
          <w:sz w:val="20"/>
          <w:szCs w:val="20"/>
        </w:rPr>
        <w:t xml:space="preserve">έχει γίνει η υπόθεση για μείωση των επιτοκίων αναλόγως της βάσης υπολογισμού ως ακολούθως: </w:t>
      </w:r>
    </w:p>
    <w:p w:rsidR="000832A2" w:rsidRDefault="000832A2" w:rsidP="0036109B">
      <w:pPr>
        <w:pStyle w:val="ListParagraph"/>
        <w:numPr>
          <w:ilvl w:val="0"/>
          <w:numId w:val="18"/>
        </w:numPr>
        <w:suppressAutoHyphens/>
        <w:autoSpaceDN w:val="0"/>
        <w:spacing w:before="10" w:after="100" w:afterAutospacing="1"/>
        <w:jc w:val="both"/>
        <w:rPr>
          <w:rFonts w:ascii="Arial" w:hAnsi="Arial" w:cs="Arial"/>
          <w:sz w:val="20"/>
          <w:szCs w:val="20"/>
        </w:rPr>
      </w:pPr>
      <w:r w:rsidRPr="0036109B">
        <w:rPr>
          <w:rFonts w:ascii="Arial" w:hAnsi="Arial" w:cs="Arial"/>
          <w:sz w:val="20"/>
          <w:szCs w:val="20"/>
        </w:rPr>
        <w:t>Πρόσθετη μείωση των επιτοκίων κατά 0,1</w:t>
      </w:r>
      <w:r w:rsidR="00FD6C11">
        <w:rPr>
          <w:rFonts w:ascii="Arial" w:hAnsi="Arial" w:cs="Arial"/>
          <w:sz w:val="20"/>
          <w:szCs w:val="20"/>
        </w:rPr>
        <w:t>0%</w:t>
      </w:r>
      <w:r w:rsidRPr="0036109B">
        <w:rPr>
          <w:rFonts w:ascii="Arial" w:hAnsi="Arial" w:cs="Arial"/>
          <w:sz w:val="20"/>
          <w:szCs w:val="20"/>
        </w:rPr>
        <w:t xml:space="preserve"> κατά τ</w:t>
      </w:r>
      <w:r w:rsidR="00FD6C11">
        <w:rPr>
          <w:rFonts w:ascii="Arial" w:hAnsi="Arial" w:cs="Arial"/>
          <w:sz w:val="20"/>
          <w:szCs w:val="20"/>
        </w:rPr>
        <w:t>ο έτος</w:t>
      </w:r>
      <w:r w:rsidRPr="0036109B">
        <w:rPr>
          <w:rFonts w:ascii="Arial" w:hAnsi="Arial" w:cs="Arial"/>
          <w:sz w:val="20"/>
          <w:szCs w:val="20"/>
        </w:rPr>
        <w:t xml:space="preserve"> 202</w:t>
      </w:r>
      <w:r w:rsidR="00FD6C11">
        <w:rPr>
          <w:rFonts w:ascii="Arial" w:hAnsi="Arial" w:cs="Arial"/>
          <w:sz w:val="20"/>
          <w:szCs w:val="20"/>
        </w:rPr>
        <w:t xml:space="preserve">2 και πρόσθετη μείωση 0,05% ανά έτος για τα έτη 2023 και 2024. </w:t>
      </w:r>
    </w:p>
    <w:p w:rsidR="0036109B" w:rsidRPr="0036109B" w:rsidRDefault="0036109B" w:rsidP="0036109B">
      <w:pPr>
        <w:pStyle w:val="ListParagraph"/>
        <w:suppressAutoHyphens/>
        <w:autoSpaceDN w:val="0"/>
        <w:spacing w:before="10" w:after="100" w:afterAutospacing="1"/>
        <w:jc w:val="both"/>
        <w:rPr>
          <w:rFonts w:ascii="Arial" w:hAnsi="Arial" w:cs="Arial"/>
          <w:sz w:val="20"/>
          <w:szCs w:val="20"/>
        </w:rPr>
      </w:pPr>
    </w:p>
    <w:p w:rsidR="0036109B" w:rsidRDefault="000C1198" w:rsidP="00E309E7">
      <w:pPr>
        <w:suppressAutoHyphens/>
        <w:autoSpaceDN w:val="0"/>
        <w:spacing w:before="10" w:after="100" w:afterAutospacing="1"/>
        <w:jc w:val="both"/>
        <w:rPr>
          <w:rFonts w:ascii="Arial" w:hAnsi="Arial" w:cs="Arial"/>
          <w:sz w:val="20"/>
          <w:szCs w:val="20"/>
        </w:rPr>
      </w:pPr>
      <w:r w:rsidRPr="00C27A72">
        <w:rPr>
          <w:rFonts w:ascii="Arial" w:hAnsi="Arial" w:cs="Arial"/>
          <w:sz w:val="20"/>
          <w:szCs w:val="20"/>
        </w:rPr>
        <w:t xml:space="preserve">Η </w:t>
      </w:r>
      <w:r w:rsidR="000832A2">
        <w:rPr>
          <w:rFonts w:ascii="Arial" w:hAnsi="Arial" w:cs="Arial"/>
          <w:sz w:val="20"/>
          <w:szCs w:val="20"/>
        </w:rPr>
        <w:t xml:space="preserve">προυπολογιζόμενη </w:t>
      </w:r>
      <w:r w:rsidRPr="00C27A72">
        <w:rPr>
          <w:rFonts w:ascii="Arial" w:hAnsi="Arial" w:cs="Arial"/>
          <w:sz w:val="20"/>
          <w:szCs w:val="20"/>
        </w:rPr>
        <w:t>απόδοση από τα δάνεια και</w:t>
      </w:r>
      <w:r w:rsidR="00C27A72" w:rsidRPr="00C27A72">
        <w:rPr>
          <w:rFonts w:ascii="Arial" w:hAnsi="Arial" w:cs="Arial"/>
          <w:sz w:val="20"/>
          <w:szCs w:val="20"/>
        </w:rPr>
        <w:t xml:space="preserve"> τις χορηγήσεις για το έτος </w:t>
      </w:r>
      <w:r w:rsidR="000D4294">
        <w:rPr>
          <w:rFonts w:ascii="Arial" w:hAnsi="Arial" w:cs="Arial"/>
          <w:sz w:val="20"/>
          <w:szCs w:val="20"/>
        </w:rPr>
        <w:t>202</w:t>
      </w:r>
      <w:r w:rsidR="00EA2341">
        <w:rPr>
          <w:rFonts w:ascii="Arial" w:hAnsi="Arial" w:cs="Arial"/>
          <w:sz w:val="20"/>
          <w:szCs w:val="20"/>
        </w:rPr>
        <w:t>2</w:t>
      </w:r>
      <w:r w:rsidRPr="00C27A72">
        <w:rPr>
          <w:rFonts w:ascii="Arial" w:hAnsi="Arial" w:cs="Arial"/>
          <w:sz w:val="20"/>
          <w:szCs w:val="20"/>
        </w:rPr>
        <w:t xml:space="preserve"> αναμένεται να είναι </w:t>
      </w:r>
      <w:r w:rsidR="000D4294" w:rsidRPr="00DF41E0">
        <w:rPr>
          <w:rFonts w:ascii="Arial" w:hAnsi="Arial" w:cs="Arial"/>
          <w:sz w:val="20"/>
          <w:szCs w:val="20"/>
        </w:rPr>
        <w:t>1,</w:t>
      </w:r>
      <w:r w:rsidR="00DF41E0" w:rsidRPr="00B603E5">
        <w:rPr>
          <w:rFonts w:ascii="Arial" w:hAnsi="Arial" w:cs="Arial"/>
          <w:sz w:val="20"/>
          <w:szCs w:val="20"/>
        </w:rPr>
        <w:t>7</w:t>
      </w:r>
      <w:r w:rsidR="00EA2341">
        <w:rPr>
          <w:rFonts w:ascii="Arial" w:hAnsi="Arial" w:cs="Arial"/>
          <w:sz w:val="20"/>
          <w:szCs w:val="20"/>
        </w:rPr>
        <w:t>0</w:t>
      </w:r>
      <w:r w:rsidR="00C27A72" w:rsidRPr="00DF41E0">
        <w:rPr>
          <w:rFonts w:ascii="Arial" w:hAnsi="Arial" w:cs="Arial"/>
          <w:sz w:val="20"/>
          <w:szCs w:val="20"/>
        </w:rPr>
        <w:t>% σε σύγκριση</w:t>
      </w:r>
      <w:r w:rsidR="00C27A72" w:rsidRPr="00C27A72">
        <w:rPr>
          <w:rFonts w:ascii="Arial" w:hAnsi="Arial" w:cs="Arial"/>
          <w:sz w:val="20"/>
          <w:szCs w:val="20"/>
        </w:rPr>
        <w:t xml:space="preserve"> με </w:t>
      </w:r>
      <w:r w:rsidR="00DF41E0">
        <w:rPr>
          <w:rFonts w:ascii="Arial" w:hAnsi="Arial" w:cs="Arial"/>
          <w:sz w:val="20"/>
          <w:szCs w:val="20"/>
        </w:rPr>
        <w:t>1,</w:t>
      </w:r>
      <w:r w:rsidR="00EA2341">
        <w:rPr>
          <w:rFonts w:ascii="Arial" w:hAnsi="Arial" w:cs="Arial"/>
          <w:sz w:val="20"/>
          <w:szCs w:val="20"/>
        </w:rPr>
        <w:t>7</w:t>
      </w:r>
      <w:r w:rsidR="006F2F53">
        <w:rPr>
          <w:rFonts w:ascii="Arial" w:hAnsi="Arial" w:cs="Arial"/>
          <w:sz w:val="20"/>
          <w:szCs w:val="20"/>
        </w:rPr>
        <w:t>8</w:t>
      </w:r>
      <w:r w:rsidRPr="00C27A72">
        <w:rPr>
          <w:rFonts w:ascii="Arial" w:hAnsi="Arial" w:cs="Arial"/>
          <w:sz w:val="20"/>
          <w:szCs w:val="20"/>
        </w:rPr>
        <w:t>% προσυπολογιζόμ</w:t>
      </w:r>
      <w:r w:rsidR="000D4294">
        <w:rPr>
          <w:rFonts w:ascii="Arial" w:hAnsi="Arial" w:cs="Arial"/>
          <w:sz w:val="20"/>
          <w:szCs w:val="20"/>
        </w:rPr>
        <w:t xml:space="preserve">ενη απόδοση για το </w:t>
      </w:r>
      <w:r w:rsidR="00DF41E0">
        <w:rPr>
          <w:rFonts w:ascii="Arial" w:hAnsi="Arial" w:cs="Arial"/>
          <w:sz w:val="20"/>
          <w:szCs w:val="20"/>
        </w:rPr>
        <w:t>202</w:t>
      </w:r>
      <w:r w:rsidR="00EA2341">
        <w:rPr>
          <w:rFonts w:ascii="Arial" w:hAnsi="Arial" w:cs="Arial"/>
          <w:sz w:val="20"/>
          <w:szCs w:val="20"/>
        </w:rPr>
        <w:t>1</w:t>
      </w:r>
      <w:r w:rsidRPr="00C27A72">
        <w:rPr>
          <w:rFonts w:ascii="Arial" w:hAnsi="Arial" w:cs="Arial"/>
          <w:sz w:val="20"/>
          <w:szCs w:val="20"/>
        </w:rPr>
        <w:t>. Η μείωση στην απόδοση οφείλεται στην αναμενόμενη μείωση των επιτοκίων των δανείων που είχαν δοθεί στο παρελθόν τα οποία φέρουν ψηλότερο επιτόκιο σε σύγκριση με τον νέο δανεισμό</w:t>
      </w:r>
      <w:r w:rsidRPr="005362AF">
        <w:rPr>
          <w:rFonts w:ascii="Arial" w:hAnsi="Arial" w:cs="Arial"/>
          <w:sz w:val="20"/>
          <w:szCs w:val="20"/>
        </w:rPr>
        <w:t>.</w:t>
      </w:r>
      <w:r w:rsidR="00DF41E0" w:rsidRPr="005362AF">
        <w:rPr>
          <w:rFonts w:ascii="Arial" w:hAnsi="Arial" w:cs="Arial"/>
          <w:sz w:val="20"/>
          <w:szCs w:val="20"/>
        </w:rPr>
        <w:t xml:space="preserve"> </w:t>
      </w:r>
      <w:r w:rsidR="000D4294" w:rsidRPr="005362AF">
        <w:rPr>
          <w:rFonts w:ascii="Arial" w:hAnsi="Arial" w:cs="Arial"/>
          <w:sz w:val="20"/>
          <w:szCs w:val="20"/>
        </w:rPr>
        <w:t>Επιπρόσθετα, η μείωση της απόδοσης οφείλεται στον συνυπολογισμό των δανείω</w:t>
      </w:r>
      <w:r w:rsidR="00782B58" w:rsidRPr="005362AF">
        <w:rPr>
          <w:rFonts w:ascii="Arial" w:hAnsi="Arial" w:cs="Arial"/>
          <w:sz w:val="20"/>
          <w:szCs w:val="20"/>
        </w:rPr>
        <w:t>ν που εμπίπτουν στο Σχέδιο ΕΣΤΙΑ</w:t>
      </w:r>
      <w:r w:rsidR="00DF41E0" w:rsidRPr="005362AF">
        <w:rPr>
          <w:rFonts w:ascii="Arial" w:hAnsi="Arial" w:cs="Arial"/>
          <w:sz w:val="20"/>
          <w:szCs w:val="20"/>
        </w:rPr>
        <w:t xml:space="preserve"> και</w:t>
      </w:r>
      <w:r w:rsidR="00DF41E0">
        <w:rPr>
          <w:rFonts w:ascii="Arial" w:hAnsi="Arial" w:cs="Arial"/>
          <w:sz w:val="20"/>
          <w:szCs w:val="20"/>
        </w:rPr>
        <w:t xml:space="preserve"> στο </w:t>
      </w:r>
      <w:r w:rsidR="00DF41E0" w:rsidRPr="00347BF4">
        <w:rPr>
          <w:rFonts w:ascii="Arial" w:hAnsi="Arial" w:cs="Arial"/>
          <w:sz w:val="20"/>
          <w:szCs w:val="20"/>
        </w:rPr>
        <w:t xml:space="preserve">Σχέδιο </w:t>
      </w:r>
      <w:r w:rsidR="00DF41E0">
        <w:rPr>
          <w:rFonts w:ascii="Arial" w:hAnsi="Arial" w:cs="Arial"/>
          <w:sz w:val="20"/>
          <w:szCs w:val="20"/>
        </w:rPr>
        <w:t>ΜΕΔ</w:t>
      </w:r>
      <w:r w:rsidR="00DF41E0" w:rsidRPr="00347BF4">
        <w:rPr>
          <w:rFonts w:ascii="Arial" w:hAnsi="Arial" w:cs="Arial"/>
          <w:sz w:val="20"/>
          <w:szCs w:val="20"/>
        </w:rPr>
        <w:t xml:space="preserve"> ΙΙ</w:t>
      </w:r>
      <w:r w:rsidR="00DF41E0">
        <w:rPr>
          <w:rFonts w:ascii="Arial" w:hAnsi="Arial" w:cs="Arial"/>
          <w:sz w:val="20"/>
          <w:szCs w:val="20"/>
        </w:rPr>
        <w:t xml:space="preserve"> </w:t>
      </w:r>
      <w:r w:rsidR="000D4294">
        <w:rPr>
          <w:rFonts w:ascii="Arial" w:hAnsi="Arial" w:cs="Arial"/>
          <w:sz w:val="20"/>
          <w:szCs w:val="20"/>
        </w:rPr>
        <w:t xml:space="preserve">αφού </w:t>
      </w:r>
      <w:r w:rsidR="00DF41E0">
        <w:rPr>
          <w:rFonts w:ascii="Arial" w:hAnsi="Arial" w:cs="Arial"/>
          <w:sz w:val="20"/>
          <w:szCs w:val="20"/>
        </w:rPr>
        <w:t>το παγοποιημένο ποσό δεν θα φέρει τόκο</w:t>
      </w:r>
      <w:r w:rsidR="000D4294">
        <w:rPr>
          <w:rFonts w:ascii="Arial" w:hAnsi="Arial" w:cs="Arial"/>
          <w:sz w:val="20"/>
          <w:szCs w:val="20"/>
        </w:rPr>
        <w:t xml:space="preserve">. </w:t>
      </w:r>
    </w:p>
    <w:p w:rsidR="00B0742C" w:rsidRPr="00C27A72" w:rsidRDefault="00B0742C" w:rsidP="00E309E7">
      <w:pPr>
        <w:suppressAutoHyphens/>
        <w:autoSpaceDN w:val="0"/>
        <w:spacing w:before="10" w:after="100" w:afterAutospacing="1"/>
        <w:jc w:val="both"/>
        <w:rPr>
          <w:rFonts w:ascii="Arial" w:hAnsi="Arial" w:cs="Arial"/>
          <w:sz w:val="20"/>
          <w:szCs w:val="20"/>
        </w:rPr>
      </w:pPr>
      <w:r w:rsidRPr="00C27A72">
        <w:rPr>
          <w:rFonts w:ascii="Arial" w:hAnsi="Arial" w:cs="Arial"/>
          <w:sz w:val="20"/>
          <w:szCs w:val="20"/>
        </w:rPr>
        <w:t xml:space="preserve">Στον πίνακα πιο κάτω φαίνεται διαχρονικά η ετησιοποιημένη απόδοση από τα Δάνεια και χορηγήσεις:  </w:t>
      </w:r>
    </w:p>
    <w:p w:rsidR="00DF41E0" w:rsidRPr="00CE6659" w:rsidRDefault="00DF41E0" w:rsidP="000915DB">
      <w:pPr>
        <w:pStyle w:val="ListParagraph"/>
        <w:spacing w:after="120" w:line="240" w:lineRule="auto"/>
        <w:jc w:val="both"/>
        <w:rPr>
          <w:rFonts w:ascii="Arial" w:hAnsi="Arial" w:cs="Arial"/>
        </w:rPr>
      </w:pPr>
    </w:p>
    <w:p w:rsidR="008E3353" w:rsidRDefault="008E3353" w:rsidP="000915DB">
      <w:pPr>
        <w:pStyle w:val="ListParagraph"/>
        <w:spacing w:after="120" w:line="240" w:lineRule="auto"/>
        <w:jc w:val="both"/>
        <w:rPr>
          <w:rFonts w:ascii="Arial" w:hAnsi="Arial" w:cs="Arial"/>
          <w:b/>
          <w:sz w:val="20"/>
          <w:u w:val="single"/>
        </w:rPr>
      </w:pPr>
      <w:r w:rsidRPr="00CE6659">
        <w:rPr>
          <w:rFonts w:ascii="Arial" w:hAnsi="Arial" w:cs="Arial"/>
          <w:b/>
          <w:sz w:val="20"/>
          <w:u w:val="single"/>
        </w:rPr>
        <w:lastRenderedPageBreak/>
        <w:t>Πίνακας: Ετησιοποιημένη Απόδοση από τα Δάνεια και Χορηγήσεις</w:t>
      </w:r>
    </w:p>
    <w:p w:rsidR="00DF41E0" w:rsidRDefault="00DF41E0" w:rsidP="000915DB">
      <w:pPr>
        <w:pStyle w:val="ListParagraph"/>
        <w:spacing w:after="120" w:line="240" w:lineRule="auto"/>
        <w:jc w:val="both"/>
        <w:rPr>
          <w:rFonts w:ascii="Arial" w:hAnsi="Arial" w:cs="Arial"/>
          <w:b/>
          <w:sz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819"/>
        <w:gridCol w:w="819"/>
        <w:gridCol w:w="896"/>
        <w:gridCol w:w="797"/>
        <w:gridCol w:w="820"/>
        <w:gridCol w:w="820"/>
        <w:gridCol w:w="805"/>
      </w:tblGrid>
      <w:tr w:rsidR="00A8556B" w:rsidRPr="0036109B" w:rsidTr="008F1D1E">
        <w:trPr>
          <w:trHeight w:val="219"/>
          <w:jc w:val="center"/>
        </w:trPr>
        <w:tc>
          <w:tcPr>
            <w:tcW w:w="1941" w:type="pct"/>
            <w:shd w:val="clear" w:color="auto" w:fill="auto"/>
            <w:noWrap/>
            <w:vAlign w:val="bottom"/>
          </w:tcPr>
          <w:p w:rsidR="00A8556B" w:rsidRPr="0036109B" w:rsidRDefault="00A8556B" w:rsidP="00A8556B">
            <w:pPr>
              <w:rPr>
                <w:rFonts w:ascii="Arial" w:hAnsi="Arial" w:cs="Arial"/>
                <w:b/>
                <w:bCs/>
                <w:sz w:val="18"/>
                <w:szCs w:val="20"/>
              </w:rPr>
            </w:pPr>
          </w:p>
        </w:tc>
        <w:tc>
          <w:tcPr>
            <w:tcW w:w="438" w:type="pct"/>
            <w:vAlign w:val="bottom"/>
          </w:tcPr>
          <w:p w:rsidR="00A8556B" w:rsidRPr="0036109B" w:rsidRDefault="00A8556B" w:rsidP="00A8556B">
            <w:pPr>
              <w:jc w:val="right"/>
              <w:rPr>
                <w:rFonts w:ascii="Arial" w:hAnsi="Arial" w:cs="Arial"/>
                <w:b/>
                <w:bCs/>
                <w:sz w:val="18"/>
                <w:szCs w:val="18"/>
                <w:lang w:val="en-US"/>
              </w:rPr>
            </w:pPr>
            <w:r w:rsidRPr="0036109B">
              <w:rPr>
                <w:rFonts w:ascii="Arial" w:hAnsi="Arial" w:cs="Arial"/>
                <w:b/>
                <w:bCs/>
                <w:sz w:val="18"/>
                <w:szCs w:val="18"/>
                <w:lang w:val="en-US"/>
              </w:rPr>
              <w:t>201</w:t>
            </w:r>
            <w:r w:rsidR="007D4363">
              <w:rPr>
                <w:rFonts w:ascii="Arial" w:hAnsi="Arial" w:cs="Arial"/>
                <w:b/>
                <w:bCs/>
                <w:sz w:val="18"/>
                <w:szCs w:val="18"/>
              </w:rPr>
              <w:t>9</w:t>
            </w:r>
            <w:r w:rsidRPr="0036109B">
              <w:rPr>
                <w:rFonts w:ascii="Arial" w:hAnsi="Arial" w:cs="Arial"/>
                <w:b/>
                <w:bCs/>
                <w:sz w:val="18"/>
                <w:szCs w:val="18"/>
              </w:rPr>
              <w:t xml:space="preserve"> Α</w:t>
            </w:r>
          </w:p>
        </w:tc>
        <w:tc>
          <w:tcPr>
            <w:tcW w:w="438" w:type="pct"/>
            <w:vAlign w:val="bottom"/>
          </w:tcPr>
          <w:p w:rsidR="00A8556B" w:rsidRPr="0036109B" w:rsidRDefault="00A8556B" w:rsidP="00A8556B">
            <w:pPr>
              <w:jc w:val="right"/>
              <w:rPr>
                <w:rFonts w:ascii="Arial" w:hAnsi="Arial" w:cs="Arial"/>
                <w:b/>
                <w:bCs/>
                <w:sz w:val="18"/>
                <w:szCs w:val="18"/>
              </w:rPr>
            </w:pPr>
            <w:r w:rsidRPr="0036109B">
              <w:rPr>
                <w:rFonts w:ascii="Arial" w:hAnsi="Arial" w:cs="Arial"/>
                <w:b/>
                <w:bCs/>
                <w:sz w:val="18"/>
                <w:szCs w:val="18"/>
                <w:lang w:val="en-US"/>
              </w:rPr>
              <w:t>20</w:t>
            </w:r>
            <w:r w:rsidR="007D4363">
              <w:rPr>
                <w:rFonts w:ascii="Arial" w:hAnsi="Arial" w:cs="Arial"/>
                <w:b/>
                <w:bCs/>
                <w:sz w:val="18"/>
                <w:szCs w:val="18"/>
              </w:rPr>
              <w:t>20</w:t>
            </w:r>
            <w:r w:rsidRPr="0036109B">
              <w:rPr>
                <w:rFonts w:ascii="Arial" w:hAnsi="Arial" w:cs="Arial"/>
                <w:b/>
                <w:bCs/>
                <w:sz w:val="18"/>
                <w:szCs w:val="18"/>
              </w:rPr>
              <w:t xml:space="preserve"> Α</w:t>
            </w:r>
          </w:p>
        </w:tc>
        <w:tc>
          <w:tcPr>
            <w:tcW w:w="479" w:type="pct"/>
            <w:vAlign w:val="bottom"/>
          </w:tcPr>
          <w:p w:rsidR="00A8556B" w:rsidRPr="0036109B" w:rsidRDefault="00A8556B" w:rsidP="00A8556B">
            <w:pPr>
              <w:jc w:val="right"/>
              <w:rPr>
                <w:rFonts w:ascii="Arial" w:hAnsi="Arial" w:cs="Arial"/>
                <w:b/>
                <w:bCs/>
                <w:sz w:val="18"/>
                <w:szCs w:val="18"/>
                <w:lang w:val="en-US"/>
              </w:rPr>
            </w:pPr>
            <w:r w:rsidRPr="0036109B">
              <w:rPr>
                <w:rFonts w:ascii="Arial" w:hAnsi="Arial" w:cs="Arial"/>
                <w:b/>
                <w:bCs/>
                <w:sz w:val="18"/>
                <w:szCs w:val="18"/>
              </w:rPr>
              <w:t>6Μ202</w:t>
            </w:r>
            <w:r w:rsidR="00EA2341">
              <w:rPr>
                <w:rFonts w:ascii="Arial" w:hAnsi="Arial" w:cs="Arial"/>
                <w:b/>
                <w:bCs/>
                <w:sz w:val="18"/>
                <w:szCs w:val="18"/>
              </w:rPr>
              <w:t>1</w:t>
            </w:r>
            <w:r w:rsidRPr="0036109B">
              <w:rPr>
                <w:rFonts w:ascii="Arial" w:hAnsi="Arial" w:cs="Arial"/>
                <w:b/>
                <w:bCs/>
                <w:sz w:val="18"/>
                <w:szCs w:val="18"/>
              </w:rPr>
              <w:t xml:space="preserve"> Α</w:t>
            </w:r>
          </w:p>
        </w:tc>
        <w:tc>
          <w:tcPr>
            <w:tcW w:w="398" w:type="pct"/>
            <w:shd w:val="clear" w:color="auto" w:fill="auto"/>
            <w:noWrap/>
            <w:vAlign w:val="bottom"/>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lang w:val="en-US"/>
              </w:rPr>
              <w:t>202</w:t>
            </w:r>
            <w:r w:rsidR="00EA2341">
              <w:rPr>
                <w:rFonts w:ascii="Arial" w:hAnsi="Arial" w:cs="Arial"/>
                <w:b/>
                <w:bCs/>
                <w:sz w:val="18"/>
                <w:szCs w:val="18"/>
              </w:rPr>
              <w:t>1</w:t>
            </w:r>
            <w:r w:rsidRPr="0036109B">
              <w:rPr>
                <w:rFonts w:ascii="Arial" w:hAnsi="Arial" w:cs="Arial"/>
                <w:b/>
                <w:bCs/>
                <w:sz w:val="18"/>
                <w:szCs w:val="18"/>
                <w:lang w:val="en-US"/>
              </w:rPr>
              <w:t xml:space="preserve"> </w:t>
            </w:r>
            <w:r w:rsidRPr="0036109B">
              <w:rPr>
                <w:rFonts w:ascii="Arial" w:hAnsi="Arial" w:cs="Arial"/>
                <w:b/>
                <w:bCs/>
                <w:sz w:val="18"/>
                <w:szCs w:val="18"/>
              </w:rPr>
              <w:t>Π</w:t>
            </w:r>
          </w:p>
        </w:tc>
        <w:tc>
          <w:tcPr>
            <w:tcW w:w="438" w:type="pct"/>
            <w:shd w:val="clear" w:color="auto" w:fill="auto"/>
            <w:noWrap/>
            <w:vAlign w:val="bottom"/>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lang w:val="en-US"/>
              </w:rPr>
              <w:t>202</w:t>
            </w:r>
            <w:r w:rsidR="00EA2341">
              <w:rPr>
                <w:rFonts w:ascii="Arial" w:hAnsi="Arial" w:cs="Arial"/>
                <w:b/>
                <w:bCs/>
                <w:sz w:val="18"/>
                <w:szCs w:val="18"/>
              </w:rPr>
              <w:t>2</w:t>
            </w:r>
            <w:r w:rsidRPr="0036109B">
              <w:rPr>
                <w:rFonts w:ascii="Arial" w:hAnsi="Arial" w:cs="Arial"/>
                <w:b/>
                <w:bCs/>
                <w:sz w:val="18"/>
                <w:szCs w:val="18"/>
                <w:lang w:val="en-US"/>
              </w:rPr>
              <w:t xml:space="preserve"> </w:t>
            </w:r>
            <w:r w:rsidRPr="0036109B">
              <w:rPr>
                <w:rFonts w:ascii="Arial" w:hAnsi="Arial" w:cs="Arial"/>
                <w:b/>
                <w:bCs/>
                <w:sz w:val="18"/>
                <w:szCs w:val="18"/>
              </w:rPr>
              <w:t>Π</w:t>
            </w:r>
          </w:p>
        </w:tc>
        <w:tc>
          <w:tcPr>
            <w:tcW w:w="438" w:type="pct"/>
            <w:shd w:val="clear" w:color="auto" w:fill="auto"/>
            <w:noWrap/>
            <w:vAlign w:val="bottom"/>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lang w:val="en-US"/>
              </w:rPr>
              <w:t>202</w:t>
            </w:r>
            <w:r w:rsidR="00EA2341">
              <w:rPr>
                <w:rFonts w:ascii="Arial" w:hAnsi="Arial" w:cs="Arial"/>
                <w:b/>
                <w:bCs/>
                <w:sz w:val="18"/>
                <w:szCs w:val="18"/>
              </w:rPr>
              <w:t>3</w:t>
            </w:r>
            <w:r w:rsidRPr="0036109B">
              <w:rPr>
                <w:rFonts w:ascii="Arial" w:hAnsi="Arial" w:cs="Arial"/>
                <w:b/>
                <w:bCs/>
                <w:sz w:val="18"/>
                <w:szCs w:val="18"/>
                <w:lang w:val="en-US"/>
              </w:rPr>
              <w:t xml:space="preserve"> </w:t>
            </w:r>
            <w:r w:rsidRPr="0036109B">
              <w:rPr>
                <w:rFonts w:ascii="Arial" w:hAnsi="Arial" w:cs="Arial"/>
                <w:b/>
                <w:bCs/>
                <w:sz w:val="18"/>
                <w:szCs w:val="18"/>
              </w:rPr>
              <w:t>Π</w:t>
            </w:r>
          </w:p>
        </w:tc>
        <w:tc>
          <w:tcPr>
            <w:tcW w:w="430" w:type="pct"/>
            <w:shd w:val="clear" w:color="auto" w:fill="auto"/>
            <w:noWrap/>
            <w:vAlign w:val="bottom"/>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lang w:val="en-US"/>
              </w:rPr>
              <w:t>202</w:t>
            </w:r>
            <w:r w:rsidR="00EA2341">
              <w:rPr>
                <w:rFonts w:ascii="Arial" w:hAnsi="Arial" w:cs="Arial"/>
                <w:b/>
                <w:bCs/>
                <w:sz w:val="18"/>
                <w:szCs w:val="18"/>
              </w:rPr>
              <w:t>4</w:t>
            </w:r>
            <w:r w:rsidRPr="0036109B">
              <w:rPr>
                <w:rFonts w:ascii="Arial" w:hAnsi="Arial" w:cs="Arial"/>
                <w:b/>
                <w:bCs/>
                <w:sz w:val="18"/>
                <w:szCs w:val="18"/>
                <w:lang w:val="en-US"/>
              </w:rPr>
              <w:t xml:space="preserve"> </w:t>
            </w:r>
            <w:r w:rsidRPr="0036109B">
              <w:rPr>
                <w:rFonts w:ascii="Arial" w:hAnsi="Arial" w:cs="Arial"/>
                <w:b/>
                <w:bCs/>
                <w:sz w:val="18"/>
                <w:szCs w:val="18"/>
              </w:rPr>
              <w:t>Π</w:t>
            </w:r>
          </w:p>
        </w:tc>
      </w:tr>
      <w:tr w:rsidR="00A8556B" w:rsidRPr="0036109B" w:rsidTr="008F1D1E">
        <w:trPr>
          <w:trHeight w:val="219"/>
          <w:jc w:val="center"/>
        </w:trPr>
        <w:tc>
          <w:tcPr>
            <w:tcW w:w="1941" w:type="pct"/>
            <w:shd w:val="clear" w:color="auto" w:fill="auto"/>
            <w:noWrap/>
            <w:vAlign w:val="bottom"/>
          </w:tcPr>
          <w:p w:rsidR="00A8556B" w:rsidRPr="0036109B" w:rsidRDefault="00A8556B" w:rsidP="00A8556B">
            <w:pPr>
              <w:rPr>
                <w:rFonts w:ascii="Arial" w:hAnsi="Arial" w:cs="Arial"/>
                <w:b/>
                <w:bCs/>
                <w:sz w:val="18"/>
                <w:szCs w:val="20"/>
              </w:rPr>
            </w:pPr>
          </w:p>
        </w:tc>
        <w:tc>
          <w:tcPr>
            <w:tcW w:w="438" w:type="pct"/>
          </w:tcPr>
          <w:p w:rsidR="00A8556B" w:rsidRPr="0036109B" w:rsidRDefault="00A8556B" w:rsidP="00A8556B">
            <w:pPr>
              <w:jc w:val="right"/>
              <w:rPr>
                <w:rFonts w:ascii="Arial" w:hAnsi="Arial" w:cs="Arial"/>
                <w:b/>
                <w:bCs/>
                <w:sz w:val="18"/>
                <w:szCs w:val="18"/>
              </w:rPr>
            </w:pPr>
            <w:r w:rsidRPr="0036109B">
              <w:rPr>
                <w:rFonts w:ascii="Arial" w:hAnsi="Arial" w:cs="Arial"/>
                <w:b/>
                <w:bCs/>
                <w:sz w:val="18"/>
                <w:szCs w:val="18"/>
              </w:rPr>
              <w:t>€000</w:t>
            </w:r>
          </w:p>
        </w:tc>
        <w:tc>
          <w:tcPr>
            <w:tcW w:w="438" w:type="pct"/>
          </w:tcPr>
          <w:p w:rsidR="00A8556B" w:rsidRPr="0036109B" w:rsidRDefault="00A8556B" w:rsidP="00A8556B">
            <w:pPr>
              <w:jc w:val="right"/>
              <w:rPr>
                <w:rFonts w:ascii="Arial" w:hAnsi="Arial" w:cs="Arial"/>
                <w:b/>
                <w:bCs/>
                <w:sz w:val="18"/>
                <w:szCs w:val="18"/>
              </w:rPr>
            </w:pPr>
            <w:r w:rsidRPr="0036109B">
              <w:rPr>
                <w:rFonts w:ascii="Arial" w:hAnsi="Arial" w:cs="Arial"/>
                <w:b/>
                <w:bCs/>
                <w:sz w:val="18"/>
                <w:szCs w:val="18"/>
              </w:rPr>
              <w:t>€000</w:t>
            </w:r>
          </w:p>
        </w:tc>
        <w:tc>
          <w:tcPr>
            <w:tcW w:w="479" w:type="pct"/>
            <w:vAlign w:val="bottom"/>
          </w:tcPr>
          <w:p w:rsidR="00A8556B" w:rsidRPr="0036109B" w:rsidRDefault="00A8556B" w:rsidP="00A8556B">
            <w:pPr>
              <w:jc w:val="right"/>
              <w:rPr>
                <w:rFonts w:ascii="Arial" w:hAnsi="Arial" w:cs="Arial"/>
                <w:b/>
                <w:bCs/>
                <w:sz w:val="18"/>
                <w:szCs w:val="18"/>
              </w:rPr>
            </w:pPr>
            <w:r w:rsidRPr="0036109B">
              <w:rPr>
                <w:rFonts w:ascii="Arial" w:hAnsi="Arial" w:cs="Arial"/>
                <w:b/>
                <w:bCs/>
                <w:sz w:val="18"/>
                <w:szCs w:val="18"/>
              </w:rPr>
              <w:t>€000</w:t>
            </w:r>
          </w:p>
        </w:tc>
        <w:tc>
          <w:tcPr>
            <w:tcW w:w="398" w:type="pct"/>
            <w:shd w:val="clear" w:color="auto" w:fill="auto"/>
            <w:noWrap/>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rPr>
              <w:t>€000</w:t>
            </w:r>
          </w:p>
        </w:tc>
        <w:tc>
          <w:tcPr>
            <w:tcW w:w="438" w:type="pct"/>
            <w:shd w:val="clear" w:color="auto" w:fill="auto"/>
            <w:noWrap/>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rPr>
              <w:t>€000</w:t>
            </w:r>
          </w:p>
        </w:tc>
        <w:tc>
          <w:tcPr>
            <w:tcW w:w="438" w:type="pct"/>
            <w:shd w:val="clear" w:color="auto" w:fill="auto"/>
            <w:noWrap/>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rPr>
              <w:t>€000</w:t>
            </w:r>
          </w:p>
        </w:tc>
        <w:tc>
          <w:tcPr>
            <w:tcW w:w="430" w:type="pct"/>
            <w:shd w:val="clear" w:color="auto" w:fill="auto"/>
            <w:noWrap/>
          </w:tcPr>
          <w:p w:rsidR="00A8556B" w:rsidRPr="0036109B" w:rsidRDefault="00A8556B" w:rsidP="00A8556B">
            <w:pPr>
              <w:jc w:val="right"/>
              <w:rPr>
                <w:rFonts w:ascii="Arial" w:hAnsi="Arial" w:cs="Arial"/>
                <w:b/>
                <w:bCs/>
                <w:sz w:val="18"/>
                <w:szCs w:val="20"/>
              </w:rPr>
            </w:pPr>
            <w:r w:rsidRPr="0036109B">
              <w:rPr>
                <w:rFonts w:ascii="Arial" w:hAnsi="Arial" w:cs="Arial"/>
                <w:b/>
                <w:bCs/>
                <w:sz w:val="18"/>
                <w:szCs w:val="18"/>
              </w:rPr>
              <w:t>€000</w:t>
            </w:r>
          </w:p>
        </w:tc>
      </w:tr>
      <w:tr w:rsidR="00A8556B" w:rsidRPr="0036109B" w:rsidTr="008F1D1E">
        <w:trPr>
          <w:trHeight w:val="209"/>
          <w:jc w:val="center"/>
        </w:trPr>
        <w:tc>
          <w:tcPr>
            <w:tcW w:w="1941" w:type="pct"/>
            <w:shd w:val="clear" w:color="auto" w:fill="auto"/>
            <w:noWrap/>
            <w:vAlign w:val="bottom"/>
            <w:hideMark/>
          </w:tcPr>
          <w:p w:rsidR="00A8556B" w:rsidRPr="0036109B" w:rsidRDefault="00A8556B" w:rsidP="00A8556B">
            <w:pPr>
              <w:rPr>
                <w:rFonts w:ascii="Arial" w:hAnsi="Arial" w:cs="Arial"/>
                <w:bCs/>
                <w:iCs/>
                <w:sz w:val="18"/>
                <w:szCs w:val="20"/>
                <w:lang w:val="en-US"/>
              </w:rPr>
            </w:pPr>
            <w:r w:rsidRPr="0036109B">
              <w:rPr>
                <w:rFonts w:ascii="Arial" w:hAnsi="Arial" w:cs="Arial"/>
                <w:bCs/>
                <w:iCs/>
                <w:sz w:val="18"/>
                <w:szCs w:val="20"/>
                <w:lang w:val="en-US"/>
              </w:rPr>
              <w:t>Απόδοση Μεικτών Δανείων</w:t>
            </w:r>
          </w:p>
        </w:tc>
        <w:tc>
          <w:tcPr>
            <w:tcW w:w="438" w:type="pct"/>
            <w:vAlign w:val="bottom"/>
          </w:tcPr>
          <w:p w:rsidR="00A8556B" w:rsidRPr="0036109B" w:rsidRDefault="00A8556B" w:rsidP="00A8556B">
            <w:pPr>
              <w:jc w:val="right"/>
              <w:rPr>
                <w:rFonts w:ascii="Arial" w:hAnsi="Arial" w:cs="Arial"/>
                <w:bCs/>
                <w:iCs/>
                <w:sz w:val="18"/>
                <w:szCs w:val="20"/>
              </w:rPr>
            </w:pPr>
            <w:r w:rsidRPr="0036109B">
              <w:rPr>
                <w:rFonts w:ascii="Arial" w:hAnsi="Arial" w:cs="Arial"/>
                <w:bCs/>
                <w:iCs/>
                <w:sz w:val="18"/>
                <w:szCs w:val="20"/>
              </w:rPr>
              <w:t>2,</w:t>
            </w:r>
            <w:r w:rsidR="0036109B" w:rsidRPr="0036109B">
              <w:rPr>
                <w:rFonts w:ascii="Arial" w:hAnsi="Arial" w:cs="Arial"/>
                <w:bCs/>
                <w:iCs/>
                <w:sz w:val="18"/>
                <w:szCs w:val="20"/>
              </w:rPr>
              <w:t>2</w:t>
            </w:r>
            <w:r w:rsidR="007D4363">
              <w:rPr>
                <w:rFonts w:ascii="Arial" w:hAnsi="Arial" w:cs="Arial"/>
                <w:bCs/>
                <w:iCs/>
                <w:sz w:val="18"/>
                <w:szCs w:val="20"/>
              </w:rPr>
              <w:t>2</w:t>
            </w:r>
            <w:r w:rsidRPr="0036109B">
              <w:rPr>
                <w:rFonts w:ascii="Arial" w:hAnsi="Arial" w:cs="Arial"/>
                <w:bCs/>
                <w:iCs/>
                <w:sz w:val="18"/>
                <w:szCs w:val="20"/>
              </w:rPr>
              <w:t>%</w:t>
            </w:r>
          </w:p>
        </w:tc>
        <w:tc>
          <w:tcPr>
            <w:tcW w:w="438" w:type="pct"/>
            <w:vAlign w:val="bottom"/>
          </w:tcPr>
          <w:p w:rsidR="00A8556B" w:rsidRPr="0036109B" w:rsidRDefault="007D4363">
            <w:pPr>
              <w:jc w:val="right"/>
              <w:rPr>
                <w:rFonts w:ascii="Arial" w:hAnsi="Arial" w:cs="Arial"/>
                <w:bCs/>
                <w:iCs/>
                <w:sz w:val="18"/>
                <w:szCs w:val="20"/>
              </w:rPr>
            </w:pPr>
            <w:r>
              <w:rPr>
                <w:rFonts w:ascii="Arial" w:hAnsi="Arial" w:cs="Arial"/>
                <w:bCs/>
                <w:iCs/>
                <w:sz w:val="18"/>
                <w:szCs w:val="20"/>
              </w:rPr>
              <w:t>1,96</w:t>
            </w:r>
            <w:r w:rsidR="00A8556B" w:rsidRPr="0036109B">
              <w:rPr>
                <w:rFonts w:ascii="Arial" w:hAnsi="Arial" w:cs="Arial"/>
                <w:bCs/>
                <w:iCs/>
                <w:sz w:val="18"/>
                <w:szCs w:val="20"/>
              </w:rPr>
              <w:t>%</w:t>
            </w:r>
          </w:p>
        </w:tc>
        <w:tc>
          <w:tcPr>
            <w:tcW w:w="479" w:type="pct"/>
            <w:vAlign w:val="bottom"/>
          </w:tcPr>
          <w:p w:rsidR="00A8556B" w:rsidRPr="0036109B" w:rsidRDefault="007D4363" w:rsidP="00A8556B">
            <w:pPr>
              <w:jc w:val="right"/>
              <w:rPr>
                <w:rFonts w:ascii="Arial" w:hAnsi="Arial" w:cs="Arial"/>
                <w:bCs/>
                <w:iCs/>
                <w:sz w:val="18"/>
                <w:szCs w:val="20"/>
              </w:rPr>
            </w:pPr>
            <w:r>
              <w:rPr>
                <w:rFonts w:ascii="Arial" w:hAnsi="Arial" w:cs="Arial"/>
                <w:bCs/>
                <w:iCs/>
                <w:sz w:val="18"/>
                <w:szCs w:val="20"/>
              </w:rPr>
              <w:t>1,85</w:t>
            </w:r>
            <w:r w:rsidR="00A8556B" w:rsidRPr="0036109B">
              <w:rPr>
                <w:rFonts w:ascii="Arial" w:hAnsi="Arial" w:cs="Arial"/>
                <w:bCs/>
                <w:iCs/>
                <w:sz w:val="18"/>
                <w:szCs w:val="20"/>
              </w:rPr>
              <w:t>%</w:t>
            </w:r>
          </w:p>
        </w:tc>
        <w:tc>
          <w:tcPr>
            <w:tcW w:w="398" w:type="pct"/>
            <w:shd w:val="clear" w:color="auto" w:fill="auto"/>
            <w:noWrap/>
            <w:vAlign w:val="bottom"/>
            <w:hideMark/>
          </w:tcPr>
          <w:p w:rsidR="00A8556B" w:rsidRPr="0036109B" w:rsidRDefault="00A8556B" w:rsidP="00A8556B">
            <w:pPr>
              <w:jc w:val="right"/>
              <w:rPr>
                <w:rFonts w:ascii="Arial" w:hAnsi="Arial" w:cs="Arial"/>
                <w:bCs/>
                <w:iCs/>
                <w:sz w:val="18"/>
                <w:szCs w:val="20"/>
              </w:rPr>
            </w:pPr>
            <w:r w:rsidRPr="0036109B">
              <w:rPr>
                <w:rFonts w:ascii="Arial" w:hAnsi="Arial" w:cs="Arial"/>
                <w:bCs/>
                <w:iCs/>
                <w:sz w:val="18"/>
                <w:szCs w:val="20"/>
              </w:rPr>
              <w:t>1,</w:t>
            </w:r>
            <w:r w:rsidR="00EA2341">
              <w:rPr>
                <w:rFonts w:ascii="Arial" w:hAnsi="Arial" w:cs="Arial"/>
                <w:bCs/>
                <w:iCs/>
                <w:sz w:val="18"/>
                <w:szCs w:val="20"/>
              </w:rPr>
              <w:t>7</w:t>
            </w:r>
            <w:r w:rsidR="0036109B" w:rsidRPr="0036109B">
              <w:rPr>
                <w:rFonts w:ascii="Arial" w:hAnsi="Arial" w:cs="Arial"/>
                <w:bCs/>
                <w:iCs/>
                <w:sz w:val="18"/>
                <w:szCs w:val="20"/>
              </w:rPr>
              <w:t>8</w:t>
            </w:r>
            <w:r w:rsidRPr="0036109B">
              <w:rPr>
                <w:rFonts w:ascii="Arial" w:hAnsi="Arial" w:cs="Arial"/>
                <w:bCs/>
                <w:iCs/>
                <w:sz w:val="18"/>
                <w:szCs w:val="20"/>
              </w:rPr>
              <w:t>%</w:t>
            </w:r>
          </w:p>
        </w:tc>
        <w:tc>
          <w:tcPr>
            <w:tcW w:w="438" w:type="pct"/>
            <w:shd w:val="clear" w:color="auto" w:fill="auto"/>
            <w:noWrap/>
            <w:vAlign w:val="bottom"/>
            <w:hideMark/>
          </w:tcPr>
          <w:p w:rsidR="00A8556B" w:rsidRPr="0036109B" w:rsidRDefault="00A8556B" w:rsidP="00A8556B">
            <w:pPr>
              <w:jc w:val="right"/>
              <w:rPr>
                <w:rFonts w:ascii="Arial" w:hAnsi="Arial" w:cs="Arial"/>
                <w:bCs/>
                <w:iCs/>
                <w:sz w:val="18"/>
                <w:szCs w:val="20"/>
              </w:rPr>
            </w:pPr>
            <w:r w:rsidRPr="0036109B">
              <w:rPr>
                <w:rFonts w:ascii="Arial" w:hAnsi="Arial" w:cs="Arial"/>
                <w:bCs/>
                <w:iCs/>
                <w:sz w:val="18"/>
                <w:szCs w:val="20"/>
              </w:rPr>
              <w:t>1.7</w:t>
            </w:r>
            <w:r w:rsidR="00EA2341">
              <w:rPr>
                <w:rFonts w:ascii="Arial" w:hAnsi="Arial" w:cs="Arial"/>
                <w:bCs/>
                <w:iCs/>
                <w:sz w:val="18"/>
                <w:szCs w:val="20"/>
              </w:rPr>
              <w:t>0</w:t>
            </w:r>
            <w:r w:rsidRPr="0036109B">
              <w:rPr>
                <w:rFonts w:ascii="Arial" w:hAnsi="Arial" w:cs="Arial"/>
                <w:bCs/>
                <w:iCs/>
                <w:sz w:val="18"/>
                <w:szCs w:val="20"/>
              </w:rPr>
              <w:t>%</w:t>
            </w:r>
          </w:p>
        </w:tc>
        <w:tc>
          <w:tcPr>
            <w:tcW w:w="438" w:type="pct"/>
            <w:shd w:val="clear" w:color="auto" w:fill="auto"/>
            <w:noWrap/>
            <w:vAlign w:val="bottom"/>
            <w:hideMark/>
          </w:tcPr>
          <w:p w:rsidR="00A8556B" w:rsidRPr="0036109B" w:rsidRDefault="00A8556B" w:rsidP="00A8556B">
            <w:pPr>
              <w:jc w:val="right"/>
              <w:rPr>
                <w:rFonts w:ascii="Arial" w:hAnsi="Arial" w:cs="Arial"/>
                <w:bCs/>
                <w:iCs/>
                <w:sz w:val="18"/>
                <w:szCs w:val="20"/>
              </w:rPr>
            </w:pPr>
            <w:r w:rsidRPr="0036109B">
              <w:rPr>
                <w:rFonts w:ascii="Arial" w:hAnsi="Arial" w:cs="Arial"/>
                <w:bCs/>
                <w:iCs/>
                <w:sz w:val="18"/>
                <w:szCs w:val="20"/>
              </w:rPr>
              <w:t>1.</w:t>
            </w:r>
            <w:r w:rsidR="00EA2341">
              <w:rPr>
                <w:rFonts w:ascii="Arial" w:hAnsi="Arial" w:cs="Arial"/>
                <w:bCs/>
                <w:iCs/>
                <w:sz w:val="18"/>
                <w:szCs w:val="20"/>
              </w:rPr>
              <w:t>66</w:t>
            </w:r>
            <w:r w:rsidRPr="0036109B">
              <w:rPr>
                <w:rFonts w:ascii="Arial" w:hAnsi="Arial" w:cs="Arial"/>
                <w:bCs/>
                <w:iCs/>
                <w:sz w:val="18"/>
                <w:szCs w:val="20"/>
              </w:rPr>
              <w:t>%</w:t>
            </w:r>
          </w:p>
        </w:tc>
        <w:tc>
          <w:tcPr>
            <w:tcW w:w="430" w:type="pct"/>
            <w:shd w:val="clear" w:color="auto" w:fill="auto"/>
            <w:noWrap/>
            <w:vAlign w:val="bottom"/>
            <w:hideMark/>
          </w:tcPr>
          <w:p w:rsidR="00A8556B" w:rsidRPr="0036109B" w:rsidRDefault="00A8556B" w:rsidP="00A8556B">
            <w:pPr>
              <w:jc w:val="right"/>
              <w:rPr>
                <w:rFonts w:ascii="Arial" w:hAnsi="Arial" w:cs="Arial"/>
                <w:bCs/>
                <w:iCs/>
                <w:sz w:val="18"/>
                <w:szCs w:val="20"/>
              </w:rPr>
            </w:pPr>
            <w:r w:rsidRPr="0036109B">
              <w:rPr>
                <w:rFonts w:ascii="Arial" w:hAnsi="Arial" w:cs="Arial"/>
                <w:bCs/>
                <w:iCs/>
                <w:sz w:val="18"/>
                <w:szCs w:val="20"/>
              </w:rPr>
              <w:t>1.</w:t>
            </w:r>
            <w:r w:rsidR="00EA2341">
              <w:rPr>
                <w:rFonts w:ascii="Arial" w:hAnsi="Arial" w:cs="Arial"/>
                <w:bCs/>
                <w:iCs/>
                <w:sz w:val="18"/>
                <w:szCs w:val="20"/>
              </w:rPr>
              <w:t>60</w:t>
            </w:r>
            <w:r w:rsidRPr="0036109B">
              <w:rPr>
                <w:rFonts w:ascii="Arial" w:hAnsi="Arial" w:cs="Arial"/>
                <w:bCs/>
                <w:iCs/>
                <w:sz w:val="18"/>
                <w:szCs w:val="20"/>
              </w:rPr>
              <w:t>%</w:t>
            </w:r>
          </w:p>
        </w:tc>
      </w:tr>
    </w:tbl>
    <w:p w:rsidR="00B0742C" w:rsidRPr="0036109B" w:rsidRDefault="00B0742C" w:rsidP="000915DB">
      <w:pPr>
        <w:pStyle w:val="ListParagraph"/>
        <w:spacing w:after="120" w:line="240" w:lineRule="auto"/>
        <w:ind w:left="0"/>
        <w:jc w:val="both"/>
        <w:rPr>
          <w:rFonts w:ascii="Arial" w:eastAsia="Times New Roman" w:hAnsi="Arial" w:cs="Arial"/>
          <w:i/>
          <w:sz w:val="18"/>
        </w:rPr>
      </w:pPr>
      <w:r w:rsidRPr="00CE6659">
        <w:rPr>
          <w:rFonts w:ascii="Arial" w:hAnsi="Arial" w:cs="Arial"/>
        </w:rPr>
        <w:tab/>
      </w:r>
      <w:r w:rsidRPr="0036109B">
        <w:rPr>
          <w:rFonts w:ascii="Arial" w:hAnsi="Arial" w:cs="Arial"/>
          <w:i/>
          <w:sz w:val="18"/>
        </w:rPr>
        <w:t xml:space="preserve">Α: </w:t>
      </w:r>
      <w:r w:rsidR="00F75FB8" w:rsidRPr="0036109B">
        <w:rPr>
          <w:rFonts w:ascii="Arial" w:hAnsi="Arial" w:cs="Arial"/>
          <w:i/>
          <w:sz w:val="18"/>
        </w:rPr>
        <w:t xml:space="preserve">  </w:t>
      </w:r>
      <w:r w:rsidRPr="0036109B">
        <w:rPr>
          <w:rFonts w:ascii="Arial" w:hAnsi="Arial" w:cs="Arial"/>
          <w:i/>
          <w:sz w:val="18"/>
        </w:rPr>
        <w:t>απόδοση βάσει των αποτελεσμάτων του έτους</w:t>
      </w:r>
    </w:p>
    <w:p w:rsidR="00B0742C" w:rsidRPr="0036109B" w:rsidRDefault="00B0742C" w:rsidP="000915DB">
      <w:pPr>
        <w:pStyle w:val="ListParagraph"/>
        <w:spacing w:after="120" w:line="240" w:lineRule="auto"/>
        <w:ind w:left="0" w:firstLine="720"/>
        <w:jc w:val="both"/>
        <w:rPr>
          <w:rFonts w:ascii="Arial" w:hAnsi="Arial" w:cs="Arial"/>
          <w:i/>
          <w:sz w:val="18"/>
        </w:rPr>
      </w:pPr>
      <w:r w:rsidRPr="0036109B">
        <w:rPr>
          <w:rFonts w:ascii="Arial" w:hAnsi="Arial" w:cs="Arial"/>
          <w:i/>
          <w:sz w:val="18"/>
        </w:rPr>
        <w:t xml:space="preserve">Π: </w:t>
      </w:r>
      <w:r w:rsidR="00F75FB8" w:rsidRPr="0036109B">
        <w:rPr>
          <w:rFonts w:ascii="Arial" w:hAnsi="Arial" w:cs="Arial"/>
          <w:i/>
          <w:sz w:val="18"/>
        </w:rPr>
        <w:t xml:space="preserve">  </w:t>
      </w:r>
      <w:r w:rsidRPr="0036109B">
        <w:rPr>
          <w:rFonts w:ascii="Arial" w:hAnsi="Arial" w:cs="Arial"/>
          <w:i/>
          <w:sz w:val="18"/>
        </w:rPr>
        <w:t>απόδοση βάσει προϋπολογισμού έτους</w:t>
      </w:r>
    </w:p>
    <w:p w:rsidR="008232E8" w:rsidRPr="0036109B" w:rsidRDefault="00C27A72" w:rsidP="000915DB">
      <w:pPr>
        <w:pStyle w:val="ListParagraph"/>
        <w:spacing w:after="120" w:line="240" w:lineRule="auto"/>
        <w:ind w:left="0" w:firstLine="720"/>
        <w:jc w:val="both"/>
        <w:rPr>
          <w:rFonts w:ascii="Arial" w:hAnsi="Arial" w:cs="Arial"/>
          <w:i/>
          <w:sz w:val="18"/>
        </w:rPr>
      </w:pPr>
      <w:r w:rsidRPr="0036109B">
        <w:rPr>
          <w:rFonts w:ascii="Arial" w:hAnsi="Arial" w:cs="Arial"/>
          <w:i/>
          <w:sz w:val="18"/>
        </w:rPr>
        <w:t>6</w:t>
      </w:r>
      <w:r w:rsidR="008232E8" w:rsidRPr="0036109B">
        <w:rPr>
          <w:rFonts w:ascii="Arial" w:hAnsi="Arial" w:cs="Arial"/>
          <w:i/>
          <w:sz w:val="18"/>
        </w:rPr>
        <w:t>Μ: ετησιοποιημένη απόδοση βάσει ε</w:t>
      </w:r>
      <w:r w:rsidR="00C6074C" w:rsidRPr="0036109B">
        <w:rPr>
          <w:rFonts w:ascii="Arial" w:hAnsi="Arial" w:cs="Arial"/>
          <w:i/>
          <w:sz w:val="18"/>
        </w:rPr>
        <w:t>ξα</w:t>
      </w:r>
      <w:r w:rsidR="008232E8" w:rsidRPr="0036109B">
        <w:rPr>
          <w:rFonts w:ascii="Arial" w:hAnsi="Arial" w:cs="Arial"/>
          <w:i/>
          <w:sz w:val="18"/>
        </w:rPr>
        <w:t>μηνιαίων αποτελεσμάτων</w:t>
      </w:r>
    </w:p>
    <w:p w:rsidR="00B0742C" w:rsidRDefault="00B0742C" w:rsidP="000915DB">
      <w:pPr>
        <w:pStyle w:val="ListParagraph"/>
        <w:spacing w:after="120" w:line="240" w:lineRule="auto"/>
        <w:ind w:left="0" w:firstLine="720"/>
        <w:jc w:val="both"/>
        <w:rPr>
          <w:rFonts w:ascii="Arial" w:hAnsi="Arial" w:cs="Arial"/>
        </w:rPr>
      </w:pPr>
    </w:p>
    <w:p w:rsidR="000C1198" w:rsidRPr="00CE6659" w:rsidRDefault="000C1198" w:rsidP="000915DB">
      <w:pPr>
        <w:jc w:val="both"/>
        <w:rPr>
          <w:rFonts w:ascii="Arial" w:hAnsi="Arial" w:cs="Arial"/>
          <w:b/>
          <w:sz w:val="20"/>
          <w:szCs w:val="20"/>
          <w:u w:val="single"/>
        </w:rPr>
      </w:pPr>
      <w:r w:rsidRPr="00CE6659">
        <w:rPr>
          <w:rFonts w:ascii="Arial" w:hAnsi="Arial" w:cs="Arial"/>
          <w:b/>
          <w:sz w:val="20"/>
          <w:szCs w:val="20"/>
          <w:u w:val="single"/>
        </w:rPr>
        <w:t>Άρθρο 060</w:t>
      </w:r>
      <w:r w:rsidR="00FB5A9D" w:rsidRPr="00CE6659">
        <w:rPr>
          <w:rFonts w:ascii="Arial" w:hAnsi="Arial" w:cs="Arial"/>
          <w:b/>
          <w:sz w:val="20"/>
          <w:szCs w:val="20"/>
          <w:u w:val="single"/>
        </w:rPr>
        <w:t>2</w:t>
      </w:r>
      <w:r w:rsidRPr="00CE6659">
        <w:rPr>
          <w:rFonts w:ascii="Arial" w:hAnsi="Arial" w:cs="Arial"/>
          <w:b/>
          <w:sz w:val="20"/>
          <w:szCs w:val="20"/>
          <w:u w:val="single"/>
        </w:rPr>
        <w:t>1 «Τραπεζικοί Λογαριασμοί και Επενδύσεις»</w:t>
      </w:r>
      <w:r w:rsidR="002A3EAF" w:rsidRPr="00CE6659">
        <w:rPr>
          <w:rFonts w:ascii="Arial" w:hAnsi="Arial" w:cs="Arial"/>
          <w:b/>
          <w:sz w:val="20"/>
          <w:szCs w:val="20"/>
          <w:u w:val="single"/>
        </w:rPr>
        <w:tab/>
      </w:r>
      <w:r w:rsidR="00FB5A9D" w:rsidRPr="00CE6659">
        <w:rPr>
          <w:rFonts w:ascii="Arial" w:hAnsi="Arial" w:cs="Arial"/>
          <w:b/>
          <w:sz w:val="20"/>
          <w:szCs w:val="20"/>
          <w:u w:val="single"/>
        </w:rPr>
        <w:t>€</w:t>
      </w:r>
      <w:r w:rsidR="00416912">
        <w:rPr>
          <w:rFonts w:ascii="Arial" w:hAnsi="Arial" w:cs="Arial"/>
          <w:b/>
          <w:sz w:val="20"/>
          <w:szCs w:val="20"/>
          <w:u w:val="single"/>
        </w:rPr>
        <w:t>6.673.835</w:t>
      </w:r>
    </w:p>
    <w:p w:rsidR="000C1198" w:rsidRPr="00CE6659" w:rsidRDefault="000C1198" w:rsidP="0036109B">
      <w:pPr>
        <w:jc w:val="both"/>
        <w:rPr>
          <w:rFonts w:ascii="Arial" w:hAnsi="Arial" w:cs="Arial"/>
          <w:sz w:val="20"/>
          <w:szCs w:val="20"/>
        </w:rPr>
      </w:pPr>
      <w:r w:rsidRPr="00CE6659">
        <w:rPr>
          <w:rFonts w:ascii="Arial" w:hAnsi="Arial" w:cs="Arial"/>
          <w:sz w:val="20"/>
          <w:szCs w:val="20"/>
        </w:rPr>
        <w:t xml:space="preserve">Τα έσοδα από τόκους σε Τραπεζικούς Λογαριασμούς και Επενδύσεις, απορρέουν από τα </w:t>
      </w:r>
      <w:r w:rsidR="00216BC7" w:rsidRPr="00CE6659">
        <w:rPr>
          <w:rFonts w:ascii="Arial" w:hAnsi="Arial" w:cs="Arial"/>
          <w:sz w:val="20"/>
          <w:szCs w:val="20"/>
        </w:rPr>
        <w:t>ταμειακά διαθέσιμα και τα</w:t>
      </w:r>
      <w:r w:rsidRPr="00CE6659">
        <w:rPr>
          <w:rFonts w:ascii="Arial" w:hAnsi="Arial" w:cs="Arial"/>
          <w:sz w:val="20"/>
          <w:szCs w:val="20"/>
        </w:rPr>
        <w:t xml:space="preserve"> έντοκα χρηματοοικονομικά περιουσιακά στοιχεία. </w:t>
      </w:r>
      <w:r w:rsidR="000E6003" w:rsidRPr="000E6003">
        <w:rPr>
          <w:rFonts w:ascii="Arial" w:hAnsi="Arial" w:cs="Arial"/>
          <w:sz w:val="20"/>
          <w:szCs w:val="20"/>
        </w:rPr>
        <w:t xml:space="preserve">Οι καταθέσεις στην Κεντρική Τράπεζα της Κύπρου διατηρούνται στο επταπλάσιο ποσό των Ελάχιστων Αποθεματικών έτσι ώστε ο ΟΧΣ να εκμεταλλεύεται το μηδενικό επιτόκιο. </w:t>
      </w:r>
    </w:p>
    <w:p w:rsidR="008E3353" w:rsidRPr="00BE6D48" w:rsidRDefault="000C1198" w:rsidP="0036109B">
      <w:pPr>
        <w:jc w:val="both"/>
        <w:rPr>
          <w:rFonts w:ascii="Arial" w:hAnsi="Arial" w:cs="Arial"/>
          <w:sz w:val="20"/>
          <w:szCs w:val="20"/>
        </w:rPr>
      </w:pPr>
      <w:r w:rsidRPr="00CE6659">
        <w:rPr>
          <w:rFonts w:ascii="Arial" w:hAnsi="Arial" w:cs="Arial"/>
          <w:sz w:val="20"/>
          <w:szCs w:val="20"/>
        </w:rPr>
        <w:t xml:space="preserve">Η απόδοση από επενδύσεις μειώνεται </w:t>
      </w:r>
      <w:r w:rsidR="000E6003">
        <w:rPr>
          <w:rFonts w:ascii="Arial" w:hAnsi="Arial" w:cs="Arial"/>
          <w:sz w:val="20"/>
          <w:szCs w:val="20"/>
        </w:rPr>
        <w:t>σταδιακά</w:t>
      </w:r>
      <w:r w:rsidRPr="00CE6659">
        <w:rPr>
          <w:rFonts w:ascii="Arial" w:hAnsi="Arial" w:cs="Arial"/>
          <w:sz w:val="20"/>
          <w:szCs w:val="20"/>
        </w:rPr>
        <w:t xml:space="preserve"> και ο λόγος είναι τα χαμηλά επιτόκια που διατίθενται στην αγορά λαμβάνοντας υπόψη ότι ο Οργανισμός δεν προτίθεται να αναλάβει επιπλέον κίνδυνο για αυξημένη απόδοση.</w:t>
      </w:r>
      <w:r w:rsidR="00216BC7" w:rsidRPr="00CE6659">
        <w:rPr>
          <w:rFonts w:ascii="Arial" w:hAnsi="Arial" w:cs="Arial"/>
          <w:sz w:val="20"/>
          <w:szCs w:val="20"/>
        </w:rPr>
        <w:t xml:space="preserve"> </w:t>
      </w:r>
      <w:r w:rsidR="00B0742C" w:rsidRPr="00CE6659">
        <w:rPr>
          <w:rFonts w:ascii="Arial" w:hAnsi="Arial" w:cs="Arial"/>
          <w:sz w:val="20"/>
          <w:szCs w:val="20"/>
        </w:rPr>
        <w:t>Στον πίνακα πιο κάτω φαίνεται διαχρονικά η απόδοση από επενδύσεις</w:t>
      </w:r>
      <w:r w:rsidR="008E3353" w:rsidRPr="00CE6659">
        <w:rPr>
          <w:rFonts w:ascii="Arial" w:hAnsi="Arial" w:cs="Arial"/>
          <w:sz w:val="20"/>
          <w:szCs w:val="20"/>
        </w:rPr>
        <w:t>.</w:t>
      </w:r>
      <w:r w:rsidR="00BE6D48">
        <w:rPr>
          <w:rFonts w:ascii="Arial" w:hAnsi="Arial" w:cs="Arial"/>
          <w:sz w:val="20"/>
          <w:szCs w:val="20"/>
        </w:rPr>
        <w:t xml:space="preserve"> Σημειώνεται ότι το μεγαλύτερο μέρος των καταθέσεων σε τράπεζες φέρουν αρνητικά επιτόκια. </w:t>
      </w:r>
    </w:p>
    <w:p w:rsidR="00E24868" w:rsidRDefault="00E24868" w:rsidP="0036109B">
      <w:pPr>
        <w:jc w:val="both"/>
        <w:rPr>
          <w:rFonts w:ascii="Arial" w:hAnsi="Arial" w:cs="Arial"/>
          <w:sz w:val="20"/>
          <w:szCs w:val="20"/>
        </w:rPr>
      </w:pPr>
      <w:r>
        <w:rPr>
          <w:rFonts w:ascii="Arial" w:hAnsi="Arial" w:cs="Arial"/>
          <w:sz w:val="20"/>
          <w:szCs w:val="20"/>
        </w:rPr>
        <w:t>Σημειώνεται ότι,</w:t>
      </w:r>
      <w:r w:rsidR="00F75FB8">
        <w:rPr>
          <w:rFonts w:ascii="Arial" w:hAnsi="Arial" w:cs="Arial"/>
          <w:sz w:val="20"/>
          <w:szCs w:val="20"/>
        </w:rPr>
        <w:t xml:space="preserve"> </w:t>
      </w:r>
      <w:r w:rsidR="003F5A76">
        <w:rPr>
          <w:rFonts w:ascii="Arial" w:hAnsi="Arial" w:cs="Arial"/>
          <w:sz w:val="20"/>
          <w:szCs w:val="20"/>
        </w:rPr>
        <w:t>στον πίνακα πιο κάτω συμπεριλαμβάνεται και η απόδοση από το δάνειο στην Κυπριακή Δημοκρατία</w:t>
      </w:r>
      <w:r w:rsidRPr="00E24868">
        <w:rPr>
          <w:rFonts w:ascii="Arial" w:hAnsi="Arial" w:cs="Arial"/>
          <w:sz w:val="20"/>
          <w:szCs w:val="20"/>
        </w:rPr>
        <w:t xml:space="preserve">. Την 1η Αυγούστου 2019 ο Οργανισμός και η </w:t>
      </w:r>
      <w:r w:rsidR="00F75FB8" w:rsidRPr="00E24868">
        <w:rPr>
          <w:rFonts w:ascii="Arial" w:hAnsi="Arial" w:cs="Arial"/>
          <w:sz w:val="20"/>
          <w:szCs w:val="20"/>
        </w:rPr>
        <w:t>Κυπριακή</w:t>
      </w:r>
      <w:r w:rsidRPr="00E24868">
        <w:rPr>
          <w:rFonts w:ascii="Arial" w:hAnsi="Arial" w:cs="Arial"/>
          <w:sz w:val="20"/>
          <w:szCs w:val="20"/>
        </w:rPr>
        <w:t xml:space="preserve"> Δημοκρατία προχώρησαν στην υπογραφή σύμβασης δανείου βάσει της οποίας ο Οργανισμός παραχώρησε στην Κυπριακή Δημοκρατία δάνειο ύψους €250 εκατ. με σταθερό επιτόκιο 0,975% και διάρκεια 7 ετών.</w:t>
      </w:r>
    </w:p>
    <w:p w:rsidR="008E3353" w:rsidRDefault="008E3353" w:rsidP="0036109B">
      <w:pPr>
        <w:pStyle w:val="ListParagraph"/>
        <w:spacing w:after="120" w:line="240" w:lineRule="auto"/>
        <w:jc w:val="center"/>
        <w:rPr>
          <w:rFonts w:ascii="Arial" w:hAnsi="Arial" w:cs="Arial"/>
          <w:b/>
          <w:sz w:val="20"/>
          <w:szCs w:val="20"/>
          <w:u w:val="single"/>
        </w:rPr>
      </w:pPr>
      <w:r w:rsidRPr="00CE6659">
        <w:rPr>
          <w:rFonts w:ascii="Arial" w:hAnsi="Arial" w:cs="Arial"/>
          <w:b/>
          <w:sz w:val="20"/>
          <w:szCs w:val="20"/>
          <w:u w:val="single"/>
        </w:rPr>
        <w:t>Πίνακας: Ετησιοποιημένη Απόδοση από Επενδύσεις</w:t>
      </w:r>
    </w:p>
    <w:p w:rsidR="00A02311" w:rsidRDefault="00A02311" w:rsidP="0036109B">
      <w:pPr>
        <w:pStyle w:val="ListParagraph"/>
        <w:spacing w:after="120" w:line="240" w:lineRule="auto"/>
        <w:jc w:val="center"/>
        <w:rPr>
          <w:rFonts w:ascii="Arial" w:hAnsi="Arial" w:cs="Arial"/>
          <w:b/>
          <w:sz w:val="20"/>
          <w:szCs w:val="20"/>
          <w:u w:val="single"/>
        </w:rPr>
      </w:pPr>
    </w:p>
    <w:tbl>
      <w:tblPr>
        <w:tblW w:w="5000" w:type="pct"/>
        <w:jc w:val="center"/>
        <w:tblLook w:val="04A0" w:firstRow="1" w:lastRow="0" w:firstColumn="1" w:lastColumn="0" w:noHBand="0" w:noVBand="1"/>
      </w:tblPr>
      <w:tblGrid>
        <w:gridCol w:w="3285"/>
        <w:gridCol w:w="879"/>
        <w:gridCol w:w="879"/>
        <w:gridCol w:w="879"/>
        <w:gridCol w:w="879"/>
        <w:gridCol w:w="879"/>
        <w:gridCol w:w="879"/>
        <w:gridCol w:w="871"/>
      </w:tblGrid>
      <w:tr w:rsidR="00BD1467" w:rsidRPr="00A02311" w:rsidTr="0036109B">
        <w:trPr>
          <w:trHeight w:val="267"/>
          <w:jc w:val="center"/>
        </w:trPr>
        <w:tc>
          <w:tcPr>
            <w:tcW w:w="1742" w:type="pct"/>
            <w:tcBorders>
              <w:top w:val="nil"/>
              <w:left w:val="nil"/>
              <w:bottom w:val="nil"/>
              <w:right w:val="nil"/>
            </w:tcBorders>
            <w:shd w:val="clear" w:color="auto" w:fill="auto"/>
            <w:noWrap/>
            <w:vAlign w:val="bottom"/>
            <w:hideMark/>
          </w:tcPr>
          <w:p w:rsidR="00A8556B" w:rsidRPr="00A02311" w:rsidRDefault="00A8556B" w:rsidP="00A8556B">
            <w:pPr>
              <w:spacing w:after="0" w:line="240" w:lineRule="auto"/>
              <w:rPr>
                <w:rFonts w:ascii="Times New Roman" w:eastAsia="Times New Roman" w:hAnsi="Times New Roman" w:cs="Times New Roman"/>
                <w:sz w:val="24"/>
                <w:szCs w:val="24"/>
                <w:lang w:val="en-GB" w:eastAsia="en-GB"/>
              </w:rPr>
            </w:pPr>
          </w:p>
        </w:tc>
        <w:tc>
          <w:tcPr>
            <w:tcW w:w="466" w:type="pct"/>
            <w:tcBorders>
              <w:top w:val="nil"/>
              <w:left w:val="nil"/>
              <w:bottom w:val="nil"/>
              <w:right w:val="nil"/>
            </w:tcBorders>
            <w:vAlign w:val="center"/>
          </w:tcPr>
          <w:p w:rsidR="00A8556B" w:rsidRPr="00A02311" w:rsidRDefault="00A8556B" w:rsidP="00A8556B">
            <w:pPr>
              <w:spacing w:after="0" w:line="240" w:lineRule="auto"/>
              <w:jc w:val="center"/>
              <w:rPr>
                <w:rFonts w:ascii="Arial" w:eastAsia="Times New Roman" w:hAnsi="Arial" w:cs="Arial"/>
                <w:b/>
                <w:bCs/>
                <w:sz w:val="16"/>
                <w:szCs w:val="16"/>
                <w:u w:val="single"/>
                <w:lang w:val="en-US" w:eastAsia="en-GB"/>
              </w:rPr>
            </w:pPr>
            <w:r w:rsidRPr="00A02311">
              <w:rPr>
                <w:rFonts w:ascii="Arial" w:eastAsia="Times New Roman" w:hAnsi="Arial" w:cs="Arial"/>
                <w:b/>
                <w:bCs/>
                <w:sz w:val="16"/>
                <w:szCs w:val="16"/>
                <w:u w:val="single"/>
                <w:lang w:val="en-US" w:eastAsia="en-GB"/>
              </w:rPr>
              <w:t>20</w:t>
            </w:r>
            <w:r>
              <w:rPr>
                <w:rFonts w:ascii="Arial" w:eastAsia="Times New Roman" w:hAnsi="Arial" w:cs="Arial"/>
                <w:b/>
                <w:bCs/>
                <w:sz w:val="16"/>
                <w:szCs w:val="16"/>
                <w:u w:val="single"/>
                <w:lang w:eastAsia="en-GB"/>
              </w:rPr>
              <w:t>1</w:t>
            </w:r>
            <w:r w:rsidR="00BE6D48">
              <w:rPr>
                <w:rFonts w:ascii="Arial" w:eastAsia="Times New Roman" w:hAnsi="Arial" w:cs="Arial"/>
                <w:b/>
                <w:bCs/>
                <w:sz w:val="16"/>
                <w:szCs w:val="16"/>
                <w:u w:val="single"/>
                <w:lang w:eastAsia="en-GB"/>
              </w:rPr>
              <w:t>9</w:t>
            </w:r>
            <w:r w:rsidRPr="00A02311">
              <w:rPr>
                <w:rFonts w:ascii="Arial" w:eastAsia="Times New Roman" w:hAnsi="Arial" w:cs="Arial"/>
                <w:b/>
                <w:bCs/>
                <w:sz w:val="16"/>
                <w:szCs w:val="16"/>
                <w:u w:val="single"/>
                <w:lang w:val="en-US" w:eastAsia="en-GB"/>
              </w:rPr>
              <w:t xml:space="preserve"> Α</w:t>
            </w:r>
          </w:p>
        </w:tc>
        <w:tc>
          <w:tcPr>
            <w:tcW w:w="466" w:type="pct"/>
            <w:tcBorders>
              <w:top w:val="nil"/>
              <w:left w:val="nil"/>
              <w:bottom w:val="nil"/>
              <w:right w:val="nil"/>
            </w:tcBorders>
            <w:shd w:val="clear" w:color="auto" w:fill="auto"/>
            <w:noWrap/>
            <w:vAlign w:val="center"/>
            <w:hideMark/>
          </w:tcPr>
          <w:p w:rsidR="00A8556B" w:rsidRPr="00A02311" w:rsidRDefault="00A8556B" w:rsidP="00B603E5">
            <w:pPr>
              <w:spacing w:after="0" w:line="240" w:lineRule="auto"/>
              <w:jc w:val="center"/>
              <w:rPr>
                <w:rFonts w:ascii="Arial" w:eastAsia="Times New Roman" w:hAnsi="Arial" w:cs="Arial"/>
                <w:b/>
                <w:bCs/>
                <w:sz w:val="16"/>
                <w:szCs w:val="16"/>
                <w:u w:val="single"/>
                <w:lang w:val="en-GB" w:eastAsia="en-GB"/>
              </w:rPr>
            </w:pPr>
            <w:r w:rsidRPr="00A02311">
              <w:rPr>
                <w:rFonts w:ascii="Arial" w:eastAsia="Times New Roman" w:hAnsi="Arial" w:cs="Arial"/>
                <w:b/>
                <w:bCs/>
                <w:sz w:val="16"/>
                <w:szCs w:val="16"/>
                <w:u w:val="single"/>
                <w:lang w:val="en-US" w:eastAsia="en-GB"/>
              </w:rPr>
              <w:t>20</w:t>
            </w:r>
            <w:r w:rsidR="00BE6D48">
              <w:rPr>
                <w:rFonts w:ascii="Arial" w:eastAsia="Times New Roman" w:hAnsi="Arial" w:cs="Arial"/>
                <w:b/>
                <w:bCs/>
                <w:sz w:val="16"/>
                <w:szCs w:val="16"/>
                <w:u w:val="single"/>
                <w:lang w:eastAsia="en-GB"/>
              </w:rPr>
              <w:t>20</w:t>
            </w:r>
            <w:r w:rsidRPr="00A02311">
              <w:rPr>
                <w:rFonts w:ascii="Arial" w:eastAsia="Times New Roman" w:hAnsi="Arial" w:cs="Arial"/>
                <w:b/>
                <w:bCs/>
                <w:sz w:val="16"/>
                <w:szCs w:val="16"/>
                <w:u w:val="single"/>
                <w:lang w:val="en-US" w:eastAsia="en-GB"/>
              </w:rPr>
              <w:t xml:space="preserve"> Α</w:t>
            </w:r>
          </w:p>
        </w:tc>
        <w:tc>
          <w:tcPr>
            <w:tcW w:w="466" w:type="pct"/>
            <w:tcBorders>
              <w:top w:val="nil"/>
              <w:left w:val="nil"/>
              <w:bottom w:val="nil"/>
              <w:right w:val="nil"/>
            </w:tcBorders>
            <w:shd w:val="clear" w:color="auto" w:fill="auto"/>
            <w:vAlign w:val="center"/>
            <w:hideMark/>
          </w:tcPr>
          <w:p w:rsidR="00A8556B" w:rsidRPr="00A02311" w:rsidRDefault="001C314A" w:rsidP="00B603E5">
            <w:pPr>
              <w:spacing w:after="0" w:line="240" w:lineRule="auto"/>
              <w:jc w:val="center"/>
              <w:rPr>
                <w:rFonts w:ascii="Arial" w:eastAsia="Times New Roman" w:hAnsi="Arial" w:cs="Arial"/>
                <w:b/>
                <w:bCs/>
                <w:sz w:val="16"/>
                <w:szCs w:val="16"/>
                <w:u w:val="single"/>
                <w:lang w:val="en-GB" w:eastAsia="en-GB"/>
              </w:rPr>
            </w:pPr>
            <w:r>
              <w:rPr>
                <w:rFonts w:ascii="Arial" w:eastAsia="Times New Roman" w:hAnsi="Arial" w:cs="Arial"/>
                <w:b/>
                <w:bCs/>
                <w:sz w:val="16"/>
                <w:szCs w:val="16"/>
                <w:u w:val="single"/>
                <w:lang w:eastAsia="en-GB"/>
              </w:rPr>
              <w:t xml:space="preserve">6Μ </w:t>
            </w:r>
            <w:r w:rsidR="00A8556B" w:rsidRPr="00A02311">
              <w:rPr>
                <w:rFonts w:ascii="Arial" w:eastAsia="Times New Roman" w:hAnsi="Arial" w:cs="Arial"/>
                <w:b/>
                <w:bCs/>
                <w:sz w:val="16"/>
                <w:szCs w:val="16"/>
                <w:u w:val="single"/>
                <w:lang w:val="en-US" w:eastAsia="en-GB"/>
              </w:rPr>
              <w:t>202</w:t>
            </w:r>
            <w:r w:rsidR="00BE6D48">
              <w:rPr>
                <w:rFonts w:ascii="Arial" w:eastAsia="Times New Roman" w:hAnsi="Arial" w:cs="Arial"/>
                <w:b/>
                <w:bCs/>
                <w:sz w:val="16"/>
                <w:szCs w:val="16"/>
                <w:u w:val="single"/>
                <w:lang w:eastAsia="en-GB"/>
              </w:rPr>
              <w:t>1</w:t>
            </w:r>
            <w:r w:rsidR="00A8556B" w:rsidRPr="00A02311">
              <w:rPr>
                <w:rFonts w:ascii="Arial" w:eastAsia="Times New Roman" w:hAnsi="Arial" w:cs="Arial"/>
                <w:b/>
                <w:bCs/>
                <w:sz w:val="16"/>
                <w:szCs w:val="16"/>
                <w:u w:val="single"/>
                <w:lang w:val="en-US" w:eastAsia="en-GB"/>
              </w:rPr>
              <w:t xml:space="preserve"> Α</w:t>
            </w:r>
          </w:p>
        </w:tc>
        <w:tc>
          <w:tcPr>
            <w:tcW w:w="466" w:type="pct"/>
            <w:tcBorders>
              <w:top w:val="nil"/>
              <w:left w:val="nil"/>
              <w:bottom w:val="nil"/>
              <w:right w:val="nil"/>
            </w:tcBorders>
            <w:shd w:val="clear" w:color="auto" w:fill="auto"/>
            <w:vAlign w:val="center"/>
            <w:hideMark/>
          </w:tcPr>
          <w:p w:rsidR="00A8556B" w:rsidRPr="00A02311" w:rsidRDefault="00A8556B" w:rsidP="00B603E5">
            <w:pPr>
              <w:spacing w:after="0" w:line="240" w:lineRule="auto"/>
              <w:jc w:val="center"/>
              <w:rPr>
                <w:rFonts w:ascii="Arial" w:eastAsia="Times New Roman" w:hAnsi="Arial" w:cs="Arial"/>
                <w:b/>
                <w:bCs/>
                <w:sz w:val="16"/>
                <w:szCs w:val="16"/>
                <w:u w:val="single"/>
                <w:lang w:val="en-GB" w:eastAsia="en-GB"/>
              </w:rPr>
            </w:pPr>
            <w:r w:rsidRPr="00A02311">
              <w:rPr>
                <w:rFonts w:ascii="Arial" w:eastAsia="Times New Roman" w:hAnsi="Arial" w:cs="Arial"/>
                <w:b/>
                <w:bCs/>
                <w:sz w:val="16"/>
                <w:szCs w:val="16"/>
                <w:u w:val="single"/>
                <w:lang w:val="en-US" w:eastAsia="en-GB"/>
              </w:rPr>
              <w:t>202</w:t>
            </w:r>
            <w:r w:rsidR="00BE6D48">
              <w:rPr>
                <w:rFonts w:ascii="Arial" w:eastAsia="Times New Roman" w:hAnsi="Arial" w:cs="Arial"/>
                <w:b/>
                <w:bCs/>
                <w:sz w:val="16"/>
                <w:szCs w:val="16"/>
                <w:u w:val="single"/>
                <w:lang w:eastAsia="en-GB"/>
              </w:rPr>
              <w:t>1</w:t>
            </w:r>
            <w:r w:rsidRPr="00A02311">
              <w:rPr>
                <w:rFonts w:ascii="Arial" w:eastAsia="Times New Roman" w:hAnsi="Arial" w:cs="Arial"/>
                <w:b/>
                <w:bCs/>
                <w:sz w:val="16"/>
                <w:szCs w:val="16"/>
                <w:u w:val="single"/>
                <w:lang w:val="en-US" w:eastAsia="en-GB"/>
              </w:rPr>
              <w:t xml:space="preserve"> Π</w:t>
            </w:r>
          </w:p>
        </w:tc>
        <w:tc>
          <w:tcPr>
            <w:tcW w:w="466" w:type="pct"/>
            <w:tcBorders>
              <w:top w:val="nil"/>
              <w:left w:val="nil"/>
              <w:bottom w:val="nil"/>
              <w:right w:val="nil"/>
            </w:tcBorders>
            <w:shd w:val="clear" w:color="auto" w:fill="auto"/>
            <w:noWrap/>
            <w:vAlign w:val="center"/>
            <w:hideMark/>
          </w:tcPr>
          <w:p w:rsidR="00A8556B" w:rsidRPr="00A02311" w:rsidRDefault="00A8556B" w:rsidP="00B603E5">
            <w:pPr>
              <w:spacing w:after="0" w:line="240" w:lineRule="auto"/>
              <w:jc w:val="center"/>
              <w:rPr>
                <w:rFonts w:ascii="Arial" w:eastAsia="Times New Roman" w:hAnsi="Arial" w:cs="Arial"/>
                <w:b/>
                <w:bCs/>
                <w:sz w:val="16"/>
                <w:szCs w:val="16"/>
                <w:u w:val="single"/>
                <w:lang w:val="en-GB" w:eastAsia="en-GB"/>
              </w:rPr>
            </w:pPr>
            <w:r w:rsidRPr="00A02311">
              <w:rPr>
                <w:rFonts w:ascii="Arial" w:eastAsia="Times New Roman" w:hAnsi="Arial" w:cs="Arial"/>
                <w:b/>
                <w:bCs/>
                <w:sz w:val="16"/>
                <w:szCs w:val="16"/>
                <w:u w:val="single"/>
                <w:lang w:val="en-US" w:eastAsia="en-GB"/>
              </w:rPr>
              <w:t>202</w:t>
            </w:r>
            <w:r w:rsidR="00BE6D48">
              <w:rPr>
                <w:rFonts w:ascii="Arial" w:eastAsia="Times New Roman" w:hAnsi="Arial" w:cs="Arial"/>
                <w:b/>
                <w:bCs/>
                <w:sz w:val="16"/>
                <w:szCs w:val="16"/>
                <w:u w:val="single"/>
                <w:lang w:eastAsia="en-GB"/>
              </w:rPr>
              <w:t>2</w:t>
            </w:r>
            <w:r w:rsidRPr="00A02311">
              <w:rPr>
                <w:rFonts w:ascii="Arial" w:eastAsia="Times New Roman" w:hAnsi="Arial" w:cs="Arial"/>
                <w:b/>
                <w:bCs/>
                <w:sz w:val="16"/>
                <w:szCs w:val="16"/>
                <w:u w:val="single"/>
                <w:lang w:val="en-US" w:eastAsia="en-GB"/>
              </w:rPr>
              <w:t xml:space="preserve"> Π</w:t>
            </w:r>
          </w:p>
        </w:tc>
        <w:tc>
          <w:tcPr>
            <w:tcW w:w="466" w:type="pct"/>
            <w:tcBorders>
              <w:top w:val="nil"/>
              <w:left w:val="nil"/>
              <w:bottom w:val="nil"/>
              <w:right w:val="nil"/>
            </w:tcBorders>
            <w:shd w:val="clear" w:color="auto" w:fill="auto"/>
            <w:noWrap/>
            <w:vAlign w:val="center"/>
            <w:hideMark/>
          </w:tcPr>
          <w:p w:rsidR="00A8556B" w:rsidRPr="00A02311" w:rsidRDefault="00A8556B" w:rsidP="00B603E5">
            <w:pPr>
              <w:spacing w:after="0" w:line="240" w:lineRule="auto"/>
              <w:jc w:val="center"/>
              <w:rPr>
                <w:rFonts w:ascii="Arial" w:eastAsia="Times New Roman" w:hAnsi="Arial" w:cs="Arial"/>
                <w:b/>
                <w:bCs/>
                <w:sz w:val="16"/>
                <w:szCs w:val="16"/>
                <w:u w:val="single"/>
                <w:lang w:val="en-GB" w:eastAsia="en-GB"/>
              </w:rPr>
            </w:pPr>
            <w:r w:rsidRPr="00A02311">
              <w:rPr>
                <w:rFonts w:ascii="Arial" w:eastAsia="Times New Roman" w:hAnsi="Arial" w:cs="Arial"/>
                <w:b/>
                <w:bCs/>
                <w:sz w:val="16"/>
                <w:szCs w:val="16"/>
                <w:u w:val="single"/>
                <w:lang w:val="en-US" w:eastAsia="en-GB"/>
              </w:rPr>
              <w:t>202</w:t>
            </w:r>
            <w:r w:rsidR="00BE6D48">
              <w:rPr>
                <w:rFonts w:ascii="Arial" w:eastAsia="Times New Roman" w:hAnsi="Arial" w:cs="Arial"/>
                <w:b/>
                <w:bCs/>
                <w:sz w:val="16"/>
                <w:szCs w:val="16"/>
                <w:u w:val="single"/>
                <w:lang w:eastAsia="en-GB"/>
              </w:rPr>
              <w:t>3</w:t>
            </w:r>
            <w:r w:rsidRPr="00A02311">
              <w:rPr>
                <w:rFonts w:ascii="Arial" w:eastAsia="Times New Roman" w:hAnsi="Arial" w:cs="Arial"/>
                <w:b/>
                <w:bCs/>
                <w:sz w:val="16"/>
                <w:szCs w:val="16"/>
                <w:u w:val="single"/>
                <w:lang w:val="en-US" w:eastAsia="en-GB"/>
              </w:rPr>
              <w:t xml:space="preserve"> Π</w:t>
            </w:r>
          </w:p>
        </w:tc>
        <w:tc>
          <w:tcPr>
            <w:tcW w:w="465" w:type="pct"/>
            <w:tcBorders>
              <w:top w:val="nil"/>
              <w:left w:val="nil"/>
              <w:bottom w:val="nil"/>
              <w:right w:val="nil"/>
            </w:tcBorders>
            <w:shd w:val="clear" w:color="auto" w:fill="auto"/>
            <w:noWrap/>
            <w:vAlign w:val="center"/>
            <w:hideMark/>
          </w:tcPr>
          <w:p w:rsidR="00A8556B" w:rsidRPr="00A02311" w:rsidRDefault="00A8556B" w:rsidP="00B603E5">
            <w:pPr>
              <w:spacing w:after="0" w:line="240" w:lineRule="auto"/>
              <w:jc w:val="center"/>
              <w:rPr>
                <w:rFonts w:ascii="Arial" w:eastAsia="Times New Roman" w:hAnsi="Arial" w:cs="Arial"/>
                <w:b/>
                <w:bCs/>
                <w:sz w:val="16"/>
                <w:szCs w:val="16"/>
                <w:u w:val="single"/>
                <w:lang w:val="en-GB" w:eastAsia="en-GB"/>
              </w:rPr>
            </w:pPr>
            <w:r w:rsidRPr="00A02311">
              <w:rPr>
                <w:rFonts w:ascii="Arial" w:eastAsia="Times New Roman" w:hAnsi="Arial" w:cs="Arial"/>
                <w:b/>
                <w:bCs/>
                <w:sz w:val="16"/>
                <w:szCs w:val="16"/>
                <w:u w:val="single"/>
                <w:lang w:eastAsia="en-GB"/>
              </w:rPr>
              <w:t>202</w:t>
            </w:r>
            <w:r w:rsidR="00BE6D48">
              <w:rPr>
                <w:rFonts w:ascii="Arial" w:eastAsia="Times New Roman" w:hAnsi="Arial" w:cs="Arial"/>
                <w:b/>
                <w:bCs/>
                <w:sz w:val="16"/>
                <w:szCs w:val="16"/>
                <w:u w:val="single"/>
                <w:lang w:eastAsia="en-GB"/>
              </w:rPr>
              <w:t>4</w:t>
            </w:r>
            <w:r w:rsidRPr="00A02311">
              <w:rPr>
                <w:rFonts w:ascii="Arial" w:eastAsia="Times New Roman" w:hAnsi="Arial" w:cs="Arial"/>
                <w:b/>
                <w:bCs/>
                <w:sz w:val="16"/>
                <w:szCs w:val="16"/>
                <w:u w:val="single"/>
                <w:lang w:eastAsia="en-GB"/>
              </w:rPr>
              <w:t xml:space="preserve"> Π</w:t>
            </w:r>
          </w:p>
        </w:tc>
      </w:tr>
      <w:tr w:rsidR="00BD1467" w:rsidRPr="00A02311" w:rsidTr="0036109B">
        <w:trPr>
          <w:trHeight w:val="256"/>
          <w:jc w:val="center"/>
        </w:trPr>
        <w:tc>
          <w:tcPr>
            <w:tcW w:w="1742"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vAlign w:val="center"/>
          </w:tcPr>
          <w:p w:rsidR="00A8556B" w:rsidRPr="00A02311" w:rsidRDefault="00A8556B" w:rsidP="00A8556B">
            <w:pPr>
              <w:spacing w:after="0" w:line="240" w:lineRule="auto"/>
              <w:jc w:val="center"/>
              <w:rPr>
                <w:rFonts w:ascii="Arial" w:eastAsia="Times New Roman" w:hAnsi="Arial" w:cs="Arial"/>
                <w:b/>
                <w:bCs/>
                <w:color w:val="000000"/>
                <w:sz w:val="16"/>
                <w:lang w:eastAsia="en-GB"/>
              </w:rPr>
            </w:pPr>
            <w:r w:rsidRPr="00A02311">
              <w:rPr>
                <w:rFonts w:ascii="Arial" w:eastAsia="Times New Roman" w:hAnsi="Arial" w:cs="Arial"/>
                <w:b/>
                <w:bCs/>
                <w:color w:val="000000"/>
                <w:sz w:val="16"/>
                <w:lang w:eastAsia="en-GB"/>
              </w:rPr>
              <w:t xml:space="preserve">€ </w:t>
            </w:r>
            <w:r>
              <w:rPr>
                <w:rFonts w:ascii="Arial" w:eastAsia="Times New Roman" w:hAnsi="Arial" w:cs="Arial"/>
                <w:b/>
                <w:bCs/>
                <w:color w:val="000000"/>
                <w:sz w:val="16"/>
                <w:lang w:val="en-US" w:eastAsia="en-GB"/>
              </w:rPr>
              <w:t>00</w:t>
            </w:r>
            <w:r w:rsidRPr="00A02311">
              <w:rPr>
                <w:rFonts w:ascii="Arial" w:eastAsia="Times New Roman" w:hAnsi="Arial" w:cs="Arial"/>
                <w:b/>
                <w:bCs/>
                <w:color w:val="000000"/>
                <w:sz w:val="16"/>
                <w:lang w:eastAsia="en-GB"/>
              </w:rPr>
              <w:t>0</w:t>
            </w:r>
          </w:p>
        </w:tc>
        <w:tc>
          <w:tcPr>
            <w:tcW w:w="466" w:type="pct"/>
            <w:tcBorders>
              <w:top w:val="nil"/>
              <w:left w:val="nil"/>
              <w:bottom w:val="nil"/>
              <w:right w:val="nil"/>
            </w:tcBorders>
            <w:shd w:val="clear" w:color="000000" w:fill="D9D9D9"/>
            <w:noWrap/>
            <w:vAlign w:val="center"/>
            <w:hideMark/>
          </w:tcPr>
          <w:p w:rsidR="00A8556B" w:rsidRPr="00A02311" w:rsidRDefault="00A8556B" w:rsidP="00B603E5">
            <w:pPr>
              <w:spacing w:after="0" w:line="240" w:lineRule="auto"/>
              <w:jc w:val="center"/>
              <w:rPr>
                <w:rFonts w:ascii="Arial" w:eastAsia="Times New Roman" w:hAnsi="Arial" w:cs="Arial"/>
                <w:b/>
                <w:bCs/>
                <w:color w:val="000000"/>
                <w:sz w:val="16"/>
                <w:szCs w:val="16"/>
                <w:lang w:val="en-GB" w:eastAsia="en-GB"/>
              </w:rPr>
            </w:pPr>
            <w:r w:rsidRPr="00A02311">
              <w:rPr>
                <w:rFonts w:ascii="Arial" w:eastAsia="Times New Roman" w:hAnsi="Arial" w:cs="Arial"/>
                <w:b/>
                <w:bCs/>
                <w:color w:val="000000"/>
                <w:sz w:val="16"/>
                <w:lang w:eastAsia="en-GB"/>
              </w:rPr>
              <w:t xml:space="preserve">€ </w:t>
            </w:r>
            <w:r>
              <w:rPr>
                <w:rFonts w:ascii="Arial" w:eastAsia="Times New Roman" w:hAnsi="Arial" w:cs="Arial"/>
                <w:b/>
                <w:bCs/>
                <w:color w:val="000000"/>
                <w:sz w:val="16"/>
                <w:lang w:val="en-US" w:eastAsia="en-GB"/>
              </w:rPr>
              <w:t>00</w:t>
            </w:r>
            <w:r w:rsidRPr="00A02311">
              <w:rPr>
                <w:rFonts w:ascii="Arial" w:eastAsia="Times New Roman" w:hAnsi="Arial" w:cs="Arial"/>
                <w:b/>
                <w:bCs/>
                <w:color w:val="000000"/>
                <w:sz w:val="16"/>
                <w:lang w:eastAsia="en-GB"/>
              </w:rPr>
              <w:t>0</w:t>
            </w:r>
          </w:p>
        </w:tc>
        <w:tc>
          <w:tcPr>
            <w:tcW w:w="466" w:type="pct"/>
            <w:tcBorders>
              <w:top w:val="nil"/>
              <w:left w:val="nil"/>
              <w:bottom w:val="nil"/>
              <w:right w:val="nil"/>
            </w:tcBorders>
            <w:shd w:val="clear" w:color="000000" w:fill="D9D9D9"/>
            <w:hideMark/>
          </w:tcPr>
          <w:p w:rsidR="00A8556B" w:rsidRPr="00A02311" w:rsidRDefault="00A8556B" w:rsidP="00B603E5">
            <w:pPr>
              <w:spacing w:after="0" w:line="240" w:lineRule="auto"/>
              <w:jc w:val="center"/>
              <w:rPr>
                <w:rFonts w:ascii="Arial" w:eastAsia="Times New Roman" w:hAnsi="Arial" w:cs="Arial"/>
                <w:b/>
                <w:bCs/>
                <w:color w:val="000000"/>
                <w:sz w:val="16"/>
                <w:szCs w:val="16"/>
                <w:lang w:val="en-GB" w:eastAsia="en-GB"/>
              </w:rPr>
            </w:pPr>
            <w:r w:rsidRPr="00A02311">
              <w:rPr>
                <w:rFonts w:ascii="Arial" w:eastAsia="Times New Roman" w:hAnsi="Arial" w:cs="Arial"/>
                <w:b/>
                <w:bCs/>
                <w:color w:val="000000"/>
                <w:sz w:val="16"/>
                <w:lang w:eastAsia="en-GB"/>
              </w:rPr>
              <w:t xml:space="preserve">€ </w:t>
            </w:r>
            <w:r w:rsidRPr="00292E47">
              <w:rPr>
                <w:rFonts w:ascii="Arial" w:eastAsia="Times New Roman" w:hAnsi="Arial" w:cs="Arial"/>
                <w:b/>
                <w:bCs/>
                <w:color w:val="000000"/>
                <w:sz w:val="16"/>
                <w:lang w:val="en-US" w:eastAsia="en-GB"/>
              </w:rPr>
              <w:t>00</w:t>
            </w:r>
            <w:r w:rsidRPr="00A02311">
              <w:rPr>
                <w:rFonts w:ascii="Arial" w:eastAsia="Times New Roman" w:hAnsi="Arial" w:cs="Arial"/>
                <w:b/>
                <w:bCs/>
                <w:color w:val="000000"/>
                <w:sz w:val="16"/>
                <w:lang w:eastAsia="en-GB"/>
              </w:rPr>
              <w:t>0</w:t>
            </w:r>
          </w:p>
        </w:tc>
        <w:tc>
          <w:tcPr>
            <w:tcW w:w="466" w:type="pct"/>
            <w:tcBorders>
              <w:top w:val="nil"/>
              <w:left w:val="nil"/>
              <w:bottom w:val="nil"/>
              <w:right w:val="nil"/>
            </w:tcBorders>
            <w:shd w:val="clear" w:color="000000" w:fill="D9D9D9"/>
            <w:hideMark/>
          </w:tcPr>
          <w:p w:rsidR="00A8556B" w:rsidRPr="00A02311" w:rsidRDefault="00A8556B" w:rsidP="00B603E5">
            <w:pPr>
              <w:spacing w:after="0" w:line="240" w:lineRule="auto"/>
              <w:jc w:val="center"/>
              <w:rPr>
                <w:rFonts w:ascii="Arial" w:eastAsia="Times New Roman" w:hAnsi="Arial" w:cs="Arial"/>
                <w:b/>
                <w:bCs/>
                <w:color w:val="000000"/>
                <w:sz w:val="16"/>
                <w:szCs w:val="16"/>
                <w:lang w:val="en-GB" w:eastAsia="en-GB"/>
              </w:rPr>
            </w:pPr>
            <w:r w:rsidRPr="00A02311">
              <w:rPr>
                <w:rFonts w:ascii="Arial" w:eastAsia="Times New Roman" w:hAnsi="Arial" w:cs="Arial"/>
                <w:b/>
                <w:bCs/>
                <w:color w:val="000000"/>
                <w:sz w:val="16"/>
                <w:lang w:eastAsia="en-GB"/>
              </w:rPr>
              <w:t xml:space="preserve">€ </w:t>
            </w:r>
            <w:r w:rsidRPr="00292E47">
              <w:rPr>
                <w:rFonts w:ascii="Arial" w:eastAsia="Times New Roman" w:hAnsi="Arial" w:cs="Arial"/>
                <w:b/>
                <w:bCs/>
                <w:color w:val="000000"/>
                <w:sz w:val="16"/>
                <w:lang w:val="en-US" w:eastAsia="en-GB"/>
              </w:rPr>
              <w:t>00</w:t>
            </w:r>
            <w:r w:rsidRPr="00A02311">
              <w:rPr>
                <w:rFonts w:ascii="Arial" w:eastAsia="Times New Roman" w:hAnsi="Arial" w:cs="Arial"/>
                <w:b/>
                <w:bCs/>
                <w:color w:val="000000"/>
                <w:sz w:val="16"/>
                <w:lang w:eastAsia="en-GB"/>
              </w:rPr>
              <w:t>0</w:t>
            </w:r>
          </w:p>
        </w:tc>
        <w:tc>
          <w:tcPr>
            <w:tcW w:w="466" w:type="pct"/>
            <w:tcBorders>
              <w:top w:val="nil"/>
              <w:left w:val="nil"/>
              <w:bottom w:val="nil"/>
              <w:right w:val="nil"/>
            </w:tcBorders>
            <w:shd w:val="clear" w:color="000000" w:fill="D9D9D9"/>
            <w:noWrap/>
            <w:hideMark/>
          </w:tcPr>
          <w:p w:rsidR="00A8556B" w:rsidRPr="00A02311" w:rsidRDefault="00A8556B" w:rsidP="00B603E5">
            <w:pPr>
              <w:spacing w:after="0" w:line="240" w:lineRule="auto"/>
              <w:jc w:val="center"/>
              <w:rPr>
                <w:rFonts w:ascii="Arial" w:eastAsia="Times New Roman" w:hAnsi="Arial" w:cs="Arial"/>
                <w:b/>
                <w:bCs/>
                <w:color w:val="000000"/>
                <w:sz w:val="16"/>
                <w:szCs w:val="16"/>
                <w:lang w:val="en-GB" w:eastAsia="en-GB"/>
              </w:rPr>
            </w:pPr>
            <w:r w:rsidRPr="00A02311">
              <w:rPr>
                <w:rFonts w:ascii="Arial" w:eastAsia="Times New Roman" w:hAnsi="Arial" w:cs="Arial"/>
                <w:b/>
                <w:bCs/>
                <w:color w:val="000000"/>
                <w:sz w:val="16"/>
                <w:lang w:eastAsia="en-GB"/>
              </w:rPr>
              <w:t xml:space="preserve">€ </w:t>
            </w:r>
            <w:r w:rsidRPr="00292E47">
              <w:rPr>
                <w:rFonts w:ascii="Arial" w:eastAsia="Times New Roman" w:hAnsi="Arial" w:cs="Arial"/>
                <w:b/>
                <w:bCs/>
                <w:color w:val="000000"/>
                <w:sz w:val="16"/>
                <w:lang w:val="en-US" w:eastAsia="en-GB"/>
              </w:rPr>
              <w:t>00</w:t>
            </w:r>
            <w:r w:rsidRPr="00A02311">
              <w:rPr>
                <w:rFonts w:ascii="Arial" w:eastAsia="Times New Roman" w:hAnsi="Arial" w:cs="Arial"/>
                <w:b/>
                <w:bCs/>
                <w:color w:val="000000"/>
                <w:sz w:val="16"/>
                <w:lang w:eastAsia="en-GB"/>
              </w:rPr>
              <w:t>0</w:t>
            </w:r>
          </w:p>
        </w:tc>
        <w:tc>
          <w:tcPr>
            <w:tcW w:w="466" w:type="pct"/>
            <w:tcBorders>
              <w:top w:val="nil"/>
              <w:left w:val="nil"/>
              <w:bottom w:val="nil"/>
              <w:right w:val="nil"/>
            </w:tcBorders>
            <w:shd w:val="clear" w:color="000000" w:fill="D9D9D9"/>
            <w:noWrap/>
            <w:hideMark/>
          </w:tcPr>
          <w:p w:rsidR="00A8556B" w:rsidRPr="00A02311" w:rsidRDefault="00A8556B" w:rsidP="00B603E5">
            <w:pPr>
              <w:spacing w:after="0" w:line="240" w:lineRule="auto"/>
              <w:jc w:val="center"/>
              <w:rPr>
                <w:rFonts w:ascii="Arial" w:eastAsia="Times New Roman" w:hAnsi="Arial" w:cs="Arial"/>
                <w:b/>
                <w:bCs/>
                <w:color w:val="000000"/>
                <w:sz w:val="16"/>
                <w:szCs w:val="16"/>
                <w:lang w:val="en-GB" w:eastAsia="en-GB"/>
              </w:rPr>
            </w:pPr>
            <w:r w:rsidRPr="00A02311">
              <w:rPr>
                <w:rFonts w:ascii="Arial" w:eastAsia="Times New Roman" w:hAnsi="Arial" w:cs="Arial"/>
                <w:b/>
                <w:bCs/>
                <w:color w:val="000000"/>
                <w:sz w:val="16"/>
                <w:lang w:eastAsia="en-GB"/>
              </w:rPr>
              <w:t xml:space="preserve">€ </w:t>
            </w:r>
            <w:r w:rsidRPr="00292E47">
              <w:rPr>
                <w:rFonts w:ascii="Arial" w:eastAsia="Times New Roman" w:hAnsi="Arial" w:cs="Arial"/>
                <w:b/>
                <w:bCs/>
                <w:color w:val="000000"/>
                <w:sz w:val="16"/>
                <w:lang w:val="en-US" w:eastAsia="en-GB"/>
              </w:rPr>
              <w:t>00</w:t>
            </w:r>
            <w:r w:rsidRPr="00A02311">
              <w:rPr>
                <w:rFonts w:ascii="Arial" w:eastAsia="Times New Roman" w:hAnsi="Arial" w:cs="Arial"/>
                <w:b/>
                <w:bCs/>
                <w:color w:val="000000"/>
                <w:sz w:val="16"/>
                <w:lang w:eastAsia="en-GB"/>
              </w:rPr>
              <w:t>0</w:t>
            </w:r>
          </w:p>
        </w:tc>
        <w:tc>
          <w:tcPr>
            <w:tcW w:w="465" w:type="pct"/>
            <w:tcBorders>
              <w:top w:val="nil"/>
              <w:left w:val="nil"/>
              <w:bottom w:val="nil"/>
              <w:right w:val="nil"/>
            </w:tcBorders>
            <w:shd w:val="clear" w:color="000000" w:fill="D9D9D9"/>
            <w:noWrap/>
            <w:hideMark/>
          </w:tcPr>
          <w:p w:rsidR="00A8556B" w:rsidRPr="00A02311" w:rsidRDefault="00A8556B" w:rsidP="00B603E5">
            <w:pPr>
              <w:spacing w:after="0" w:line="240" w:lineRule="auto"/>
              <w:jc w:val="center"/>
              <w:rPr>
                <w:rFonts w:ascii="Arial" w:eastAsia="Times New Roman" w:hAnsi="Arial" w:cs="Arial"/>
                <w:b/>
                <w:bCs/>
                <w:color w:val="000000"/>
                <w:sz w:val="16"/>
                <w:szCs w:val="16"/>
                <w:lang w:val="en-GB" w:eastAsia="en-GB"/>
              </w:rPr>
            </w:pPr>
            <w:r w:rsidRPr="00A02311">
              <w:rPr>
                <w:rFonts w:ascii="Arial" w:eastAsia="Times New Roman" w:hAnsi="Arial" w:cs="Arial"/>
                <w:b/>
                <w:bCs/>
                <w:color w:val="000000"/>
                <w:sz w:val="16"/>
                <w:lang w:eastAsia="en-GB"/>
              </w:rPr>
              <w:t xml:space="preserve">€ </w:t>
            </w:r>
            <w:r w:rsidRPr="00292E47">
              <w:rPr>
                <w:rFonts w:ascii="Arial" w:eastAsia="Times New Roman" w:hAnsi="Arial" w:cs="Arial"/>
                <w:b/>
                <w:bCs/>
                <w:color w:val="000000"/>
                <w:sz w:val="16"/>
                <w:lang w:val="en-US" w:eastAsia="en-GB"/>
              </w:rPr>
              <w:t>00</w:t>
            </w:r>
            <w:r w:rsidRPr="00A02311">
              <w:rPr>
                <w:rFonts w:ascii="Arial" w:eastAsia="Times New Roman" w:hAnsi="Arial" w:cs="Arial"/>
                <w:b/>
                <w:bCs/>
                <w:color w:val="000000"/>
                <w:sz w:val="16"/>
                <w:lang w:eastAsia="en-GB"/>
              </w:rPr>
              <w:t>0</w:t>
            </w:r>
          </w:p>
        </w:tc>
      </w:tr>
      <w:tr w:rsidR="00BD1467" w:rsidRPr="00A02311" w:rsidTr="0036109B">
        <w:trPr>
          <w:trHeight w:val="256"/>
          <w:jc w:val="center"/>
        </w:trPr>
        <w:tc>
          <w:tcPr>
            <w:tcW w:w="17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xml:space="preserve">Δάνειο στην Κυπριακη Δημοκρατία </w:t>
            </w:r>
          </w:p>
        </w:tc>
        <w:tc>
          <w:tcPr>
            <w:tcW w:w="466" w:type="pct"/>
            <w:tcBorders>
              <w:top w:val="single" w:sz="8" w:space="0" w:color="auto"/>
              <w:left w:val="nil"/>
              <w:bottom w:val="single" w:sz="8" w:space="0" w:color="auto"/>
              <w:right w:val="nil"/>
            </w:tcBorders>
            <w:vAlign w:val="center"/>
          </w:tcPr>
          <w:p w:rsidR="00A8556B" w:rsidRPr="00A02311" w:rsidRDefault="004F2D5C" w:rsidP="00A8556B">
            <w:pPr>
              <w:spacing w:after="0" w:line="240" w:lineRule="auto"/>
              <w:jc w:val="right"/>
              <w:rPr>
                <w:rFonts w:ascii="Arial" w:eastAsia="Times New Roman" w:hAnsi="Arial" w:cs="Arial"/>
                <w:b/>
                <w:bCs/>
                <w:sz w:val="16"/>
                <w:szCs w:val="16"/>
                <w:lang w:val="en-US" w:eastAsia="en-GB"/>
              </w:rPr>
            </w:pPr>
            <w:r>
              <w:rPr>
                <w:rFonts w:ascii="Arial" w:eastAsia="Times New Roman" w:hAnsi="Arial" w:cs="Arial"/>
                <w:b/>
                <w:bCs/>
                <w:sz w:val="16"/>
                <w:szCs w:val="16"/>
                <w:lang w:eastAsia="en-GB"/>
              </w:rPr>
              <w:t>250.</w:t>
            </w:r>
            <w:r w:rsidR="00BE6D48">
              <w:rPr>
                <w:rFonts w:ascii="Arial" w:eastAsia="Times New Roman" w:hAnsi="Arial" w:cs="Arial"/>
                <w:b/>
                <w:bCs/>
                <w:sz w:val="16"/>
                <w:szCs w:val="16"/>
                <w:lang w:eastAsia="en-GB"/>
              </w:rPr>
              <w:t>268</w:t>
            </w:r>
          </w:p>
        </w:tc>
        <w:tc>
          <w:tcPr>
            <w:tcW w:w="466" w:type="pct"/>
            <w:tcBorders>
              <w:top w:val="single" w:sz="8" w:space="0" w:color="auto"/>
              <w:left w:val="nil"/>
              <w:bottom w:val="single" w:sz="8" w:space="0" w:color="auto"/>
              <w:right w:val="nil"/>
            </w:tcBorders>
            <w:shd w:val="clear" w:color="000000" w:fill="FFFFFF"/>
            <w:noWrap/>
            <w:vAlign w:val="center"/>
            <w:hideMark/>
          </w:tcPr>
          <w:p w:rsidR="00A8556B" w:rsidRPr="00A02311" w:rsidRDefault="004F2D5C" w:rsidP="00A8556B">
            <w:pPr>
              <w:spacing w:after="0" w:line="240" w:lineRule="auto"/>
              <w:jc w:val="right"/>
              <w:rPr>
                <w:rFonts w:ascii="Arial" w:eastAsia="Times New Roman" w:hAnsi="Arial" w:cs="Arial"/>
                <w:b/>
                <w:bCs/>
                <w:sz w:val="16"/>
                <w:szCs w:val="16"/>
                <w:lang w:val="en-GB" w:eastAsia="en-GB"/>
              </w:rPr>
            </w:pPr>
            <w:r>
              <w:rPr>
                <w:rFonts w:ascii="Arial" w:eastAsia="Times New Roman" w:hAnsi="Arial" w:cs="Arial"/>
                <w:b/>
                <w:bCs/>
                <w:sz w:val="16"/>
                <w:szCs w:val="16"/>
                <w:lang w:eastAsia="en-GB"/>
              </w:rPr>
              <w:t>250.</w:t>
            </w:r>
            <w:r w:rsidR="00BE6D48">
              <w:rPr>
                <w:rFonts w:ascii="Arial" w:eastAsia="Times New Roman" w:hAnsi="Arial" w:cs="Arial"/>
                <w:b/>
                <w:bCs/>
                <w:sz w:val="16"/>
                <w:szCs w:val="16"/>
                <w:lang w:eastAsia="en-GB"/>
              </w:rPr>
              <w:t>268</w:t>
            </w:r>
          </w:p>
        </w:tc>
        <w:tc>
          <w:tcPr>
            <w:tcW w:w="466" w:type="pct"/>
            <w:tcBorders>
              <w:top w:val="single" w:sz="8" w:space="0" w:color="auto"/>
              <w:left w:val="nil"/>
              <w:bottom w:val="single" w:sz="8" w:space="0" w:color="auto"/>
              <w:right w:val="nil"/>
            </w:tcBorders>
            <w:shd w:val="clear" w:color="000000" w:fill="FFFFFF"/>
            <w:noWrap/>
            <w:vAlign w:val="center"/>
            <w:hideMark/>
          </w:tcPr>
          <w:p w:rsidR="00A8556B" w:rsidRPr="00A02311" w:rsidRDefault="00A8556B" w:rsidP="00A8556B">
            <w:pPr>
              <w:spacing w:after="0" w:line="240" w:lineRule="auto"/>
              <w:jc w:val="right"/>
              <w:rPr>
                <w:rFonts w:ascii="Arial" w:eastAsia="Times New Roman" w:hAnsi="Arial" w:cs="Arial"/>
                <w:b/>
                <w:bCs/>
                <w:sz w:val="16"/>
                <w:szCs w:val="16"/>
                <w:lang w:val="en-GB" w:eastAsia="en-GB"/>
              </w:rPr>
            </w:pPr>
            <w:r w:rsidRPr="00A02311">
              <w:rPr>
                <w:rFonts w:ascii="Arial" w:eastAsia="Times New Roman" w:hAnsi="Arial" w:cs="Arial"/>
                <w:b/>
                <w:bCs/>
                <w:sz w:val="16"/>
                <w:szCs w:val="16"/>
                <w:lang w:val="en-US" w:eastAsia="en-GB"/>
              </w:rPr>
              <w:t>251</w:t>
            </w:r>
            <w:r w:rsidR="004F2D5C">
              <w:rPr>
                <w:rFonts w:ascii="Arial" w:eastAsia="Times New Roman" w:hAnsi="Arial" w:cs="Arial"/>
                <w:b/>
                <w:bCs/>
                <w:sz w:val="16"/>
                <w:szCs w:val="16"/>
                <w:lang w:val="en-US" w:eastAsia="en-GB"/>
              </w:rPr>
              <w:t>.</w:t>
            </w:r>
            <w:r w:rsidR="00BE6D48">
              <w:rPr>
                <w:rFonts w:ascii="Arial" w:eastAsia="Times New Roman" w:hAnsi="Arial" w:cs="Arial"/>
                <w:b/>
                <w:bCs/>
                <w:sz w:val="16"/>
                <w:szCs w:val="16"/>
                <w:lang w:eastAsia="en-GB"/>
              </w:rPr>
              <w:t>513</w:t>
            </w:r>
          </w:p>
        </w:tc>
        <w:tc>
          <w:tcPr>
            <w:tcW w:w="466" w:type="pct"/>
            <w:tcBorders>
              <w:top w:val="single" w:sz="8" w:space="0" w:color="auto"/>
              <w:left w:val="nil"/>
              <w:bottom w:val="single" w:sz="8" w:space="0" w:color="auto"/>
              <w:right w:val="nil"/>
            </w:tcBorders>
            <w:shd w:val="clear" w:color="000000" w:fill="FFFFFF"/>
            <w:noWrap/>
            <w:vAlign w:val="center"/>
            <w:hideMark/>
          </w:tcPr>
          <w:p w:rsidR="00A8556B" w:rsidRPr="00880E70" w:rsidRDefault="00A8556B" w:rsidP="00880E70">
            <w:pPr>
              <w:spacing w:after="0" w:line="240" w:lineRule="auto"/>
              <w:jc w:val="center"/>
              <w:rPr>
                <w:rFonts w:ascii="Arial" w:eastAsia="Times New Roman" w:hAnsi="Arial" w:cs="Arial"/>
                <w:b/>
                <w:bCs/>
                <w:sz w:val="16"/>
                <w:szCs w:val="16"/>
                <w:lang w:eastAsia="en-GB"/>
              </w:rPr>
            </w:pPr>
            <w:r w:rsidRPr="00A02311">
              <w:rPr>
                <w:rFonts w:ascii="Arial" w:eastAsia="Times New Roman" w:hAnsi="Arial" w:cs="Arial"/>
                <w:b/>
                <w:bCs/>
                <w:sz w:val="16"/>
                <w:szCs w:val="16"/>
                <w:lang w:val="en-US" w:eastAsia="en-GB"/>
              </w:rPr>
              <w:t>2</w:t>
            </w:r>
            <w:r w:rsidR="00BE6D48">
              <w:rPr>
                <w:rFonts w:ascii="Arial" w:eastAsia="Times New Roman" w:hAnsi="Arial" w:cs="Arial"/>
                <w:b/>
                <w:bCs/>
                <w:sz w:val="16"/>
                <w:szCs w:val="16"/>
                <w:lang w:eastAsia="en-GB"/>
              </w:rPr>
              <w:t>50</w:t>
            </w:r>
            <w:r w:rsidR="004F2D5C">
              <w:rPr>
                <w:rFonts w:ascii="Arial" w:eastAsia="Times New Roman" w:hAnsi="Arial" w:cs="Arial"/>
                <w:b/>
                <w:bCs/>
                <w:sz w:val="16"/>
                <w:szCs w:val="16"/>
                <w:lang w:val="en-US" w:eastAsia="en-GB"/>
              </w:rPr>
              <w:t>.</w:t>
            </w:r>
            <w:r w:rsidR="00BE6D48">
              <w:rPr>
                <w:rFonts w:ascii="Arial" w:eastAsia="Times New Roman" w:hAnsi="Arial" w:cs="Arial"/>
                <w:b/>
                <w:bCs/>
                <w:sz w:val="16"/>
                <w:szCs w:val="16"/>
                <w:lang w:eastAsia="en-GB"/>
              </w:rPr>
              <w:t>322</w:t>
            </w:r>
          </w:p>
        </w:tc>
        <w:tc>
          <w:tcPr>
            <w:tcW w:w="466" w:type="pct"/>
            <w:tcBorders>
              <w:top w:val="single" w:sz="8" w:space="0" w:color="auto"/>
              <w:left w:val="nil"/>
              <w:bottom w:val="single" w:sz="8" w:space="0" w:color="auto"/>
              <w:right w:val="nil"/>
            </w:tcBorders>
            <w:shd w:val="clear" w:color="000000" w:fill="FFFFFF"/>
            <w:noWrap/>
            <w:vAlign w:val="center"/>
            <w:hideMark/>
          </w:tcPr>
          <w:p w:rsidR="00A8556B" w:rsidRPr="00A02311" w:rsidRDefault="004F2D5C" w:rsidP="00880E70">
            <w:pPr>
              <w:spacing w:after="0" w:line="240" w:lineRule="auto"/>
              <w:jc w:val="center"/>
              <w:rPr>
                <w:rFonts w:ascii="Arial" w:eastAsia="Times New Roman" w:hAnsi="Arial" w:cs="Arial"/>
                <w:b/>
                <w:bCs/>
                <w:sz w:val="16"/>
                <w:szCs w:val="16"/>
                <w:lang w:val="en-GB" w:eastAsia="en-GB"/>
              </w:rPr>
            </w:pPr>
            <w:r>
              <w:rPr>
                <w:rFonts w:ascii="Arial" w:eastAsia="Times New Roman" w:hAnsi="Arial" w:cs="Arial"/>
                <w:b/>
                <w:bCs/>
                <w:sz w:val="16"/>
                <w:szCs w:val="16"/>
                <w:lang w:val="en-US" w:eastAsia="en-GB"/>
              </w:rPr>
              <w:t>250.</w:t>
            </w:r>
            <w:r w:rsidR="00BE6D48" w:rsidRPr="00BE6D48">
              <w:rPr>
                <w:rFonts w:ascii="Arial" w:eastAsia="Times New Roman" w:hAnsi="Arial" w:cs="Arial"/>
                <w:b/>
                <w:bCs/>
                <w:sz w:val="16"/>
                <w:szCs w:val="16"/>
                <w:lang w:val="en-US" w:eastAsia="en-GB"/>
              </w:rPr>
              <w:t>322</w:t>
            </w:r>
          </w:p>
        </w:tc>
        <w:tc>
          <w:tcPr>
            <w:tcW w:w="466" w:type="pct"/>
            <w:tcBorders>
              <w:top w:val="single" w:sz="8" w:space="0" w:color="auto"/>
              <w:left w:val="nil"/>
              <w:bottom w:val="single" w:sz="8" w:space="0" w:color="auto"/>
              <w:right w:val="nil"/>
            </w:tcBorders>
            <w:shd w:val="clear" w:color="000000" w:fill="FFFFFF"/>
            <w:noWrap/>
            <w:vAlign w:val="center"/>
            <w:hideMark/>
          </w:tcPr>
          <w:p w:rsidR="00A8556B" w:rsidRPr="00A02311" w:rsidRDefault="004F2D5C" w:rsidP="00880E70">
            <w:pPr>
              <w:spacing w:after="0" w:line="240" w:lineRule="auto"/>
              <w:jc w:val="center"/>
              <w:rPr>
                <w:rFonts w:ascii="Arial" w:eastAsia="Times New Roman" w:hAnsi="Arial" w:cs="Arial"/>
                <w:b/>
                <w:bCs/>
                <w:sz w:val="16"/>
                <w:szCs w:val="16"/>
                <w:lang w:val="en-GB" w:eastAsia="en-GB"/>
              </w:rPr>
            </w:pPr>
            <w:r>
              <w:rPr>
                <w:rFonts w:ascii="Arial" w:eastAsia="Times New Roman" w:hAnsi="Arial" w:cs="Arial"/>
                <w:b/>
                <w:bCs/>
                <w:sz w:val="16"/>
                <w:szCs w:val="16"/>
                <w:lang w:val="en-US" w:eastAsia="en-GB"/>
              </w:rPr>
              <w:t>250.</w:t>
            </w:r>
            <w:r w:rsidR="00BE6D48" w:rsidRPr="00BE6D48">
              <w:rPr>
                <w:rFonts w:ascii="Arial" w:eastAsia="Times New Roman" w:hAnsi="Arial" w:cs="Arial"/>
                <w:b/>
                <w:bCs/>
                <w:sz w:val="16"/>
                <w:szCs w:val="16"/>
                <w:lang w:val="en-US" w:eastAsia="en-GB"/>
              </w:rPr>
              <w:t>322</w:t>
            </w:r>
          </w:p>
        </w:tc>
        <w:tc>
          <w:tcPr>
            <w:tcW w:w="465" w:type="pct"/>
            <w:tcBorders>
              <w:top w:val="single" w:sz="8" w:space="0" w:color="auto"/>
              <w:left w:val="nil"/>
              <w:bottom w:val="single" w:sz="8" w:space="0" w:color="auto"/>
              <w:right w:val="nil"/>
            </w:tcBorders>
            <w:shd w:val="clear" w:color="000000" w:fill="FFFFFF"/>
            <w:noWrap/>
            <w:vAlign w:val="center"/>
            <w:hideMark/>
          </w:tcPr>
          <w:p w:rsidR="00A8556B" w:rsidRPr="00A02311" w:rsidRDefault="004F2D5C" w:rsidP="00A8556B">
            <w:pPr>
              <w:spacing w:after="0" w:line="240" w:lineRule="auto"/>
              <w:jc w:val="right"/>
              <w:rPr>
                <w:rFonts w:ascii="Arial" w:eastAsia="Times New Roman" w:hAnsi="Arial" w:cs="Arial"/>
                <w:b/>
                <w:bCs/>
                <w:sz w:val="16"/>
                <w:szCs w:val="16"/>
                <w:lang w:val="en-GB" w:eastAsia="en-GB"/>
              </w:rPr>
            </w:pPr>
            <w:r>
              <w:rPr>
                <w:rFonts w:ascii="Arial" w:eastAsia="Times New Roman" w:hAnsi="Arial" w:cs="Arial"/>
                <w:b/>
                <w:bCs/>
                <w:sz w:val="16"/>
                <w:szCs w:val="16"/>
                <w:lang w:val="en-US" w:eastAsia="en-GB"/>
              </w:rPr>
              <w:t>250.</w:t>
            </w:r>
            <w:r w:rsidR="00BE6D48" w:rsidRPr="00BE6D48">
              <w:rPr>
                <w:rFonts w:ascii="Arial" w:eastAsia="Times New Roman" w:hAnsi="Arial" w:cs="Arial"/>
                <w:b/>
                <w:bCs/>
                <w:sz w:val="16"/>
                <w:szCs w:val="16"/>
                <w:lang w:val="en-US" w:eastAsia="en-GB"/>
              </w:rPr>
              <w:t>322</w:t>
            </w:r>
          </w:p>
        </w:tc>
      </w:tr>
      <w:tr w:rsidR="00BD1467" w:rsidRPr="00A02311" w:rsidTr="0036109B">
        <w:trPr>
          <w:trHeight w:val="256"/>
          <w:jc w:val="center"/>
        </w:trPr>
        <w:tc>
          <w:tcPr>
            <w:tcW w:w="1742" w:type="pct"/>
            <w:tcBorders>
              <w:top w:val="nil"/>
              <w:left w:val="single" w:sz="8" w:space="0" w:color="auto"/>
              <w:bottom w:val="single" w:sz="8" w:space="0" w:color="auto"/>
              <w:right w:val="single" w:sz="8" w:space="0" w:color="auto"/>
            </w:tcBorders>
            <w:shd w:val="clear" w:color="auto" w:fill="auto"/>
            <w:noWrap/>
            <w:vAlign w:val="center"/>
            <w:hideMark/>
          </w:tcPr>
          <w:p w:rsidR="0036109B" w:rsidRPr="00A02311" w:rsidRDefault="0036109B" w:rsidP="0036109B">
            <w:pPr>
              <w:spacing w:after="0" w:line="240" w:lineRule="auto"/>
              <w:rPr>
                <w:rFonts w:ascii="Arial" w:eastAsia="Times New Roman" w:hAnsi="Arial" w:cs="Arial"/>
                <w:i/>
                <w:iCs/>
                <w:sz w:val="16"/>
                <w:szCs w:val="16"/>
                <w:lang w:val="en-GB" w:eastAsia="en-GB"/>
              </w:rPr>
            </w:pPr>
            <w:r w:rsidRPr="00A02311">
              <w:rPr>
                <w:rFonts w:ascii="Arial" w:eastAsia="Times New Roman" w:hAnsi="Arial" w:cs="Arial"/>
                <w:i/>
                <w:iCs/>
                <w:sz w:val="16"/>
                <w:szCs w:val="20"/>
                <w:lang w:eastAsia="en-GB"/>
              </w:rPr>
              <w:t xml:space="preserve">   Απόδοση</w:t>
            </w:r>
          </w:p>
        </w:tc>
        <w:tc>
          <w:tcPr>
            <w:tcW w:w="466" w:type="pct"/>
            <w:tcBorders>
              <w:top w:val="nil"/>
              <w:left w:val="nil"/>
              <w:bottom w:val="single" w:sz="8" w:space="0" w:color="auto"/>
              <w:right w:val="nil"/>
            </w:tcBorders>
            <w:vAlign w:val="center"/>
          </w:tcPr>
          <w:p w:rsidR="0036109B" w:rsidRPr="00A02311" w:rsidRDefault="0036109B" w:rsidP="0036109B">
            <w:pPr>
              <w:spacing w:after="0" w:line="240" w:lineRule="auto"/>
              <w:jc w:val="right"/>
              <w:rPr>
                <w:rFonts w:ascii="Arial" w:eastAsia="Times New Roman" w:hAnsi="Arial" w:cs="Arial"/>
                <w:sz w:val="16"/>
                <w:szCs w:val="16"/>
                <w:lang w:val="en-US" w:eastAsia="en-GB"/>
              </w:rPr>
            </w:pPr>
            <w:r w:rsidRPr="00A02311">
              <w:rPr>
                <w:rFonts w:ascii="Arial" w:eastAsia="Times New Roman" w:hAnsi="Arial" w:cs="Arial"/>
                <w:sz w:val="16"/>
                <w:szCs w:val="16"/>
                <w:lang w:val="en-US" w:eastAsia="en-GB"/>
              </w:rPr>
              <w:t> </w:t>
            </w:r>
          </w:p>
        </w:tc>
        <w:tc>
          <w:tcPr>
            <w:tcW w:w="466" w:type="pct"/>
            <w:tcBorders>
              <w:top w:val="nil"/>
              <w:left w:val="nil"/>
              <w:bottom w:val="single" w:sz="8" w:space="0" w:color="auto"/>
              <w:right w:val="nil"/>
            </w:tcBorders>
            <w:shd w:val="clear" w:color="000000" w:fill="FFFFFF"/>
            <w:noWrap/>
            <w:vAlign w:val="center"/>
            <w:hideMark/>
          </w:tcPr>
          <w:p w:rsidR="0036109B" w:rsidRPr="00A02311" w:rsidRDefault="0036109B" w:rsidP="0036109B">
            <w:pPr>
              <w:spacing w:after="0" w:line="240" w:lineRule="auto"/>
              <w:jc w:val="right"/>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single" w:sz="8" w:space="0" w:color="auto"/>
              <w:right w:val="nil"/>
            </w:tcBorders>
            <w:shd w:val="clear" w:color="000000" w:fill="FFFFFF"/>
            <w:vAlign w:val="center"/>
            <w:hideMark/>
          </w:tcPr>
          <w:p w:rsidR="0036109B" w:rsidRPr="00A02311" w:rsidRDefault="0036109B" w:rsidP="0036109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eastAsia="en-GB"/>
              </w:rPr>
              <w:t>0,9</w:t>
            </w:r>
            <w:r>
              <w:rPr>
                <w:rFonts w:ascii="Arial" w:eastAsia="Times New Roman" w:hAnsi="Arial" w:cs="Arial"/>
                <w:i/>
                <w:iCs/>
                <w:sz w:val="16"/>
                <w:szCs w:val="16"/>
                <w:lang w:eastAsia="en-GB"/>
              </w:rPr>
              <w:t>75</w:t>
            </w:r>
            <w:r w:rsidRPr="00A02311">
              <w:rPr>
                <w:rFonts w:ascii="Arial" w:eastAsia="Times New Roman" w:hAnsi="Arial" w:cs="Arial"/>
                <w:i/>
                <w:iCs/>
                <w:sz w:val="16"/>
                <w:szCs w:val="16"/>
                <w:lang w:eastAsia="en-GB"/>
              </w:rPr>
              <w:t>%</w:t>
            </w:r>
          </w:p>
        </w:tc>
        <w:tc>
          <w:tcPr>
            <w:tcW w:w="466" w:type="pct"/>
            <w:tcBorders>
              <w:top w:val="nil"/>
              <w:left w:val="nil"/>
              <w:bottom w:val="single" w:sz="8" w:space="0" w:color="auto"/>
              <w:right w:val="nil"/>
            </w:tcBorders>
            <w:shd w:val="clear" w:color="000000" w:fill="FFFFFF"/>
            <w:vAlign w:val="center"/>
            <w:hideMark/>
          </w:tcPr>
          <w:p w:rsidR="0036109B" w:rsidRPr="0036109B" w:rsidRDefault="0036109B" w:rsidP="0036109B">
            <w:pPr>
              <w:spacing w:after="0" w:line="240" w:lineRule="auto"/>
              <w:jc w:val="right"/>
              <w:rPr>
                <w:rFonts w:ascii="Arial" w:eastAsia="Times New Roman" w:hAnsi="Arial" w:cs="Arial"/>
                <w:b/>
                <w:i/>
                <w:iCs/>
                <w:sz w:val="16"/>
                <w:szCs w:val="16"/>
                <w:lang w:val="en-GB" w:eastAsia="en-GB"/>
              </w:rPr>
            </w:pPr>
            <w:r w:rsidRPr="00A02311">
              <w:rPr>
                <w:rFonts w:ascii="Arial" w:eastAsia="Times New Roman" w:hAnsi="Arial" w:cs="Arial"/>
                <w:i/>
                <w:iCs/>
                <w:sz w:val="16"/>
                <w:szCs w:val="16"/>
                <w:lang w:eastAsia="en-GB"/>
              </w:rPr>
              <w:t>0,9</w:t>
            </w:r>
            <w:r>
              <w:rPr>
                <w:rFonts w:ascii="Arial" w:eastAsia="Times New Roman" w:hAnsi="Arial" w:cs="Arial"/>
                <w:i/>
                <w:iCs/>
                <w:sz w:val="16"/>
                <w:szCs w:val="16"/>
                <w:lang w:eastAsia="en-GB"/>
              </w:rPr>
              <w:t>75</w:t>
            </w:r>
            <w:r w:rsidRPr="00A02311">
              <w:rPr>
                <w:rFonts w:ascii="Arial" w:eastAsia="Times New Roman" w:hAnsi="Arial" w:cs="Arial"/>
                <w:i/>
                <w:iCs/>
                <w:sz w:val="16"/>
                <w:szCs w:val="16"/>
                <w:lang w:eastAsia="en-GB"/>
              </w:rPr>
              <w:t>%</w:t>
            </w:r>
          </w:p>
        </w:tc>
        <w:tc>
          <w:tcPr>
            <w:tcW w:w="466" w:type="pct"/>
            <w:tcBorders>
              <w:top w:val="nil"/>
              <w:left w:val="nil"/>
              <w:bottom w:val="single" w:sz="8" w:space="0" w:color="auto"/>
              <w:right w:val="nil"/>
            </w:tcBorders>
            <w:shd w:val="clear" w:color="000000" w:fill="FFFFFF"/>
            <w:noWrap/>
            <w:vAlign w:val="center"/>
            <w:hideMark/>
          </w:tcPr>
          <w:p w:rsidR="0036109B" w:rsidRPr="0036109B" w:rsidRDefault="0036109B" w:rsidP="0036109B">
            <w:pPr>
              <w:spacing w:after="0" w:line="240" w:lineRule="auto"/>
              <w:jc w:val="right"/>
              <w:rPr>
                <w:rFonts w:ascii="Arial" w:eastAsia="Times New Roman" w:hAnsi="Arial" w:cs="Arial"/>
                <w:b/>
                <w:i/>
                <w:iCs/>
                <w:sz w:val="16"/>
                <w:szCs w:val="16"/>
                <w:lang w:val="en-GB" w:eastAsia="en-GB"/>
              </w:rPr>
            </w:pPr>
            <w:r w:rsidRPr="00A02311">
              <w:rPr>
                <w:rFonts w:ascii="Arial" w:eastAsia="Times New Roman" w:hAnsi="Arial" w:cs="Arial"/>
                <w:i/>
                <w:iCs/>
                <w:sz w:val="16"/>
                <w:szCs w:val="16"/>
                <w:lang w:eastAsia="en-GB"/>
              </w:rPr>
              <w:t>0,9</w:t>
            </w:r>
            <w:r>
              <w:rPr>
                <w:rFonts w:ascii="Arial" w:eastAsia="Times New Roman" w:hAnsi="Arial" w:cs="Arial"/>
                <w:i/>
                <w:iCs/>
                <w:sz w:val="16"/>
                <w:szCs w:val="16"/>
                <w:lang w:eastAsia="en-GB"/>
              </w:rPr>
              <w:t>75</w:t>
            </w:r>
            <w:r w:rsidRPr="00A02311">
              <w:rPr>
                <w:rFonts w:ascii="Arial" w:eastAsia="Times New Roman" w:hAnsi="Arial" w:cs="Arial"/>
                <w:i/>
                <w:iCs/>
                <w:sz w:val="16"/>
                <w:szCs w:val="16"/>
                <w:lang w:eastAsia="en-GB"/>
              </w:rPr>
              <w:t>%</w:t>
            </w:r>
          </w:p>
        </w:tc>
        <w:tc>
          <w:tcPr>
            <w:tcW w:w="466" w:type="pct"/>
            <w:tcBorders>
              <w:top w:val="nil"/>
              <w:left w:val="nil"/>
              <w:bottom w:val="single" w:sz="8" w:space="0" w:color="auto"/>
              <w:right w:val="nil"/>
            </w:tcBorders>
            <w:shd w:val="clear" w:color="000000" w:fill="FFFFFF"/>
            <w:noWrap/>
            <w:vAlign w:val="center"/>
            <w:hideMark/>
          </w:tcPr>
          <w:p w:rsidR="0036109B" w:rsidRPr="0036109B" w:rsidRDefault="0036109B" w:rsidP="0036109B">
            <w:pPr>
              <w:spacing w:after="0" w:line="240" w:lineRule="auto"/>
              <w:jc w:val="right"/>
              <w:rPr>
                <w:rFonts w:ascii="Arial" w:eastAsia="Times New Roman" w:hAnsi="Arial" w:cs="Arial"/>
                <w:b/>
                <w:i/>
                <w:iCs/>
                <w:sz w:val="16"/>
                <w:szCs w:val="16"/>
                <w:lang w:val="en-GB" w:eastAsia="en-GB"/>
              </w:rPr>
            </w:pPr>
            <w:r w:rsidRPr="00A02311">
              <w:rPr>
                <w:rFonts w:ascii="Arial" w:eastAsia="Times New Roman" w:hAnsi="Arial" w:cs="Arial"/>
                <w:i/>
                <w:iCs/>
                <w:sz w:val="16"/>
                <w:szCs w:val="16"/>
                <w:lang w:eastAsia="en-GB"/>
              </w:rPr>
              <w:t>0,9</w:t>
            </w:r>
            <w:r>
              <w:rPr>
                <w:rFonts w:ascii="Arial" w:eastAsia="Times New Roman" w:hAnsi="Arial" w:cs="Arial"/>
                <w:i/>
                <w:iCs/>
                <w:sz w:val="16"/>
                <w:szCs w:val="16"/>
                <w:lang w:eastAsia="en-GB"/>
              </w:rPr>
              <w:t>75</w:t>
            </w:r>
            <w:r w:rsidRPr="00A02311">
              <w:rPr>
                <w:rFonts w:ascii="Arial" w:eastAsia="Times New Roman" w:hAnsi="Arial" w:cs="Arial"/>
                <w:i/>
                <w:iCs/>
                <w:sz w:val="16"/>
                <w:szCs w:val="16"/>
                <w:lang w:eastAsia="en-GB"/>
              </w:rPr>
              <w:t>%</w:t>
            </w:r>
          </w:p>
        </w:tc>
        <w:tc>
          <w:tcPr>
            <w:tcW w:w="465" w:type="pct"/>
            <w:tcBorders>
              <w:top w:val="nil"/>
              <w:left w:val="nil"/>
              <w:bottom w:val="single" w:sz="8" w:space="0" w:color="auto"/>
              <w:right w:val="nil"/>
            </w:tcBorders>
            <w:shd w:val="clear" w:color="000000" w:fill="FFFFFF"/>
            <w:noWrap/>
            <w:vAlign w:val="center"/>
            <w:hideMark/>
          </w:tcPr>
          <w:p w:rsidR="0036109B" w:rsidRPr="0036109B" w:rsidRDefault="0036109B" w:rsidP="0036109B">
            <w:pPr>
              <w:spacing w:after="0" w:line="240" w:lineRule="auto"/>
              <w:jc w:val="right"/>
              <w:rPr>
                <w:rFonts w:ascii="Arial" w:eastAsia="Times New Roman" w:hAnsi="Arial" w:cs="Arial"/>
                <w:b/>
                <w:i/>
                <w:iCs/>
                <w:sz w:val="16"/>
                <w:szCs w:val="16"/>
                <w:lang w:val="en-GB" w:eastAsia="en-GB"/>
              </w:rPr>
            </w:pPr>
            <w:r w:rsidRPr="00A02311">
              <w:rPr>
                <w:rFonts w:ascii="Arial" w:eastAsia="Times New Roman" w:hAnsi="Arial" w:cs="Arial"/>
                <w:i/>
                <w:iCs/>
                <w:sz w:val="16"/>
                <w:szCs w:val="16"/>
                <w:lang w:eastAsia="en-GB"/>
              </w:rPr>
              <w:t>0,9</w:t>
            </w:r>
            <w:r>
              <w:rPr>
                <w:rFonts w:ascii="Arial" w:eastAsia="Times New Roman" w:hAnsi="Arial" w:cs="Arial"/>
                <w:i/>
                <w:iCs/>
                <w:sz w:val="16"/>
                <w:szCs w:val="16"/>
                <w:lang w:eastAsia="en-GB"/>
              </w:rPr>
              <w:t>75</w:t>
            </w:r>
            <w:r w:rsidRPr="00A02311">
              <w:rPr>
                <w:rFonts w:ascii="Arial" w:eastAsia="Times New Roman" w:hAnsi="Arial" w:cs="Arial"/>
                <w:i/>
                <w:iCs/>
                <w:sz w:val="16"/>
                <w:szCs w:val="16"/>
                <w:lang w:eastAsia="en-GB"/>
              </w:rPr>
              <w:t>%</w:t>
            </w:r>
          </w:p>
        </w:tc>
      </w:tr>
      <w:tr w:rsidR="00BD1467" w:rsidRPr="00A02311" w:rsidTr="0036109B">
        <w:trPr>
          <w:trHeight w:val="244"/>
          <w:jc w:val="center"/>
        </w:trPr>
        <w:tc>
          <w:tcPr>
            <w:tcW w:w="1742"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vAlign w:val="center"/>
          </w:tcPr>
          <w:p w:rsidR="00A8556B" w:rsidRPr="00A02311" w:rsidRDefault="00A8556B" w:rsidP="00A8556B">
            <w:pPr>
              <w:spacing w:after="0" w:line="240" w:lineRule="auto"/>
              <w:rPr>
                <w:rFonts w:ascii="Arial" w:eastAsia="Times New Roman" w:hAnsi="Arial" w:cs="Arial"/>
                <w:sz w:val="16"/>
                <w:szCs w:val="16"/>
                <w:lang w:val="en-US"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5"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r>
      <w:tr w:rsidR="00BD1467" w:rsidRPr="00A02311" w:rsidTr="0036109B">
        <w:trPr>
          <w:trHeight w:val="244"/>
          <w:jc w:val="center"/>
        </w:trPr>
        <w:tc>
          <w:tcPr>
            <w:tcW w:w="1742" w:type="pct"/>
            <w:tcBorders>
              <w:top w:val="nil"/>
              <w:left w:val="single" w:sz="8" w:space="0" w:color="auto"/>
              <w:bottom w:val="nil"/>
              <w:right w:val="single" w:sz="8" w:space="0" w:color="auto"/>
            </w:tcBorders>
            <w:shd w:val="clear" w:color="auto" w:fill="auto"/>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Καταθέσεις σε τράπεζες</w:t>
            </w:r>
          </w:p>
        </w:tc>
        <w:tc>
          <w:tcPr>
            <w:tcW w:w="466" w:type="pct"/>
            <w:tcBorders>
              <w:top w:val="nil"/>
              <w:left w:val="nil"/>
              <w:bottom w:val="nil"/>
              <w:right w:val="nil"/>
            </w:tcBorders>
            <w:vAlign w:val="center"/>
          </w:tcPr>
          <w:p w:rsidR="00A8556B" w:rsidRPr="00A02311" w:rsidRDefault="00A8556B" w:rsidP="00A8556B">
            <w:pPr>
              <w:spacing w:after="0" w:line="240" w:lineRule="auto"/>
              <w:jc w:val="right"/>
              <w:rPr>
                <w:rFonts w:ascii="Arial" w:eastAsia="Times New Roman" w:hAnsi="Arial" w:cs="Arial"/>
                <w:sz w:val="16"/>
                <w:szCs w:val="16"/>
                <w:lang w:val="en-US" w:eastAsia="en-GB"/>
              </w:rPr>
            </w:pPr>
            <w:r w:rsidRPr="00A02311">
              <w:rPr>
                <w:rFonts w:ascii="Arial" w:eastAsia="Times New Roman" w:hAnsi="Arial" w:cs="Arial"/>
                <w:sz w:val="16"/>
                <w:szCs w:val="16"/>
                <w:lang w:val="en-US" w:eastAsia="en-GB"/>
              </w:rPr>
              <w:t>1</w:t>
            </w:r>
            <w:r w:rsidR="004F2D5C">
              <w:rPr>
                <w:rFonts w:ascii="Arial" w:eastAsia="Times New Roman" w:hAnsi="Arial" w:cs="Arial"/>
                <w:sz w:val="16"/>
                <w:szCs w:val="16"/>
                <w:lang w:eastAsia="en-GB"/>
              </w:rPr>
              <w:t>27.</w:t>
            </w:r>
            <w:r w:rsidR="00BD1467">
              <w:rPr>
                <w:rFonts w:ascii="Arial" w:eastAsia="Times New Roman" w:hAnsi="Arial" w:cs="Arial"/>
                <w:sz w:val="16"/>
                <w:szCs w:val="16"/>
                <w:lang w:eastAsia="en-GB"/>
              </w:rPr>
              <w:t>214</w:t>
            </w:r>
          </w:p>
        </w:tc>
        <w:tc>
          <w:tcPr>
            <w:tcW w:w="466" w:type="pct"/>
            <w:tcBorders>
              <w:top w:val="nil"/>
              <w:left w:val="nil"/>
              <w:bottom w:val="nil"/>
              <w:right w:val="nil"/>
            </w:tcBorders>
            <w:shd w:val="clear" w:color="000000" w:fill="FFFFFF"/>
            <w:noWrap/>
            <w:vAlign w:val="center"/>
            <w:hideMark/>
          </w:tcPr>
          <w:p w:rsidR="00A8556B" w:rsidRPr="00B603E5" w:rsidRDefault="004F2D5C" w:rsidP="00A8556B">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81.</w:t>
            </w:r>
            <w:r w:rsidR="00BD1467">
              <w:rPr>
                <w:rFonts w:ascii="Arial" w:eastAsia="Times New Roman" w:hAnsi="Arial" w:cs="Arial"/>
                <w:sz w:val="16"/>
                <w:szCs w:val="16"/>
                <w:lang w:eastAsia="en-GB"/>
              </w:rPr>
              <w:t>610</w:t>
            </w:r>
          </w:p>
        </w:tc>
        <w:tc>
          <w:tcPr>
            <w:tcW w:w="466" w:type="pct"/>
            <w:tcBorders>
              <w:top w:val="nil"/>
              <w:left w:val="nil"/>
              <w:bottom w:val="nil"/>
              <w:right w:val="nil"/>
            </w:tcBorders>
            <w:shd w:val="clear" w:color="000000" w:fill="FFFFFF"/>
            <w:vAlign w:val="center"/>
            <w:hideMark/>
          </w:tcPr>
          <w:p w:rsidR="00A8556B" w:rsidRPr="00A02311" w:rsidRDefault="004F2D5C" w:rsidP="00A8556B">
            <w:pPr>
              <w:spacing w:after="0" w:line="240" w:lineRule="auto"/>
              <w:jc w:val="right"/>
              <w:rPr>
                <w:rFonts w:ascii="Arial" w:eastAsia="Times New Roman" w:hAnsi="Arial" w:cs="Arial"/>
                <w:sz w:val="16"/>
                <w:szCs w:val="16"/>
                <w:lang w:val="en-GB" w:eastAsia="en-GB"/>
              </w:rPr>
            </w:pPr>
            <w:r>
              <w:rPr>
                <w:rFonts w:ascii="Arial" w:eastAsia="Times New Roman" w:hAnsi="Arial" w:cs="Arial"/>
                <w:sz w:val="16"/>
                <w:szCs w:val="16"/>
                <w:lang w:eastAsia="en-GB"/>
              </w:rPr>
              <w:t>90.</w:t>
            </w:r>
            <w:r w:rsidR="00BD1467">
              <w:rPr>
                <w:rFonts w:ascii="Arial" w:eastAsia="Times New Roman" w:hAnsi="Arial" w:cs="Arial"/>
                <w:sz w:val="16"/>
                <w:szCs w:val="16"/>
                <w:lang w:eastAsia="en-GB"/>
              </w:rPr>
              <w:t>622</w:t>
            </w:r>
          </w:p>
        </w:tc>
        <w:tc>
          <w:tcPr>
            <w:tcW w:w="466" w:type="pct"/>
            <w:tcBorders>
              <w:top w:val="nil"/>
              <w:left w:val="nil"/>
              <w:bottom w:val="nil"/>
              <w:right w:val="nil"/>
            </w:tcBorders>
            <w:shd w:val="clear" w:color="000000" w:fill="FFFFFF"/>
            <w:vAlign w:val="center"/>
            <w:hideMark/>
          </w:tcPr>
          <w:p w:rsidR="00A8556B" w:rsidRPr="00B603E5" w:rsidRDefault="004F2D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93.</w:t>
            </w:r>
            <w:r w:rsidR="00BD1467" w:rsidRPr="00BD1467">
              <w:rPr>
                <w:rFonts w:ascii="Arial" w:eastAsia="Times New Roman" w:hAnsi="Arial" w:cs="Arial"/>
                <w:sz w:val="16"/>
                <w:szCs w:val="16"/>
                <w:lang w:eastAsia="en-GB"/>
              </w:rPr>
              <w:t>369</w:t>
            </w:r>
          </w:p>
        </w:tc>
        <w:tc>
          <w:tcPr>
            <w:tcW w:w="466" w:type="pct"/>
            <w:tcBorders>
              <w:top w:val="nil"/>
              <w:left w:val="nil"/>
              <w:bottom w:val="nil"/>
              <w:right w:val="nil"/>
            </w:tcBorders>
            <w:shd w:val="clear" w:color="000000" w:fill="FFFFFF"/>
            <w:vAlign w:val="center"/>
            <w:hideMark/>
          </w:tcPr>
          <w:p w:rsidR="00A8556B" w:rsidRPr="00BD1467" w:rsidRDefault="004F2D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76.</w:t>
            </w:r>
            <w:r w:rsidR="00BD1467">
              <w:rPr>
                <w:rFonts w:ascii="Arial" w:eastAsia="Times New Roman" w:hAnsi="Arial" w:cs="Arial"/>
                <w:sz w:val="16"/>
                <w:szCs w:val="16"/>
                <w:lang w:eastAsia="en-GB"/>
              </w:rPr>
              <w:t>919</w:t>
            </w:r>
          </w:p>
        </w:tc>
        <w:tc>
          <w:tcPr>
            <w:tcW w:w="466" w:type="pct"/>
            <w:tcBorders>
              <w:top w:val="nil"/>
              <w:left w:val="nil"/>
              <w:bottom w:val="nil"/>
              <w:right w:val="nil"/>
            </w:tcBorders>
            <w:shd w:val="clear" w:color="000000" w:fill="FFFFFF"/>
            <w:vAlign w:val="center"/>
            <w:hideMark/>
          </w:tcPr>
          <w:p w:rsidR="00A8556B" w:rsidRPr="00A02311" w:rsidRDefault="004F2D5C" w:rsidP="00A8556B">
            <w:pPr>
              <w:spacing w:after="0" w:line="240" w:lineRule="auto"/>
              <w:jc w:val="right"/>
              <w:rPr>
                <w:rFonts w:ascii="Arial" w:eastAsia="Times New Roman" w:hAnsi="Arial" w:cs="Arial"/>
                <w:sz w:val="16"/>
                <w:szCs w:val="16"/>
                <w:lang w:val="en-GB" w:eastAsia="en-GB"/>
              </w:rPr>
            </w:pPr>
            <w:r>
              <w:rPr>
                <w:rFonts w:ascii="Arial" w:eastAsia="Times New Roman" w:hAnsi="Arial" w:cs="Arial"/>
                <w:sz w:val="16"/>
                <w:szCs w:val="16"/>
                <w:lang w:eastAsia="en-GB"/>
              </w:rPr>
              <w:t>76.</w:t>
            </w:r>
            <w:r w:rsidR="00BD1467">
              <w:rPr>
                <w:rFonts w:ascii="Arial" w:eastAsia="Times New Roman" w:hAnsi="Arial" w:cs="Arial"/>
                <w:sz w:val="16"/>
                <w:szCs w:val="16"/>
                <w:lang w:eastAsia="en-GB"/>
              </w:rPr>
              <w:t>086</w:t>
            </w:r>
          </w:p>
        </w:tc>
        <w:tc>
          <w:tcPr>
            <w:tcW w:w="465" w:type="pct"/>
            <w:tcBorders>
              <w:top w:val="nil"/>
              <w:left w:val="nil"/>
              <w:bottom w:val="nil"/>
              <w:right w:val="nil"/>
            </w:tcBorders>
            <w:shd w:val="clear" w:color="000000" w:fill="FFFFFF"/>
            <w:vAlign w:val="center"/>
            <w:hideMark/>
          </w:tcPr>
          <w:p w:rsidR="00A8556B" w:rsidRPr="00A02311" w:rsidRDefault="004F2D5C" w:rsidP="00A8556B">
            <w:pPr>
              <w:spacing w:after="0" w:line="240" w:lineRule="auto"/>
              <w:jc w:val="right"/>
              <w:rPr>
                <w:rFonts w:ascii="Arial" w:eastAsia="Times New Roman" w:hAnsi="Arial" w:cs="Arial"/>
                <w:sz w:val="16"/>
                <w:szCs w:val="16"/>
                <w:lang w:val="en-GB" w:eastAsia="en-GB"/>
              </w:rPr>
            </w:pPr>
            <w:r>
              <w:rPr>
                <w:rFonts w:ascii="Arial" w:eastAsia="Times New Roman" w:hAnsi="Arial" w:cs="Arial"/>
                <w:sz w:val="16"/>
                <w:szCs w:val="16"/>
                <w:lang w:eastAsia="en-GB"/>
              </w:rPr>
              <w:t>73.</w:t>
            </w:r>
            <w:r w:rsidR="00BD1467">
              <w:rPr>
                <w:rFonts w:ascii="Arial" w:eastAsia="Times New Roman" w:hAnsi="Arial" w:cs="Arial"/>
                <w:sz w:val="16"/>
                <w:szCs w:val="16"/>
                <w:lang w:eastAsia="en-GB"/>
              </w:rPr>
              <w:t>430</w:t>
            </w:r>
          </w:p>
        </w:tc>
      </w:tr>
      <w:tr w:rsidR="00BD1467" w:rsidRPr="00A02311" w:rsidTr="0036109B">
        <w:trPr>
          <w:trHeight w:val="244"/>
          <w:jc w:val="center"/>
        </w:trPr>
        <w:tc>
          <w:tcPr>
            <w:tcW w:w="1742" w:type="pct"/>
            <w:tcBorders>
              <w:top w:val="nil"/>
              <w:left w:val="single" w:sz="8" w:space="0" w:color="auto"/>
              <w:bottom w:val="nil"/>
              <w:right w:val="single" w:sz="8" w:space="0" w:color="auto"/>
            </w:tcBorders>
            <w:shd w:val="clear" w:color="auto" w:fill="auto"/>
            <w:noWrap/>
            <w:vAlign w:val="center"/>
            <w:hideMark/>
          </w:tcPr>
          <w:p w:rsidR="00A8556B" w:rsidRPr="00A02311" w:rsidRDefault="00A8556B" w:rsidP="00A8556B">
            <w:pPr>
              <w:spacing w:after="0" w:line="240" w:lineRule="auto"/>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 xml:space="preserve">      Απόδοση</w:t>
            </w:r>
          </w:p>
        </w:tc>
        <w:tc>
          <w:tcPr>
            <w:tcW w:w="466" w:type="pct"/>
            <w:tcBorders>
              <w:top w:val="nil"/>
              <w:left w:val="nil"/>
              <w:bottom w:val="nil"/>
              <w:right w:val="nil"/>
            </w:tcBorders>
            <w:vAlign w:val="center"/>
          </w:tcPr>
          <w:p w:rsidR="00A8556B" w:rsidRPr="00A02311" w:rsidRDefault="00A8556B" w:rsidP="00A8556B">
            <w:pPr>
              <w:spacing w:after="0" w:line="240" w:lineRule="auto"/>
              <w:jc w:val="right"/>
              <w:rPr>
                <w:rFonts w:ascii="Arial" w:eastAsia="Times New Roman" w:hAnsi="Arial" w:cs="Arial"/>
                <w:i/>
                <w:iCs/>
                <w:sz w:val="16"/>
                <w:szCs w:val="16"/>
                <w:lang w:val="en-US" w:eastAsia="en-GB"/>
              </w:rPr>
            </w:pPr>
            <w:r w:rsidRPr="00A02311">
              <w:rPr>
                <w:rFonts w:ascii="Arial" w:eastAsia="Times New Roman" w:hAnsi="Arial" w:cs="Arial"/>
                <w:i/>
                <w:iCs/>
                <w:sz w:val="16"/>
                <w:szCs w:val="16"/>
                <w:lang w:val="en-US" w:eastAsia="en-GB"/>
              </w:rPr>
              <w:t>0</w:t>
            </w:r>
            <w:r w:rsidR="004F2D5C">
              <w:rPr>
                <w:rFonts w:ascii="Arial" w:eastAsia="Times New Roman" w:hAnsi="Arial" w:cs="Arial"/>
                <w:i/>
                <w:iCs/>
                <w:sz w:val="16"/>
                <w:szCs w:val="16"/>
                <w:lang w:val="en-US" w:eastAsia="en-GB"/>
              </w:rPr>
              <w:t>,</w:t>
            </w:r>
            <w:r w:rsidR="00BD1467">
              <w:rPr>
                <w:rFonts w:ascii="Arial" w:eastAsia="Times New Roman" w:hAnsi="Arial" w:cs="Arial"/>
                <w:i/>
                <w:iCs/>
                <w:sz w:val="16"/>
                <w:szCs w:val="16"/>
                <w:lang w:eastAsia="en-GB"/>
              </w:rPr>
              <w:t>16</w:t>
            </w:r>
            <w:r w:rsidRPr="00A02311">
              <w:rPr>
                <w:rFonts w:ascii="Arial" w:eastAsia="Times New Roman" w:hAnsi="Arial" w:cs="Arial"/>
                <w:i/>
                <w:iCs/>
                <w:sz w:val="16"/>
                <w:szCs w:val="16"/>
                <w:lang w:val="en-US" w:eastAsia="en-GB"/>
              </w:rPr>
              <w:t>%</w:t>
            </w:r>
          </w:p>
        </w:tc>
        <w:tc>
          <w:tcPr>
            <w:tcW w:w="466" w:type="pct"/>
            <w:tcBorders>
              <w:top w:val="nil"/>
              <w:left w:val="nil"/>
              <w:bottom w:val="nil"/>
              <w:right w:val="nil"/>
            </w:tcBorders>
            <w:shd w:val="clear" w:color="auto" w:fill="auto"/>
            <w:noWrap/>
            <w:vAlign w:val="center"/>
            <w:hideMark/>
          </w:tcPr>
          <w:p w:rsidR="00A8556B" w:rsidRPr="00A02311" w:rsidRDefault="00BD1467" w:rsidP="00A8556B">
            <w:pPr>
              <w:spacing w:after="0" w:line="240" w:lineRule="auto"/>
              <w:jc w:val="right"/>
              <w:rPr>
                <w:rFonts w:ascii="Arial" w:eastAsia="Times New Roman" w:hAnsi="Arial" w:cs="Arial"/>
                <w:i/>
                <w:iCs/>
                <w:sz w:val="16"/>
                <w:szCs w:val="16"/>
                <w:lang w:val="en-GB" w:eastAsia="en-GB"/>
              </w:rPr>
            </w:pPr>
            <w:r>
              <w:rPr>
                <w:rFonts w:ascii="Arial" w:eastAsia="Times New Roman" w:hAnsi="Arial" w:cs="Arial"/>
                <w:i/>
                <w:iCs/>
                <w:sz w:val="16"/>
                <w:szCs w:val="16"/>
                <w:lang w:eastAsia="en-GB"/>
              </w:rPr>
              <w:t>-</w:t>
            </w:r>
            <w:r w:rsidR="00A8556B" w:rsidRPr="00A02311">
              <w:rPr>
                <w:rFonts w:ascii="Arial" w:eastAsia="Times New Roman" w:hAnsi="Arial" w:cs="Arial"/>
                <w:i/>
                <w:iCs/>
                <w:sz w:val="16"/>
                <w:szCs w:val="16"/>
                <w:lang w:val="en-US" w:eastAsia="en-GB"/>
              </w:rPr>
              <w:t>0</w:t>
            </w:r>
            <w:r w:rsidR="004F2D5C">
              <w:rPr>
                <w:rFonts w:ascii="Arial" w:eastAsia="Times New Roman" w:hAnsi="Arial" w:cs="Arial"/>
                <w:i/>
                <w:iCs/>
                <w:sz w:val="16"/>
                <w:szCs w:val="16"/>
                <w:lang w:val="en-US" w:eastAsia="en-GB"/>
              </w:rPr>
              <w:t>,</w:t>
            </w:r>
            <w:r>
              <w:rPr>
                <w:rFonts w:ascii="Arial" w:eastAsia="Times New Roman" w:hAnsi="Arial" w:cs="Arial"/>
                <w:i/>
                <w:iCs/>
                <w:sz w:val="16"/>
                <w:szCs w:val="16"/>
                <w:lang w:eastAsia="en-GB"/>
              </w:rPr>
              <w:t>02</w:t>
            </w:r>
            <w:r w:rsidR="00A8556B" w:rsidRPr="00A02311">
              <w:rPr>
                <w:rFonts w:ascii="Arial" w:eastAsia="Times New Roman" w:hAnsi="Arial" w:cs="Arial"/>
                <w:i/>
                <w:iCs/>
                <w:sz w:val="16"/>
                <w:szCs w:val="16"/>
                <w:lang w:val="en-US" w:eastAsia="en-GB"/>
              </w:rPr>
              <w:t>%</w:t>
            </w:r>
          </w:p>
        </w:tc>
        <w:tc>
          <w:tcPr>
            <w:tcW w:w="466" w:type="pct"/>
            <w:tcBorders>
              <w:top w:val="nil"/>
              <w:left w:val="nil"/>
              <w:bottom w:val="nil"/>
              <w:right w:val="nil"/>
            </w:tcBorders>
            <w:shd w:val="clear" w:color="auto" w:fill="auto"/>
            <w:vAlign w:val="center"/>
            <w:hideMark/>
          </w:tcPr>
          <w:p w:rsidR="00A8556B" w:rsidRPr="00A02311" w:rsidRDefault="00BD1467" w:rsidP="00A8556B">
            <w:pPr>
              <w:spacing w:after="0" w:line="240" w:lineRule="auto"/>
              <w:jc w:val="right"/>
              <w:rPr>
                <w:rFonts w:ascii="Arial" w:eastAsia="Times New Roman" w:hAnsi="Arial" w:cs="Arial"/>
                <w:i/>
                <w:iCs/>
                <w:sz w:val="16"/>
                <w:szCs w:val="16"/>
                <w:lang w:val="en-GB" w:eastAsia="en-GB"/>
              </w:rPr>
            </w:pPr>
            <w:r>
              <w:rPr>
                <w:rFonts w:ascii="Arial" w:eastAsia="Times New Roman" w:hAnsi="Arial" w:cs="Arial"/>
                <w:i/>
                <w:iCs/>
                <w:sz w:val="16"/>
                <w:szCs w:val="16"/>
                <w:lang w:eastAsia="en-GB"/>
              </w:rPr>
              <w:t>-</w:t>
            </w:r>
            <w:r w:rsidR="00A8556B" w:rsidRPr="00A02311">
              <w:rPr>
                <w:rFonts w:ascii="Arial" w:eastAsia="Times New Roman" w:hAnsi="Arial" w:cs="Arial"/>
                <w:i/>
                <w:iCs/>
                <w:sz w:val="16"/>
                <w:szCs w:val="16"/>
                <w:lang w:val="en-US" w:eastAsia="en-GB"/>
              </w:rPr>
              <w:t>0</w:t>
            </w:r>
            <w:r w:rsidR="004F2D5C">
              <w:rPr>
                <w:rFonts w:ascii="Arial" w:eastAsia="Times New Roman" w:hAnsi="Arial" w:cs="Arial"/>
                <w:i/>
                <w:iCs/>
                <w:sz w:val="16"/>
                <w:szCs w:val="16"/>
                <w:lang w:val="en-US" w:eastAsia="en-GB"/>
              </w:rPr>
              <w:t>,</w:t>
            </w:r>
            <w:r>
              <w:rPr>
                <w:rFonts w:ascii="Arial" w:eastAsia="Times New Roman" w:hAnsi="Arial" w:cs="Arial"/>
                <w:i/>
                <w:iCs/>
                <w:sz w:val="16"/>
                <w:szCs w:val="16"/>
                <w:lang w:eastAsia="en-GB"/>
              </w:rPr>
              <w:t>12</w:t>
            </w:r>
            <w:r w:rsidR="00A8556B" w:rsidRPr="00A02311">
              <w:rPr>
                <w:rFonts w:ascii="Arial" w:eastAsia="Times New Roman" w:hAnsi="Arial" w:cs="Arial"/>
                <w:i/>
                <w:iCs/>
                <w:sz w:val="16"/>
                <w:szCs w:val="16"/>
                <w:lang w:val="en-US" w:eastAsia="en-GB"/>
              </w:rPr>
              <w:t>%</w:t>
            </w:r>
          </w:p>
        </w:tc>
        <w:tc>
          <w:tcPr>
            <w:tcW w:w="466" w:type="pct"/>
            <w:tcBorders>
              <w:top w:val="nil"/>
              <w:left w:val="nil"/>
              <w:bottom w:val="nil"/>
              <w:right w:val="nil"/>
            </w:tcBorders>
            <w:shd w:val="clear" w:color="auto" w:fill="auto"/>
            <w:vAlign w:val="center"/>
            <w:hideMark/>
          </w:tcPr>
          <w:p w:rsidR="00A8556B" w:rsidRPr="00A02311" w:rsidRDefault="00BD1467" w:rsidP="00A8556B">
            <w:pPr>
              <w:spacing w:after="0" w:line="240" w:lineRule="auto"/>
              <w:jc w:val="right"/>
              <w:rPr>
                <w:rFonts w:ascii="Arial" w:eastAsia="Times New Roman" w:hAnsi="Arial" w:cs="Arial"/>
                <w:i/>
                <w:iCs/>
                <w:sz w:val="16"/>
                <w:szCs w:val="16"/>
                <w:lang w:val="en-GB" w:eastAsia="en-GB"/>
              </w:rPr>
            </w:pPr>
            <w:r>
              <w:rPr>
                <w:rFonts w:ascii="Arial" w:eastAsia="Times New Roman" w:hAnsi="Arial" w:cs="Arial"/>
                <w:i/>
                <w:iCs/>
                <w:sz w:val="16"/>
                <w:szCs w:val="16"/>
                <w:lang w:eastAsia="en-GB"/>
              </w:rPr>
              <w:t>-</w:t>
            </w:r>
            <w:r w:rsidR="00A8556B" w:rsidRPr="00A02311">
              <w:rPr>
                <w:rFonts w:ascii="Arial" w:eastAsia="Times New Roman" w:hAnsi="Arial" w:cs="Arial"/>
                <w:i/>
                <w:iCs/>
                <w:sz w:val="16"/>
                <w:szCs w:val="16"/>
                <w:lang w:val="en-US" w:eastAsia="en-GB"/>
              </w:rPr>
              <w:t>0</w:t>
            </w:r>
            <w:r w:rsidR="004F2D5C">
              <w:rPr>
                <w:rFonts w:ascii="Arial" w:eastAsia="Times New Roman" w:hAnsi="Arial" w:cs="Arial"/>
                <w:i/>
                <w:iCs/>
                <w:sz w:val="16"/>
                <w:szCs w:val="16"/>
                <w:lang w:val="en-US" w:eastAsia="en-GB"/>
              </w:rPr>
              <w:t>,</w:t>
            </w:r>
            <w:r>
              <w:rPr>
                <w:rFonts w:ascii="Arial" w:eastAsia="Times New Roman" w:hAnsi="Arial" w:cs="Arial"/>
                <w:i/>
                <w:iCs/>
                <w:sz w:val="16"/>
                <w:szCs w:val="16"/>
                <w:lang w:eastAsia="en-GB"/>
              </w:rPr>
              <w:t>12</w:t>
            </w:r>
            <w:r w:rsidR="00A8556B" w:rsidRPr="00A02311">
              <w:rPr>
                <w:rFonts w:ascii="Arial" w:eastAsia="Times New Roman" w:hAnsi="Arial" w:cs="Arial"/>
                <w:i/>
                <w:iCs/>
                <w:sz w:val="16"/>
                <w:szCs w:val="16"/>
                <w:lang w:val="en-US" w:eastAsia="en-GB"/>
              </w:rPr>
              <w:t>%</w:t>
            </w:r>
          </w:p>
        </w:tc>
        <w:tc>
          <w:tcPr>
            <w:tcW w:w="466" w:type="pct"/>
            <w:tcBorders>
              <w:top w:val="nil"/>
              <w:left w:val="nil"/>
              <w:bottom w:val="nil"/>
              <w:right w:val="nil"/>
            </w:tcBorders>
            <w:shd w:val="clear" w:color="auto" w:fill="auto"/>
            <w:vAlign w:val="center"/>
            <w:hideMark/>
          </w:tcPr>
          <w:p w:rsidR="00A8556B" w:rsidRPr="00A02311" w:rsidRDefault="00A8556B" w:rsidP="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-0</w:t>
            </w:r>
            <w:r w:rsidR="004F2D5C">
              <w:rPr>
                <w:rFonts w:ascii="Arial" w:eastAsia="Times New Roman" w:hAnsi="Arial" w:cs="Arial"/>
                <w:i/>
                <w:iCs/>
                <w:sz w:val="16"/>
                <w:szCs w:val="16"/>
                <w:lang w:val="en-US" w:eastAsia="en-GB"/>
              </w:rPr>
              <w:t>,</w:t>
            </w:r>
            <w:r w:rsidRPr="00A02311">
              <w:rPr>
                <w:rFonts w:ascii="Arial" w:eastAsia="Times New Roman" w:hAnsi="Arial" w:cs="Arial"/>
                <w:i/>
                <w:iCs/>
                <w:sz w:val="16"/>
                <w:szCs w:val="16"/>
                <w:lang w:val="en-US" w:eastAsia="en-GB"/>
              </w:rPr>
              <w:t>1</w:t>
            </w:r>
            <w:r w:rsidR="00BD1467">
              <w:rPr>
                <w:rFonts w:ascii="Arial" w:eastAsia="Times New Roman" w:hAnsi="Arial" w:cs="Arial"/>
                <w:i/>
                <w:iCs/>
                <w:sz w:val="16"/>
                <w:szCs w:val="16"/>
                <w:lang w:eastAsia="en-GB"/>
              </w:rPr>
              <w:t>5</w:t>
            </w:r>
            <w:r w:rsidRPr="00A02311">
              <w:rPr>
                <w:rFonts w:ascii="Arial" w:eastAsia="Times New Roman" w:hAnsi="Arial" w:cs="Arial"/>
                <w:i/>
                <w:iCs/>
                <w:sz w:val="16"/>
                <w:szCs w:val="16"/>
                <w:lang w:val="en-US" w:eastAsia="en-GB"/>
              </w:rPr>
              <w:t>%</w:t>
            </w:r>
          </w:p>
        </w:tc>
        <w:tc>
          <w:tcPr>
            <w:tcW w:w="466" w:type="pct"/>
            <w:tcBorders>
              <w:top w:val="nil"/>
              <w:left w:val="nil"/>
              <w:bottom w:val="nil"/>
              <w:right w:val="nil"/>
            </w:tcBorders>
            <w:shd w:val="clear" w:color="auto" w:fill="auto"/>
            <w:vAlign w:val="center"/>
            <w:hideMark/>
          </w:tcPr>
          <w:p w:rsidR="00A8556B" w:rsidRPr="00A02311" w:rsidRDefault="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-0</w:t>
            </w:r>
            <w:r w:rsidR="004F2D5C">
              <w:rPr>
                <w:rFonts w:ascii="Arial" w:eastAsia="Times New Roman" w:hAnsi="Arial" w:cs="Arial"/>
                <w:i/>
                <w:iCs/>
                <w:sz w:val="16"/>
                <w:szCs w:val="16"/>
                <w:lang w:val="en-US" w:eastAsia="en-GB"/>
              </w:rPr>
              <w:t>,</w:t>
            </w:r>
            <w:r w:rsidR="00BD1467">
              <w:rPr>
                <w:rFonts w:ascii="Arial" w:eastAsia="Times New Roman" w:hAnsi="Arial" w:cs="Arial"/>
                <w:i/>
                <w:iCs/>
                <w:sz w:val="16"/>
                <w:szCs w:val="16"/>
                <w:lang w:eastAsia="en-GB"/>
              </w:rPr>
              <w:t>20</w:t>
            </w:r>
            <w:r w:rsidRPr="00A02311">
              <w:rPr>
                <w:rFonts w:ascii="Arial" w:eastAsia="Times New Roman" w:hAnsi="Arial" w:cs="Arial"/>
                <w:i/>
                <w:iCs/>
                <w:sz w:val="16"/>
                <w:szCs w:val="16"/>
                <w:lang w:val="en-US" w:eastAsia="en-GB"/>
              </w:rPr>
              <w:t>%</w:t>
            </w:r>
          </w:p>
        </w:tc>
        <w:tc>
          <w:tcPr>
            <w:tcW w:w="465" w:type="pct"/>
            <w:tcBorders>
              <w:top w:val="nil"/>
              <w:left w:val="nil"/>
              <w:bottom w:val="nil"/>
              <w:right w:val="nil"/>
            </w:tcBorders>
            <w:shd w:val="clear" w:color="auto" w:fill="auto"/>
            <w:vAlign w:val="center"/>
            <w:hideMark/>
          </w:tcPr>
          <w:p w:rsidR="00A8556B" w:rsidRPr="00A02311" w:rsidRDefault="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-0</w:t>
            </w:r>
            <w:r w:rsidR="004F2D5C">
              <w:rPr>
                <w:rFonts w:ascii="Arial" w:eastAsia="Times New Roman" w:hAnsi="Arial" w:cs="Arial"/>
                <w:i/>
                <w:iCs/>
                <w:sz w:val="16"/>
                <w:szCs w:val="16"/>
                <w:lang w:val="en-US" w:eastAsia="en-GB"/>
              </w:rPr>
              <w:t>,</w:t>
            </w:r>
            <w:r w:rsidR="00BD1467">
              <w:rPr>
                <w:rFonts w:ascii="Arial" w:eastAsia="Times New Roman" w:hAnsi="Arial" w:cs="Arial"/>
                <w:i/>
                <w:iCs/>
                <w:sz w:val="16"/>
                <w:szCs w:val="16"/>
                <w:lang w:eastAsia="en-GB"/>
              </w:rPr>
              <w:t>20</w:t>
            </w:r>
            <w:r w:rsidRPr="00A02311">
              <w:rPr>
                <w:rFonts w:ascii="Arial" w:eastAsia="Times New Roman" w:hAnsi="Arial" w:cs="Arial"/>
                <w:i/>
                <w:iCs/>
                <w:sz w:val="16"/>
                <w:szCs w:val="16"/>
                <w:lang w:val="en-US" w:eastAsia="en-GB"/>
              </w:rPr>
              <w:t>%</w:t>
            </w:r>
          </w:p>
        </w:tc>
      </w:tr>
      <w:tr w:rsidR="00BD1467" w:rsidRPr="00A02311" w:rsidTr="0036109B">
        <w:trPr>
          <w:trHeight w:val="244"/>
          <w:jc w:val="center"/>
        </w:trPr>
        <w:tc>
          <w:tcPr>
            <w:tcW w:w="1742"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vAlign w:val="center"/>
          </w:tcPr>
          <w:p w:rsidR="00A8556B" w:rsidRPr="00A02311" w:rsidRDefault="00A8556B" w:rsidP="00A8556B">
            <w:pPr>
              <w:spacing w:after="0" w:line="240" w:lineRule="auto"/>
              <w:rPr>
                <w:rFonts w:ascii="Arial" w:eastAsia="Times New Roman" w:hAnsi="Arial" w:cs="Arial"/>
                <w:sz w:val="16"/>
                <w:szCs w:val="16"/>
                <w:lang w:val="en-US"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6"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c>
          <w:tcPr>
            <w:tcW w:w="465" w:type="pct"/>
            <w:tcBorders>
              <w:top w:val="nil"/>
              <w:left w:val="nil"/>
              <w:bottom w:val="nil"/>
              <w:right w:val="nil"/>
            </w:tcBorders>
            <w:shd w:val="clear" w:color="000000" w:fill="D9D9D9"/>
            <w:noWrap/>
            <w:vAlign w:val="center"/>
            <w:hideMark/>
          </w:tcPr>
          <w:p w:rsidR="00A8556B" w:rsidRPr="00A02311" w:rsidRDefault="00A8556B" w:rsidP="00A8556B">
            <w:pPr>
              <w:spacing w:after="0" w:line="240" w:lineRule="auto"/>
              <w:rPr>
                <w:rFonts w:ascii="Arial" w:eastAsia="Times New Roman" w:hAnsi="Arial" w:cs="Arial"/>
                <w:sz w:val="16"/>
                <w:szCs w:val="16"/>
                <w:lang w:val="en-GB" w:eastAsia="en-GB"/>
              </w:rPr>
            </w:pPr>
            <w:r w:rsidRPr="00A02311">
              <w:rPr>
                <w:rFonts w:ascii="Arial" w:eastAsia="Times New Roman" w:hAnsi="Arial" w:cs="Arial"/>
                <w:sz w:val="16"/>
                <w:szCs w:val="16"/>
                <w:lang w:val="en-US" w:eastAsia="en-GB"/>
              </w:rPr>
              <w:t> </w:t>
            </w:r>
          </w:p>
        </w:tc>
      </w:tr>
      <w:tr w:rsidR="00BD1467" w:rsidRPr="00A02311" w:rsidTr="0036109B">
        <w:trPr>
          <w:trHeight w:val="244"/>
          <w:jc w:val="center"/>
        </w:trPr>
        <w:tc>
          <w:tcPr>
            <w:tcW w:w="1742" w:type="pct"/>
            <w:tcBorders>
              <w:top w:val="nil"/>
              <w:left w:val="single" w:sz="8" w:space="0" w:color="auto"/>
              <w:right w:val="single" w:sz="8" w:space="0" w:color="auto"/>
            </w:tcBorders>
            <w:shd w:val="clear" w:color="auto" w:fill="auto"/>
            <w:noWrap/>
            <w:vAlign w:val="center"/>
            <w:hideMark/>
          </w:tcPr>
          <w:p w:rsidR="00A8556B" w:rsidRPr="00B603E5" w:rsidRDefault="00A8556B" w:rsidP="00A8556B">
            <w:pPr>
              <w:spacing w:after="0" w:line="240" w:lineRule="auto"/>
              <w:rPr>
                <w:rFonts w:ascii="Arial" w:eastAsia="Times New Roman" w:hAnsi="Arial" w:cs="Arial"/>
                <w:sz w:val="16"/>
                <w:szCs w:val="16"/>
                <w:lang w:eastAsia="en-GB"/>
              </w:rPr>
            </w:pPr>
            <w:r w:rsidRPr="00A02311">
              <w:rPr>
                <w:rFonts w:ascii="Arial" w:eastAsia="Times New Roman" w:hAnsi="Arial" w:cs="Arial"/>
                <w:sz w:val="16"/>
                <w:szCs w:val="16"/>
                <w:lang w:val="en-US" w:eastAsia="en-GB"/>
              </w:rPr>
              <w:t> </w:t>
            </w:r>
            <w:r w:rsidRPr="00B603E5">
              <w:rPr>
                <w:rFonts w:ascii="Arial" w:eastAsia="Times New Roman" w:hAnsi="Arial" w:cs="Arial"/>
                <w:sz w:val="16"/>
                <w:szCs w:val="16"/>
                <w:lang w:eastAsia="en-GB"/>
              </w:rPr>
              <w:t>Επενδύσεις που κατέχονται μέχρι την λήξη</w:t>
            </w:r>
          </w:p>
        </w:tc>
        <w:tc>
          <w:tcPr>
            <w:tcW w:w="466" w:type="pct"/>
            <w:tcBorders>
              <w:top w:val="nil"/>
              <w:left w:val="nil"/>
              <w:right w:val="nil"/>
            </w:tcBorders>
            <w:vAlign w:val="center"/>
          </w:tcPr>
          <w:p w:rsidR="00A8556B" w:rsidRPr="00A02311" w:rsidRDefault="00A8556B" w:rsidP="00A8556B">
            <w:pPr>
              <w:spacing w:after="0" w:line="240" w:lineRule="auto"/>
              <w:jc w:val="right"/>
              <w:rPr>
                <w:rFonts w:ascii="Arial" w:eastAsia="Times New Roman" w:hAnsi="Arial" w:cs="Arial"/>
                <w:b/>
                <w:bCs/>
                <w:sz w:val="16"/>
                <w:szCs w:val="16"/>
                <w:lang w:val="en-US" w:eastAsia="en-GB"/>
              </w:rPr>
            </w:pPr>
            <w:r w:rsidRPr="00A02311">
              <w:rPr>
                <w:rFonts w:ascii="Arial" w:eastAsia="Times New Roman" w:hAnsi="Arial" w:cs="Arial"/>
                <w:b/>
                <w:bCs/>
                <w:sz w:val="16"/>
                <w:szCs w:val="16"/>
                <w:lang w:val="en-US" w:eastAsia="en-GB"/>
              </w:rPr>
              <w:t>150</w:t>
            </w:r>
            <w:r w:rsidR="004F2D5C">
              <w:rPr>
                <w:rFonts w:ascii="Arial" w:eastAsia="Times New Roman" w:hAnsi="Arial" w:cs="Arial"/>
                <w:b/>
                <w:bCs/>
                <w:sz w:val="16"/>
                <w:szCs w:val="16"/>
                <w:lang w:val="en-US" w:eastAsia="en-GB"/>
              </w:rPr>
              <w:t>.</w:t>
            </w:r>
            <w:r w:rsidR="00243231">
              <w:rPr>
                <w:rFonts w:ascii="Arial" w:eastAsia="Times New Roman" w:hAnsi="Arial" w:cs="Arial"/>
                <w:b/>
                <w:bCs/>
                <w:sz w:val="16"/>
                <w:szCs w:val="16"/>
                <w:lang w:eastAsia="en-GB"/>
              </w:rPr>
              <w:t>096</w:t>
            </w:r>
          </w:p>
        </w:tc>
        <w:tc>
          <w:tcPr>
            <w:tcW w:w="466" w:type="pct"/>
            <w:tcBorders>
              <w:top w:val="nil"/>
              <w:left w:val="nil"/>
              <w:right w:val="nil"/>
            </w:tcBorders>
            <w:shd w:val="clear" w:color="auto" w:fill="auto"/>
            <w:noWrap/>
            <w:vAlign w:val="center"/>
            <w:hideMark/>
          </w:tcPr>
          <w:p w:rsidR="00A8556B" w:rsidRPr="00B603E5" w:rsidRDefault="00A8556B" w:rsidP="00A8556B">
            <w:pPr>
              <w:spacing w:after="0" w:line="240" w:lineRule="auto"/>
              <w:jc w:val="right"/>
              <w:rPr>
                <w:rFonts w:ascii="Arial" w:eastAsia="Times New Roman" w:hAnsi="Arial" w:cs="Arial"/>
                <w:b/>
                <w:bCs/>
                <w:sz w:val="16"/>
                <w:szCs w:val="16"/>
                <w:lang w:eastAsia="en-GB"/>
              </w:rPr>
            </w:pPr>
            <w:r w:rsidRPr="00A02311">
              <w:rPr>
                <w:rFonts w:ascii="Arial" w:eastAsia="Times New Roman" w:hAnsi="Arial" w:cs="Arial"/>
                <w:b/>
                <w:bCs/>
                <w:sz w:val="16"/>
                <w:szCs w:val="16"/>
                <w:lang w:val="en-US" w:eastAsia="en-GB"/>
              </w:rPr>
              <w:t>1</w:t>
            </w:r>
            <w:r w:rsidR="004F2D5C">
              <w:rPr>
                <w:rFonts w:ascii="Arial" w:eastAsia="Times New Roman" w:hAnsi="Arial" w:cs="Arial"/>
                <w:b/>
                <w:bCs/>
                <w:sz w:val="16"/>
                <w:szCs w:val="16"/>
                <w:lang w:eastAsia="en-GB"/>
              </w:rPr>
              <w:t>49.</w:t>
            </w:r>
            <w:r w:rsidR="00243231">
              <w:rPr>
                <w:rFonts w:ascii="Arial" w:eastAsia="Times New Roman" w:hAnsi="Arial" w:cs="Arial"/>
                <w:b/>
                <w:bCs/>
                <w:sz w:val="16"/>
                <w:szCs w:val="16"/>
                <w:lang w:eastAsia="en-GB"/>
              </w:rPr>
              <w:t>785</w:t>
            </w:r>
          </w:p>
        </w:tc>
        <w:tc>
          <w:tcPr>
            <w:tcW w:w="466" w:type="pct"/>
            <w:tcBorders>
              <w:top w:val="nil"/>
              <w:left w:val="nil"/>
              <w:right w:val="nil"/>
            </w:tcBorders>
            <w:shd w:val="clear" w:color="auto" w:fill="auto"/>
            <w:vAlign w:val="center"/>
            <w:hideMark/>
          </w:tcPr>
          <w:p w:rsidR="00A8556B" w:rsidRPr="00A02311" w:rsidRDefault="00A8556B" w:rsidP="00A8556B">
            <w:pPr>
              <w:spacing w:after="0" w:line="240" w:lineRule="auto"/>
              <w:jc w:val="right"/>
              <w:rPr>
                <w:rFonts w:ascii="Arial" w:eastAsia="Times New Roman" w:hAnsi="Arial" w:cs="Arial"/>
                <w:b/>
                <w:bCs/>
                <w:sz w:val="16"/>
                <w:szCs w:val="16"/>
                <w:lang w:val="en-GB" w:eastAsia="en-GB"/>
              </w:rPr>
            </w:pPr>
            <w:r w:rsidRPr="00A02311">
              <w:rPr>
                <w:rFonts w:ascii="Arial" w:eastAsia="Times New Roman" w:hAnsi="Arial" w:cs="Arial"/>
                <w:b/>
                <w:bCs/>
                <w:sz w:val="16"/>
                <w:szCs w:val="16"/>
                <w:lang w:val="en-US" w:eastAsia="en-GB"/>
              </w:rPr>
              <w:t>150</w:t>
            </w:r>
            <w:r w:rsidR="004F2D5C">
              <w:rPr>
                <w:rFonts w:ascii="Arial" w:eastAsia="Times New Roman" w:hAnsi="Arial" w:cs="Arial"/>
                <w:b/>
                <w:bCs/>
                <w:sz w:val="16"/>
                <w:szCs w:val="16"/>
                <w:lang w:val="en-US" w:eastAsia="en-GB"/>
              </w:rPr>
              <w:t>.</w:t>
            </w:r>
            <w:r w:rsidR="00243231">
              <w:rPr>
                <w:rFonts w:ascii="Arial" w:eastAsia="Times New Roman" w:hAnsi="Arial" w:cs="Arial"/>
                <w:b/>
                <w:bCs/>
                <w:sz w:val="16"/>
                <w:szCs w:val="16"/>
                <w:lang w:eastAsia="en-GB"/>
              </w:rPr>
              <w:t>184</w:t>
            </w:r>
          </w:p>
        </w:tc>
        <w:tc>
          <w:tcPr>
            <w:tcW w:w="466" w:type="pct"/>
            <w:tcBorders>
              <w:top w:val="nil"/>
              <w:left w:val="nil"/>
              <w:right w:val="nil"/>
            </w:tcBorders>
            <w:shd w:val="clear" w:color="auto" w:fill="auto"/>
            <w:vAlign w:val="center"/>
            <w:hideMark/>
          </w:tcPr>
          <w:p w:rsidR="00A8556B" w:rsidRPr="00880E70" w:rsidRDefault="004F2D5C" w:rsidP="00A8556B">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150.</w:t>
            </w:r>
            <w:r w:rsidR="00243231">
              <w:rPr>
                <w:rFonts w:ascii="Arial" w:eastAsia="Times New Roman" w:hAnsi="Arial" w:cs="Arial"/>
                <w:b/>
                <w:bCs/>
                <w:sz w:val="16"/>
                <w:szCs w:val="16"/>
                <w:lang w:eastAsia="en-GB"/>
              </w:rPr>
              <w:t>045</w:t>
            </w:r>
          </w:p>
        </w:tc>
        <w:tc>
          <w:tcPr>
            <w:tcW w:w="466" w:type="pct"/>
            <w:tcBorders>
              <w:top w:val="nil"/>
              <w:left w:val="nil"/>
              <w:right w:val="nil"/>
            </w:tcBorders>
            <w:shd w:val="clear" w:color="auto" w:fill="auto"/>
            <w:vAlign w:val="center"/>
            <w:hideMark/>
          </w:tcPr>
          <w:p w:rsidR="00A8556B" w:rsidRPr="00A02311" w:rsidRDefault="00A8556B" w:rsidP="00A8556B">
            <w:pPr>
              <w:spacing w:after="0" w:line="240" w:lineRule="auto"/>
              <w:jc w:val="right"/>
              <w:rPr>
                <w:rFonts w:ascii="Arial" w:eastAsia="Times New Roman" w:hAnsi="Arial" w:cs="Arial"/>
                <w:b/>
                <w:bCs/>
                <w:sz w:val="16"/>
                <w:szCs w:val="16"/>
                <w:lang w:val="en-GB" w:eastAsia="en-GB"/>
              </w:rPr>
            </w:pPr>
            <w:r w:rsidRPr="00A02311">
              <w:rPr>
                <w:rFonts w:ascii="Arial" w:eastAsia="Times New Roman" w:hAnsi="Arial" w:cs="Arial"/>
                <w:b/>
                <w:bCs/>
                <w:sz w:val="16"/>
                <w:szCs w:val="16"/>
                <w:lang w:val="en-US" w:eastAsia="en-GB"/>
              </w:rPr>
              <w:t>1</w:t>
            </w:r>
            <w:r w:rsidR="004F2D5C">
              <w:rPr>
                <w:rFonts w:ascii="Arial" w:eastAsia="Times New Roman" w:hAnsi="Arial" w:cs="Arial"/>
                <w:b/>
                <w:bCs/>
                <w:sz w:val="16"/>
                <w:szCs w:val="16"/>
                <w:lang w:eastAsia="en-GB"/>
              </w:rPr>
              <w:t>57.</w:t>
            </w:r>
            <w:r w:rsidR="00243231">
              <w:rPr>
                <w:rFonts w:ascii="Arial" w:eastAsia="Times New Roman" w:hAnsi="Arial" w:cs="Arial"/>
                <w:b/>
                <w:bCs/>
                <w:sz w:val="16"/>
                <w:szCs w:val="16"/>
                <w:lang w:eastAsia="en-GB"/>
              </w:rPr>
              <w:t>468</w:t>
            </w:r>
          </w:p>
        </w:tc>
        <w:tc>
          <w:tcPr>
            <w:tcW w:w="466" w:type="pct"/>
            <w:tcBorders>
              <w:top w:val="nil"/>
              <w:left w:val="nil"/>
              <w:right w:val="nil"/>
            </w:tcBorders>
            <w:shd w:val="clear" w:color="auto" w:fill="auto"/>
            <w:vAlign w:val="center"/>
            <w:hideMark/>
          </w:tcPr>
          <w:p w:rsidR="00A8556B" w:rsidRPr="00880E70" w:rsidRDefault="00A8556B">
            <w:pPr>
              <w:spacing w:after="0" w:line="240" w:lineRule="auto"/>
              <w:jc w:val="right"/>
              <w:rPr>
                <w:rFonts w:ascii="Arial" w:eastAsia="Times New Roman" w:hAnsi="Arial" w:cs="Arial"/>
                <w:b/>
                <w:bCs/>
                <w:sz w:val="16"/>
                <w:szCs w:val="16"/>
                <w:lang w:eastAsia="en-GB"/>
              </w:rPr>
            </w:pPr>
            <w:r w:rsidRPr="00A02311">
              <w:rPr>
                <w:rFonts w:ascii="Arial" w:eastAsia="Times New Roman" w:hAnsi="Arial" w:cs="Arial"/>
                <w:b/>
                <w:bCs/>
                <w:sz w:val="16"/>
                <w:szCs w:val="16"/>
                <w:lang w:val="en-US" w:eastAsia="en-GB"/>
              </w:rPr>
              <w:t>1</w:t>
            </w:r>
            <w:r w:rsidR="004F2D5C">
              <w:rPr>
                <w:rFonts w:ascii="Arial" w:eastAsia="Times New Roman" w:hAnsi="Arial" w:cs="Arial"/>
                <w:b/>
                <w:bCs/>
                <w:sz w:val="16"/>
                <w:szCs w:val="16"/>
                <w:lang w:eastAsia="en-GB"/>
              </w:rPr>
              <w:t>65.</w:t>
            </w:r>
            <w:r w:rsidR="00243231">
              <w:rPr>
                <w:rFonts w:ascii="Arial" w:eastAsia="Times New Roman" w:hAnsi="Arial" w:cs="Arial"/>
                <w:b/>
                <w:bCs/>
                <w:sz w:val="16"/>
                <w:szCs w:val="16"/>
                <w:lang w:eastAsia="en-GB"/>
              </w:rPr>
              <w:t>259</w:t>
            </w:r>
          </w:p>
        </w:tc>
        <w:tc>
          <w:tcPr>
            <w:tcW w:w="465" w:type="pct"/>
            <w:tcBorders>
              <w:top w:val="nil"/>
              <w:left w:val="nil"/>
              <w:right w:val="nil"/>
            </w:tcBorders>
            <w:shd w:val="clear" w:color="auto" w:fill="auto"/>
            <w:vAlign w:val="center"/>
            <w:hideMark/>
          </w:tcPr>
          <w:p w:rsidR="00A8556B" w:rsidRPr="00880E70" w:rsidRDefault="00A8556B">
            <w:pPr>
              <w:spacing w:after="0" w:line="240" w:lineRule="auto"/>
              <w:jc w:val="right"/>
              <w:rPr>
                <w:rFonts w:ascii="Arial" w:eastAsia="Times New Roman" w:hAnsi="Arial" w:cs="Arial"/>
                <w:b/>
                <w:bCs/>
                <w:sz w:val="16"/>
                <w:szCs w:val="16"/>
                <w:lang w:eastAsia="en-GB"/>
              </w:rPr>
            </w:pPr>
            <w:r w:rsidRPr="00A02311">
              <w:rPr>
                <w:rFonts w:ascii="Arial" w:eastAsia="Times New Roman" w:hAnsi="Arial" w:cs="Arial"/>
                <w:b/>
                <w:bCs/>
                <w:sz w:val="16"/>
                <w:szCs w:val="16"/>
                <w:lang w:val="en-US" w:eastAsia="en-GB"/>
              </w:rPr>
              <w:t>1</w:t>
            </w:r>
            <w:r w:rsidR="004F2D5C">
              <w:rPr>
                <w:rFonts w:ascii="Arial" w:eastAsia="Times New Roman" w:hAnsi="Arial" w:cs="Arial"/>
                <w:b/>
                <w:bCs/>
                <w:sz w:val="16"/>
                <w:szCs w:val="16"/>
                <w:lang w:eastAsia="en-GB"/>
              </w:rPr>
              <w:t>73.</w:t>
            </w:r>
            <w:r w:rsidR="00243231">
              <w:rPr>
                <w:rFonts w:ascii="Arial" w:eastAsia="Times New Roman" w:hAnsi="Arial" w:cs="Arial"/>
                <w:b/>
                <w:bCs/>
                <w:sz w:val="16"/>
                <w:szCs w:val="16"/>
                <w:lang w:eastAsia="en-GB"/>
              </w:rPr>
              <w:t>522</w:t>
            </w:r>
          </w:p>
        </w:tc>
      </w:tr>
      <w:tr w:rsidR="00BD1467" w:rsidRPr="00A02311" w:rsidTr="0036109B">
        <w:trPr>
          <w:trHeight w:val="244"/>
          <w:jc w:val="center"/>
        </w:trPr>
        <w:tc>
          <w:tcPr>
            <w:tcW w:w="1742" w:type="pct"/>
            <w:tcBorders>
              <w:top w:val="nil"/>
              <w:left w:val="single" w:sz="8" w:space="0" w:color="auto"/>
              <w:bottom w:val="single" w:sz="4" w:space="0" w:color="auto"/>
              <w:right w:val="single" w:sz="8" w:space="0" w:color="auto"/>
            </w:tcBorders>
            <w:shd w:val="clear" w:color="auto" w:fill="auto"/>
            <w:noWrap/>
            <w:vAlign w:val="center"/>
            <w:hideMark/>
          </w:tcPr>
          <w:p w:rsidR="00A8556B" w:rsidRPr="00A02311" w:rsidRDefault="00A8556B" w:rsidP="00A8556B">
            <w:pPr>
              <w:spacing w:after="0" w:line="240" w:lineRule="auto"/>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 xml:space="preserve">   Yield thereon</w:t>
            </w:r>
          </w:p>
        </w:tc>
        <w:tc>
          <w:tcPr>
            <w:tcW w:w="466" w:type="pct"/>
            <w:tcBorders>
              <w:top w:val="nil"/>
              <w:left w:val="nil"/>
              <w:bottom w:val="single" w:sz="4" w:space="0" w:color="auto"/>
              <w:right w:val="nil"/>
            </w:tcBorders>
            <w:vAlign w:val="center"/>
          </w:tcPr>
          <w:p w:rsidR="00A8556B" w:rsidRPr="00A02311" w:rsidRDefault="00A8556B" w:rsidP="00A8556B">
            <w:pPr>
              <w:spacing w:after="0" w:line="240" w:lineRule="auto"/>
              <w:jc w:val="right"/>
              <w:rPr>
                <w:rFonts w:ascii="Arial" w:eastAsia="Times New Roman" w:hAnsi="Arial" w:cs="Arial"/>
                <w:i/>
                <w:iCs/>
                <w:sz w:val="16"/>
                <w:szCs w:val="16"/>
                <w:lang w:val="en-US" w:eastAsia="en-GB"/>
              </w:rPr>
            </w:pPr>
            <w:r w:rsidRPr="00A02311">
              <w:rPr>
                <w:rFonts w:ascii="Arial" w:eastAsia="Times New Roman" w:hAnsi="Arial" w:cs="Arial"/>
                <w:i/>
                <w:iCs/>
                <w:sz w:val="16"/>
                <w:szCs w:val="16"/>
                <w:lang w:val="en-US" w:eastAsia="en-GB"/>
              </w:rPr>
              <w:t>3</w:t>
            </w:r>
            <w:r w:rsidR="0070704D">
              <w:rPr>
                <w:rFonts w:ascii="Arial" w:eastAsia="Times New Roman" w:hAnsi="Arial" w:cs="Arial"/>
                <w:i/>
                <w:iCs/>
                <w:sz w:val="16"/>
                <w:szCs w:val="16"/>
                <w:lang w:val="en-US" w:eastAsia="en-GB"/>
              </w:rPr>
              <w:t>,</w:t>
            </w:r>
            <w:r w:rsidRPr="00A02311">
              <w:rPr>
                <w:rFonts w:ascii="Arial" w:eastAsia="Times New Roman" w:hAnsi="Arial" w:cs="Arial"/>
                <w:i/>
                <w:iCs/>
                <w:sz w:val="16"/>
                <w:szCs w:val="16"/>
                <w:lang w:val="en-US" w:eastAsia="en-GB"/>
              </w:rPr>
              <w:t>2</w:t>
            </w:r>
            <w:r w:rsidR="00243231">
              <w:rPr>
                <w:rFonts w:ascii="Arial" w:eastAsia="Times New Roman" w:hAnsi="Arial" w:cs="Arial"/>
                <w:i/>
                <w:iCs/>
                <w:sz w:val="16"/>
                <w:szCs w:val="16"/>
                <w:lang w:eastAsia="en-GB"/>
              </w:rPr>
              <w:t>3</w:t>
            </w:r>
            <w:r w:rsidRPr="00A02311">
              <w:rPr>
                <w:rFonts w:ascii="Arial" w:eastAsia="Times New Roman" w:hAnsi="Arial" w:cs="Arial"/>
                <w:i/>
                <w:iCs/>
                <w:sz w:val="16"/>
                <w:szCs w:val="16"/>
                <w:lang w:val="en-US" w:eastAsia="en-GB"/>
              </w:rPr>
              <w:t>%</w:t>
            </w:r>
          </w:p>
        </w:tc>
        <w:tc>
          <w:tcPr>
            <w:tcW w:w="466" w:type="pct"/>
            <w:tcBorders>
              <w:top w:val="nil"/>
              <w:left w:val="nil"/>
              <w:bottom w:val="single" w:sz="4" w:space="0" w:color="auto"/>
              <w:right w:val="nil"/>
            </w:tcBorders>
            <w:shd w:val="clear" w:color="auto" w:fill="auto"/>
            <w:noWrap/>
            <w:vAlign w:val="center"/>
            <w:hideMark/>
          </w:tcPr>
          <w:p w:rsidR="00A8556B" w:rsidRPr="00A02311" w:rsidRDefault="00A8556B" w:rsidP="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3</w:t>
            </w:r>
            <w:r w:rsidR="0070704D">
              <w:rPr>
                <w:rFonts w:ascii="Arial" w:eastAsia="Times New Roman" w:hAnsi="Arial" w:cs="Arial"/>
                <w:i/>
                <w:iCs/>
                <w:sz w:val="16"/>
                <w:szCs w:val="16"/>
                <w:lang w:val="en-US" w:eastAsia="en-GB"/>
              </w:rPr>
              <w:t>,</w:t>
            </w:r>
            <w:r w:rsidRPr="00A02311">
              <w:rPr>
                <w:rFonts w:ascii="Arial" w:eastAsia="Times New Roman" w:hAnsi="Arial" w:cs="Arial"/>
                <w:i/>
                <w:iCs/>
                <w:sz w:val="16"/>
                <w:szCs w:val="16"/>
                <w:lang w:val="en-US" w:eastAsia="en-GB"/>
              </w:rPr>
              <w:t>2</w:t>
            </w:r>
            <w:r w:rsidR="00243231">
              <w:rPr>
                <w:rFonts w:ascii="Arial" w:eastAsia="Times New Roman" w:hAnsi="Arial" w:cs="Arial"/>
                <w:i/>
                <w:iCs/>
                <w:sz w:val="16"/>
                <w:szCs w:val="16"/>
                <w:lang w:eastAsia="en-GB"/>
              </w:rPr>
              <w:t>4</w:t>
            </w:r>
            <w:r w:rsidRPr="00A02311">
              <w:rPr>
                <w:rFonts w:ascii="Arial" w:eastAsia="Times New Roman" w:hAnsi="Arial" w:cs="Arial"/>
                <w:i/>
                <w:iCs/>
                <w:sz w:val="16"/>
                <w:szCs w:val="16"/>
                <w:lang w:val="en-US" w:eastAsia="en-GB"/>
              </w:rPr>
              <w:t>%</w:t>
            </w:r>
          </w:p>
        </w:tc>
        <w:tc>
          <w:tcPr>
            <w:tcW w:w="466" w:type="pct"/>
            <w:tcBorders>
              <w:top w:val="nil"/>
              <w:left w:val="nil"/>
              <w:bottom w:val="single" w:sz="4" w:space="0" w:color="auto"/>
              <w:right w:val="nil"/>
            </w:tcBorders>
            <w:shd w:val="clear" w:color="auto" w:fill="auto"/>
            <w:vAlign w:val="center"/>
            <w:hideMark/>
          </w:tcPr>
          <w:p w:rsidR="00A8556B" w:rsidRPr="00A02311" w:rsidRDefault="00A8556B" w:rsidP="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3</w:t>
            </w:r>
            <w:r w:rsidR="0070704D">
              <w:rPr>
                <w:rFonts w:ascii="Arial" w:eastAsia="Times New Roman" w:hAnsi="Arial" w:cs="Arial"/>
                <w:i/>
                <w:iCs/>
                <w:sz w:val="16"/>
                <w:szCs w:val="16"/>
                <w:lang w:val="en-US" w:eastAsia="en-GB"/>
              </w:rPr>
              <w:t>,</w:t>
            </w:r>
            <w:r w:rsidRPr="00A02311">
              <w:rPr>
                <w:rFonts w:ascii="Arial" w:eastAsia="Times New Roman" w:hAnsi="Arial" w:cs="Arial"/>
                <w:i/>
                <w:iCs/>
                <w:sz w:val="16"/>
                <w:szCs w:val="16"/>
                <w:lang w:val="en-US" w:eastAsia="en-GB"/>
              </w:rPr>
              <w:t>4</w:t>
            </w:r>
            <w:r w:rsidR="00243231">
              <w:rPr>
                <w:rFonts w:ascii="Arial" w:eastAsia="Times New Roman" w:hAnsi="Arial" w:cs="Arial"/>
                <w:i/>
                <w:iCs/>
                <w:sz w:val="16"/>
                <w:szCs w:val="16"/>
                <w:lang w:eastAsia="en-GB"/>
              </w:rPr>
              <w:t>2</w:t>
            </w:r>
            <w:r w:rsidRPr="00A02311">
              <w:rPr>
                <w:rFonts w:ascii="Arial" w:eastAsia="Times New Roman" w:hAnsi="Arial" w:cs="Arial"/>
                <w:i/>
                <w:iCs/>
                <w:sz w:val="16"/>
                <w:szCs w:val="16"/>
                <w:lang w:val="en-US" w:eastAsia="en-GB"/>
              </w:rPr>
              <w:t>%</w:t>
            </w:r>
          </w:p>
        </w:tc>
        <w:tc>
          <w:tcPr>
            <w:tcW w:w="466" w:type="pct"/>
            <w:tcBorders>
              <w:top w:val="nil"/>
              <w:left w:val="nil"/>
              <w:bottom w:val="single" w:sz="4" w:space="0" w:color="auto"/>
              <w:right w:val="nil"/>
            </w:tcBorders>
            <w:shd w:val="clear" w:color="auto" w:fill="auto"/>
            <w:vAlign w:val="center"/>
            <w:hideMark/>
          </w:tcPr>
          <w:p w:rsidR="00A8556B" w:rsidRPr="00A02311" w:rsidRDefault="00243231" w:rsidP="00A8556B">
            <w:pPr>
              <w:spacing w:after="0" w:line="240" w:lineRule="auto"/>
              <w:jc w:val="right"/>
              <w:rPr>
                <w:rFonts w:ascii="Arial" w:eastAsia="Times New Roman" w:hAnsi="Arial" w:cs="Arial"/>
                <w:i/>
                <w:iCs/>
                <w:sz w:val="16"/>
                <w:szCs w:val="16"/>
                <w:lang w:val="en-GB" w:eastAsia="en-GB"/>
              </w:rPr>
            </w:pPr>
            <w:r>
              <w:rPr>
                <w:rFonts w:ascii="Arial" w:eastAsia="Times New Roman" w:hAnsi="Arial" w:cs="Arial"/>
                <w:i/>
                <w:iCs/>
                <w:sz w:val="16"/>
                <w:szCs w:val="16"/>
                <w:lang w:eastAsia="en-GB"/>
              </w:rPr>
              <w:t>3</w:t>
            </w:r>
            <w:r w:rsidR="0070704D">
              <w:rPr>
                <w:rFonts w:ascii="Arial" w:eastAsia="Times New Roman" w:hAnsi="Arial" w:cs="Arial"/>
                <w:i/>
                <w:iCs/>
                <w:sz w:val="16"/>
                <w:szCs w:val="16"/>
                <w:lang w:val="en-US" w:eastAsia="en-GB"/>
              </w:rPr>
              <w:t>,</w:t>
            </w:r>
            <w:r>
              <w:rPr>
                <w:rFonts w:ascii="Arial" w:eastAsia="Times New Roman" w:hAnsi="Arial" w:cs="Arial"/>
                <w:i/>
                <w:iCs/>
                <w:sz w:val="16"/>
                <w:szCs w:val="16"/>
                <w:lang w:eastAsia="en-GB"/>
              </w:rPr>
              <w:t>24</w:t>
            </w:r>
            <w:r w:rsidR="00A8556B" w:rsidRPr="00A02311">
              <w:rPr>
                <w:rFonts w:ascii="Arial" w:eastAsia="Times New Roman" w:hAnsi="Arial" w:cs="Arial"/>
                <w:i/>
                <w:iCs/>
                <w:sz w:val="16"/>
                <w:szCs w:val="16"/>
                <w:lang w:val="en-US" w:eastAsia="en-GB"/>
              </w:rPr>
              <w:t>%</w:t>
            </w:r>
          </w:p>
        </w:tc>
        <w:tc>
          <w:tcPr>
            <w:tcW w:w="466" w:type="pct"/>
            <w:tcBorders>
              <w:top w:val="nil"/>
              <w:left w:val="nil"/>
              <w:bottom w:val="single" w:sz="4" w:space="0" w:color="auto"/>
              <w:right w:val="nil"/>
            </w:tcBorders>
            <w:shd w:val="clear" w:color="auto" w:fill="auto"/>
            <w:vAlign w:val="center"/>
            <w:hideMark/>
          </w:tcPr>
          <w:p w:rsidR="00A8556B" w:rsidRPr="00A02311" w:rsidRDefault="00A8556B" w:rsidP="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2</w:t>
            </w:r>
            <w:r w:rsidR="0070704D">
              <w:rPr>
                <w:rFonts w:ascii="Arial" w:eastAsia="Times New Roman" w:hAnsi="Arial" w:cs="Arial"/>
                <w:i/>
                <w:iCs/>
                <w:sz w:val="16"/>
                <w:szCs w:val="16"/>
                <w:lang w:val="en-US" w:eastAsia="en-GB"/>
              </w:rPr>
              <w:t>,</w:t>
            </w:r>
            <w:r w:rsidR="00243231">
              <w:rPr>
                <w:rFonts w:ascii="Arial" w:eastAsia="Times New Roman" w:hAnsi="Arial" w:cs="Arial"/>
                <w:i/>
                <w:iCs/>
                <w:sz w:val="16"/>
                <w:szCs w:val="16"/>
                <w:lang w:eastAsia="en-GB"/>
              </w:rPr>
              <w:t>86</w:t>
            </w:r>
            <w:r w:rsidRPr="00A02311">
              <w:rPr>
                <w:rFonts w:ascii="Arial" w:eastAsia="Times New Roman" w:hAnsi="Arial" w:cs="Arial"/>
                <w:i/>
                <w:iCs/>
                <w:sz w:val="16"/>
                <w:szCs w:val="16"/>
                <w:lang w:val="en-US" w:eastAsia="en-GB"/>
              </w:rPr>
              <w:t>%</w:t>
            </w:r>
          </w:p>
        </w:tc>
        <w:tc>
          <w:tcPr>
            <w:tcW w:w="466" w:type="pct"/>
            <w:tcBorders>
              <w:top w:val="nil"/>
              <w:left w:val="nil"/>
              <w:bottom w:val="single" w:sz="4" w:space="0" w:color="auto"/>
              <w:right w:val="nil"/>
            </w:tcBorders>
            <w:shd w:val="clear" w:color="auto" w:fill="auto"/>
            <w:vAlign w:val="center"/>
            <w:hideMark/>
          </w:tcPr>
          <w:p w:rsidR="00A8556B" w:rsidRPr="00A02311" w:rsidRDefault="00A8556B" w:rsidP="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2</w:t>
            </w:r>
            <w:r w:rsidR="0070704D">
              <w:rPr>
                <w:rFonts w:ascii="Arial" w:eastAsia="Times New Roman" w:hAnsi="Arial" w:cs="Arial"/>
                <w:i/>
                <w:iCs/>
                <w:sz w:val="16"/>
                <w:szCs w:val="16"/>
                <w:lang w:val="en-US" w:eastAsia="en-GB"/>
              </w:rPr>
              <w:t>,</w:t>
            </w:r>
            <w:r w:rsidR="00243231">
              <w:rPr>
                <w:rFonts w:ascii="Arial" w:eastAsia="Times New Roman" w:hAnsi="Arial" w:cs="Arial"/>
                <w:i/>
                <w:iCs/>
                <w:sz w:val="16"/>
                <w:szCs w:val="16"/>
                <w:lang w:eastAsia="en-GB"/>
              </w:rPr>
              <w:t>72</w:t>
            </w:r>
            <w:r w:rsidRPr="00A02311">
              <w:rPr>
                <w:rFonts w:ascii="Arial" w:eastAsia="Times New Roman" w:hAnsi="Arial" w:cs="Arial"/>
                <w:i/>
                <w:iCs/>
                <w:sz w:val="16"/>
                <w:szCs w:val="16"/>
                <w:lang w:val="en-US" w:eastAsia="en-GB"/>
              </w:rPr>
              <w:t>%</w:t>
            </w:r>
          </w:p>
        </w:tc>
        <w:tc>
          <w:tcPr>
            <w:tcW w:w="465" w:type="pct"/>
            <w:tcBorders>
              <w:top w:val="nil"/>
              <w:left w:val="nil"/>
              <w:bottom w:val="single" w:sz="4" w:space="0" w:color="auto"/>
              <w:right w:val="nil"/>
            </w:tcBorders>
            <w:shd w:val="clear" w:color="auto" w:fill="auto"/>
            <w:vAlign w:val="center"/>
            <w:hideMark/>
          </w:tcPr>
          <w:p w:rsidR="00A8556B" w:rsidRPr="00A02311" w:rsidRDefault="00A8556B" w:rsidP="00A8556B">
            <w:pPr>
              <w:spacing w:after="0" w:line="240" w:lineRule="auto"/>
              <w:jc w:val="right"/>
              <w:rPr>
                <w:rFonts w:ascii="Arial" w:eastAsia="Times New Roman" w:hAnsi="Arial" w:cs="Arial"/>
                <w:i/>
                <w:iCs/>
                <w:sz w:val="16"/>
                <w:szCs w:val="16"/>
                <w:lang w:val="en-GB" w:eastAsia="en-GB"/>
              </w:rPr>
            </w:pPr>
            <w:r w:rsidRPr="00A02311">
              <w:rPr>
                <w:rFonts w:ascii="Arial" w:eastAsia="Times New Roman" w:hAnsi="Arial" w:cs="Arial"/>
                <w:i/>
                <w:iCs/>
                <w:sz w:val="16"/>
                <w:szCs w:val="16"/>
                <w:lang w:val="en-US" w:eastAsia="en-GB"/>
              </w:rPr>
              <w:t>2</w:t>
            </w:r>
            <w:r w:rsidR="0070704D">
              <w:rPr>
                <w:rFonts w:ascii="Arial" w:eastAsia="Times New Roman" w:hAnsi="Arial" w:cs="Arial"/>
                <w:i/>
                <w:iCs/>
                <w:sz w:val="16"/>
                <w:szCs w:val="16"/>
                <w:lang w:val="en-US" w:eastAsia="en-GB"/>
              </w:rPr>
              <w:t>,</w:t>
            </w:r>
            <w:r w:rsidR="00243231">
              <w:rPr>
                <w:rFonts w:ascii="Arial" w:eastAsia="Times New Roman" w:hAnsi="Arial" w:cs="Arial"/>
                <w:i/>
                <w:iCs/>
                <w:sz w:val="16"/>
                <w:szCs w:val="16"/>
                <w:lang w:eastAsia="en-GB"/>
              </w:rPr>
              <w:t>72</w:t>
            </w:r>
            <w:r w:rsidRPr="00A02311">
              <w:rPr>
                <w:rFonts w:ascii="Arial" w:eastAsia="Times New Roman" w:hAnsi="Arial" w:cs="Arial"/>
                <w:i/>
                <w:iCs/>
                <w:sz w:val="16"/>
                <w:szCs w:val="16"/>
                <w:lang w:val="en-US" w:eastAsia="en-GB"/>
              </w:rPr>
              <w:t>%</w:t>
            </w:r>
          </w:p>
        </w:tc>
      </w:tr>
    </w:tbl>
    <w:p w:rsidR="00B0742C" w:rsidRPr="0036109B" w:rsidRDefault="00B0742C" w:rsidP="000915DB">
      <w:pPr>
        <w:pStyle w:val="ListParagraph"/>
        <w:spacing w:after="120" w:line="240" w:lineRule="auto"/>
        <w:ind w:left="0"/>
        <w:jc w:val="both"/>
        <w:rPr>
          <w:rFonts w:ascii="Arial" w:eastAsia="Times New Roman" w:hAnsi="Arial" w:cs="Arial"/>
          <w:i/>
          <w:sz w:val="18"/>
          <w:szCs w:val="18"/>
        </w:rPr>
      </w:pPr>
      <w:r w:rsidRPr="00B603E5">
        <w:rPr>
          <w:rFonts w:ascii="Arial" w:hAnsi="Arial" w:cs="Arial"/>
          <w:sz w:val="16"/>
          <w:szCs w:val="18"/>
        </w:rPr>
        <w:t xml:space="preserve">   </w:t>
      </w:r>
      <w:r w:rsidRPr="0036109B">
        <w:rPr>
          <w:rFonts w:ascii="Arial" w:hAnsi="Arial" w:cs="Arial"/>
          <w:i/>
          <w:sz w:val="18"/>
          <w:szCs w:val="18"/>
        </w:rPr>
        <w:t xml:space="preserve">  Α: απόδοση βάσει των αποτελεσμάτων του έτους</w:t>
      </w:r>
    </w:p>
    <w:p w:rsidR="008232E8" w:rsidRPr="0036109B" w:rsidRDefault="00B0742C" w:rsidP="000915DB">
      <w:pPr>
        <w:pStyle w:val="ListParagraph"/>
        <w:spacing w:after="120" w:line="240" w:lineRule="auto"/>
        <w:ind w:left="0"/>
        <w:jc w:val="both"/>
        <w:rPr>
          <w:rFonts w:ascii="Arial" w:hAnsi="Arial" w:cs="Arial"/>
          <w:i/>
          <w:sz w:val="18"/>
          <w:szCs w:val="18"/>
        </w:rPr>
      </w:pPr>
      <w:r w:rsidRPr="0036109B">
        <w:rPr>
          <w:rFonts w:ascii="Arial" w:hAnsi="Arial" w:cs="Arial"/>
          <w:i/>
          <w:sz w:val="18"/>
          <w:szCs w:val="18"/>
        </w:rPr>
        <w:t xml:space="preserve">     Π: απόδοση βάσει προϋπολογισμού έτους</w:t>
      </w:r>
    </w:p>
    <w:p w:rsidR="008232E8" w:rsidRPr="0036109B" w:rsidRDefault="00770933" w:rsidP="000915DB">
      <w:pPr>
        <w:pStyle w:val="ListParagraph"/>
        <w:spacing w:after="120" w:line="240" w:lineRule="auto"/>
        <w:ind w:left="0"/>
        <w:jc w:val="both"/>
        <w:rPr>
          <w:rFonts w:ascii="Arial" w:hAnsi="Arial" w:cs="Arial"/>
          <w:i/>
          <w:sz w:val="18"/>
          <w:szCs w:val="18"/>
        </w:rPr>
      </w:pPr>
      <w:r w:rsidRPr="0036109B">
        <w:rPr>
          <w:rFonts w:ascii="Arial" w:hAnsi="Arial" w:cs="Arial"/>
          <w:i/>
          <w:sz w:val="18"/>
          <w:szCs w:val="18"/>
        </w:rPr>
        <w:t xml:space="preserve">     6</w:t>
      </w:r>
      <w:r w:rsidR="008232E8" w:rsidRPr="0036109B">
        <w:rPr>
          <w:rFonts w:ascii="Arial" w:hAnsi="Arial" w:cs="Arial"/>
          <w:i/>
          <w:sz w:val="18"/>
          <w:szCs w:val="18"/>
        </w:rPr>
        <w:t>Μ: ετ</w:t>
      </w:r>
      <w:r w:rsidR="00C6074C" w:rsidRPr="0036109B">
        <w:rPr>
          <w:rFonts w:ascii="Arial" w:hAnsi="Arial" w:cs="Arial"/>
          <w:i/>
          <w:sz w:val="18"/>
          <w:szCs w:val="18"/>
        </w:rPr>
        <w:t>ησιοποιημένη απόδοση βάσει εξα</w:t>
      </w:r>
      <w:r w:rsidR="008232E8" w:rsidRPr="0036109B">
        <w:rPr>
          <w:rFonts w:ascii="Arial" w:hAnsi="Arial" w:cs="Arial"/>
          <w:i/>
          <w:sz w:val="18"/>
          <w:szCs w:val="18"/>
        </w:rPr>
        <w:t>μηνιαίων αποτελεσμάτων</w:t>
      </w:r>
    </w:p>
    <w:p w:rsidR="008232E8" w:rsidRDefault="008232E8" w:rsidP="000915DB">
      <w:pPr>
        <w:pStyle w:val="ListParagraph"/>
        <w:spacing w:after="120" w:line="240" w:lineRule="auto"/>
        <w:ind w:left="0"/>
        <w:jc w:val="both"/>
        <w:rPr>
          <w:rFonts w:ascii="Arial" w:hAnsi="Arial" w:cs="Arial"/>
        </w:rPr>
      </w:pPr>
    </w:p>
    <w:p w:rsidR="00A8556B" w:rsidRPr="00CE6659" w:rsidRDefault="00A8556B" w:rsidP="000915DB">
      <w:pPr>
        <w:pStyle w:val="ListParagraph"/>
        <w:spacing w:after="120" w:line="240" w:lineRule="auto"/>
        <w:ind w:left="0"/>
        <w:jc w:val="both"/>
        <w:rPr>
          <w:rFonts w:ascii="Arial" w:hAnsi="Arial" w:cs="Arial"/>
        </w:rPr>
      </w:pPr>
    </w:p>
    <w:p w:rsidR="00DE7729" w:rsidRPr="00F01D07" w:rsidRDefault="00DE7729" w:rsidP="000915DB">
      <w:pPr>
        <w:jc w:val="both"/>
        <w:rPr>
          <w:rFonts w:ascii="Arial" w:hAnsi="Arial" w:cs="Arial"/>
          <w:b/>
          <w:sz w:val="20"/>
          <w:szCs w:val="20"/>
          <w:u w:val="single"/>
        </w:rPr>
      </w:pPr>
      <w:r w:rsidRPr="00CE6659">
        <w:rPr>
          <w:rFonts w:ascii="Arial" w:hAnsi="Arial" w:cs="Arial"/>
          <w:b/>
          <w:sz w:val="20"/>
          <w:szCs w:val="20"/>
          <w:u w:val="single"/>
        </w:rPr>
        <w:t>Άρθρο 06012 «Τόκοι πληρωτέοι»</w:t>
      </w:r>
      <w:r w:rsidR="002A3EAF" w:rsidRPr="00CE6659">
        <w:rPr>
          <w:rFonts w:ascii="Arial" w:hAnsi="Arial" w:cs="Arial"/>
          <w:b/>
          <w:sz w:val="20"/>
          <w:szCs w:val="20"/>
          <w:u w:val="single"/>
        </w:rPr>
        <w:tab/>
        <w:t>€</w:t>
      </w:r>
      <w:r w:rsidR="00375BF3">
        <w:rPr>
          <w:rFonts w:ascii="Arial" w:hAnsi="Arial" w:cs="Arial"/>
          <w:b/>
          <w:sz w:val="20"/>
          <w:szCs w:val="20"/>
          <w:u w:val="single"/>
        </w:rPr>
        <w:t>269.725</w:t>
      </w:r>
    </w:p>
    <w:p w:rsidR="00F01B28" w:rsidRPr="00F01B28" w:rsidRDefault="00DE7729" w:rsidP="00F01B28">
      <w:pPr>
        <w:jc w:val="both"/>
        <w:rPr>
          <w:rFonts w:ascii="Arial" w:hAnsi="Arial" w:cs="Arial"/>
          <w:sz w:val="20"/>
          <w:szCs w:val="20"/>
        </w:rPr>
      </w:pPr>
      <w:r w:rsidRPr="00CE6659">
        <w:rPr>
          <w:rFonts w:ascii="Arial" w:hAnsi="Arial" w:cs="Arial"/>
          <w:sz w:val="20"/>
          <w:szCs w:val="20"/>
        </w:rPr>
        <w:t>Στο Άρθρο 060</w:t>
      </w:r>
      <w:r w:rsidR="00940B0C">
        <w:rPr>
          <w:rFonts w:ascii="Arial" w:hAnsi="Arial" w:cs="Arial"/>
          <w:sz w:val="20"/>
          <w:szCs w:val="20"/>
        </w:rPr>
        <w:t>12</w:t>
      </w:r>
      <w:r w:rsidRPr="00CE6659">
        <w:rPr>
          <w:rFonts w:ascii="Arial" w:hAnsi="Arial" w:cs="Arial"/>
          <w:sz w:val="20"/>
          <w:szCs w:val="20"/>
        </w:rPr>
        <w:t xml:space="preserve"> «</w:t>
      </w:r>
      <w:r w:rsidR="00384310" w:rsidRPr="00CE6659">
        <w:rPr>
          <w:rFonts w:ascii="Arial" w:hAnsi="Arial" w:cs="Arial"/>
          <w:sz w:val="20"/>
          <w:szCs w:val="20"/>
        </w:rPr>
        <w:t>Τόκοι πληρωτέοι</w:t>
      </w:r>
      <w:r w:rsidRPr="00CE6659">
        <w:rPr>
          <w:rFonts w:ascii="Arial" w:hAnsi="Arial" w:cs="Arial"/>
          <w:sz w:val="20"/>
          <w:szCs w:val="20"/>
        </w:rPr>
        <w:t>» προβλέπεται το κόστος χρηματοδότησης του Οργανισμού που πηγάζει από τις καταθέσεις πελατών. Το κόστος καταθέσεων εξαρτάται από το ύψος των καταθέσεων κατά τη</w:t>
      </w:r>
      <w:r w:rsidR="00AC705E">
        <w:rPr>
          <w:rFonts w:ascii="Arial" w:hAnsi="Arial" w:cs="Arial"/>
          <w:sz w:val="20"/>
          <w:szCs w:val="20"/>
        </w:rPr>
        <w:t xml:space="preserve"> διάρκεια του έτους</w:t>
      </w:r>
      <w:r w:rsidR="00770722" w:rsidRPr="00B603E5">
        <w:rPr>
          <w:rFonts w:ascii="Arial" w:hAnsi="Arial" w:cs="Arial"/>
          <w:sz w:val="20"/>
          <w:szCs w:val="20"/>
        </w:rPr>
        <w:t xml:space="preserve"> </w:t>
      </w:r>
      <w:r w:rsidR="00770722">
        <w:rPr>
          <w:rFonts w:ascii="Arial" w:hAnsi="Arial" w:cs="Arial"/>
          <w:sz w:val="20"/>
          <w:szCs w:val="20"/>
        </w:rPr>
        <w:t xml:space="preserve">καθώς και από </w:t>
      </w:r>
      <w:r w:rsidR="00770722" w:rsidRPr="00770722">
        <w:rPr>
          <w:rFonts w:ascii="Arial" w:hAnsi="Arial" w:cs="Arial"/>
          <w:sz w:val="20"/>
          <w:szCs w:val="20"/>
        </w:rPr>
        <w:t xml:space="preserve">τη διασπορά των καταθέσεων </w:t>
      </w:r>
      <w:r w:rsidR="00770722">
        <w:rPr>
          <w:rFonts w:ascii="Arial" w:hAnsi="Arial" w:cs="Arial"/>
          <w:sz w:val="20"/>
          <w:szCs w:val="20"/>
        </w:rPr>
        <w:t xml:space="preserve">ανάμεσα στα καταθετικά προϊόντα. Στο τριετές πλάνο </w:t>
      </w:r>
      <w:r w:rsidR="00770722" w:rsidRPr="00770722">
        <w:rPr>
          <w:rFonts w:ascii="Arial" w:hAnsi="Arial" w:cs="Arial"/>
          <w:sz w:val="20"/>
          <w:szCs w:val="20"/>
        </w:rPr>
        <w:t>202</w:t>
      </w:r>
      <w:r w:rsidR="00215331">
        <w:rPr>
          <w:rFonts w:ascii="Arial" w:hAnsi="Arial" w:cs="Arial"/>
          <w:sz w:val="20"/>
          <w:szCs w:val="20"/>
        </w:rPr>
        <w:t>2</w:t>
      </w:r>
      <w:r w:rsidR="00770722" w:rsidRPr="00770722">
        <w:rPr>
          <w:rFonts w:ascii="Arial" w:hAnsi="Arial" w:cs="Arial"/>
          <w:sz w:val="20"/>
          <w:szCs w:val="20"/>
        </w:rPr>
        <w:t>-202</w:t>
      </w:r>
      <w:r w:rsidR="00215331">
        <w:rPr>
          <w:rFonts w:ascii="Arial" w:hAnsi="Arial" w:cs="Arial"/>
          <w:sz w:val="20"/>
          <w:szCs w:val="20"/>
        </w:rPr>
        <w:t>4</w:t>
      </w:r>
      <w:r w:rsidR="00770722" w:rsidRPr="00770722">
        <w:rPr>
          <w:rFonts w:ascii="Arial" w:hAnsi="Arial" w:cs="Arial"/>
          <w:sz w:val="20"/>
          <w:szCs w:val="20"/>
        </w:rPr>
        <w:t>, έχει αντικατοπτριστεί η υφιστάμενη στρατηγική του Οργανισμού όπου δεν θα προσφέρει στο κοινό προθεσμιακές καταθέσεις με διάρκεια μικρότερη των 12 μηνών</w:t>
      </w:r>
      <w:r w:rsidR="00AC705E">
        <w:rPr>
          <w:rFonts w:ascii="Arial" w:hAnsi="Arial" w:cs="Arial"/>
          <w:sz w:val="20"/>
          <w:szCs w:val="20"/>
        </w:rPr>
        <w:t xml:space="preserve">. </w:t>
      </w:r>
      <w:r w:rsidR="00770722">
        <w:rPr>
          <w:rFonts w:ascii="Arial" w:hAnsi="Arial" w:cs="Arial"/>
          <w:sz w:val="20"/>
          <w:szCs w:val="20"/>
        </w:rPr>
        <w:t>Επιπρόσθετα, γ</w:t>
      </w:r>
      <w:r w:rsidR="00770722" w:rsidRPr="00770722">
        <w:rPr>
          <w:rFonts w:ascii="Arial" w:hAnsi="Arial" w:cs="Arial"/>
          <w:sz w:val="20"/>
          <w:szCs w:val="20"/>
        </w:rPr>
        <w:t>ια το έτος 202</w:t>
      </w:r>
      <w:r w:rsidR="00215331">
        <w:rPr>
          <w:rFonts w:ascii="Arial" w:hAnsi="Arial" w:cs="Arial"/>
          <w:sz w:val="20"/>
          <w:szCs w:val="20"/>
        </w:rPr>
        <w:t>2</w:t>
      </w:r>
      <w:r w:rsidR="00770722" w:rsidRPr="00770722">
        <w:rPr>
          <w:rFonts w:ascii="Arial" w:hAnsi="Arial" w:cs="Arial"/>
          <w:sz w:val="20"/>
          <w:szCs w:val="20"/>
        </w:rPr>
        <w:t xml:space="preserve"> η ποσοστιαία μείωση των καταθέσεων έχει υπολογιστεί ως ο </w:t>
      </w:r>
      <w:r w:rsidR="00770722" w:rsidRPr="00770722">
        <w:rPr>
          <w:rFonts w:ascii="Arial" w:hAnsi="Arial" w:cs="Arial"/>
          <w:sz w:val="20"/>
          <w:szCs w:val="20"/>
        </w:rPr>
        <w:lastRenderedPageBreak/>
        <w:t>μέσο όρος της αλλαγής των καταθέσεων για το έτος 20</w:t>
      </w:r>
      <w:r w:rsidR="00215331">
        <w:rPr>
          <w:rFonts w:ascii="Arial" w:hAnsi="Arial" w:cs="Arial"/>
          <w:sz w:val="20"/>
          <w:szCs w:val="20"/>
        </w:rPr>
        <w:t>20</w:t>
      </w:r>
      <w:r w:rsidR="00770722" w:rsidRPr="00770722">
        <w:rPr>
          <w:rFonts w:ascii="Arial" w:hAnsi="Arial" w:cs="Arial"/>
          <w:sz w:val="20"/>
          <w:szCs w:val="20"/>
        </w:rPr>
        <w:t xml:space="preserve"> και η ετησιοποίημενη αλλαγή του α’ εξαμήνου 202</w:t>
      </w:r>
      <w:r w:rsidR="00215331">
        <w:rPr>
          <w:rFonts w:ascii="Arial" w:hAnsi="Arial" w:cs="Arial"/>
          <w:sz w:val="20"/>
          <w:szCs w:val="20"/>
        </w:rPr>
        <w:t>1</w:t>
      </w:r>
      <w:r w:rsidR="00770722" w:rsidRPr="00770722">
        <w:rPr>
          <w:rFonts w:ascii="Arial" w:hAnsi="Arial" w:cs="Arial"/>
          <w:sz w:val="20"/>
          <w:szCs w:val="20"/>
        </w:rPr>
        <w:t xml:space="preserve">.  </w:t>
      </w:r>
    </w:p>
    <w:p w:rsidR="00770722" w:rsidRPr="0053305F" w:rsidRDefault="00770722" w:rsidP="0053305F">
      <w:pPr>
        <w:jc w:val="both"/>
        <w:rPr>
          <w:rFonts w:ascii="Arial" w:hAnsi="Arial" w:cs="Arial"/>
          <w:sz w:val="20"/>
          <w:szCs w:val="20"/>
        </w:rPr>
      </w:pPr>
      <w:r w:rsidRPr="0053305F">
        <w:rPr>
          <w:rFonts w:ascii="Arial" w:hAnsi="Arial" w:cs="Arial"/>
          <w:sz w:val="20"/>
          <w:szCs w:val="20"/>
        </w:rPr>
        <w:t xml:space="preserve">Οι αλλαγές στο επίπεδο των καταθέσεων κατά τη διάρκεια του έτους θα οφείλονται στους ακόλουθους λόγους: </w:t>
      </w:r>
    </w:p>
    <w:p w:rsidR="00FD5C26" w:rsidRDefault="00770722" w:rsidP="0053305F">
      <w:pPr>
        <w:pStyle w:val="ListParagraph"/>
        <w:numPr>
          <w:ilvl w:val="0"/>
          <w:numId w:val="19"/>
        </w:numPr>
        <w:jc w:val="both"/>
        <w:rPr>
          <w:rFonts w:ascii="Arial" w:hAnsi="Arial" w:cs="Arial"/>
          <w:sz w:val="20"/>
          <w:szCs w:val="20"/>
        </w:rPr>
      </w:pPr>
      <w:r w:rsidRPr="0053305F">
        <w:rPr>
          <w:rFonts w:ascii="Arial" w:hAnsi="Arial" w:cs="Arial"/>
          <w:sz w:val="20"/>
          <w:szCs w:val="20"/>
        </w:rPr>
        <w:t xml:space="preserve">Η επίδραση από την κινητοποίηση των καταθετών για μεταφορά των καταθέσεων μεταξύ Τραπεζικών Ιδρυμάτων που είχε παρατηρηθεί τα προηγούμενα έτη, έχει πλέον ομαλοποιηθεί. Ο πελάτης πλέον  δείχνει εμπιστοσύνη στο Τραπεζικό ίδρυμα που έχει </w:t>
      </w:r>
      <w:r w:rsidR="00FD5C26">
        <w:rPr>
          <w:rFonts w:ascii="Arial" w:hAnsi="Arial" w:cs="Arial"/>
          <w:sz w:val="20"/>
          <w:szCs w:val="20"/>
        </w:rPr>
        <w:t>επι</w:t>
      </w:r>
      <w:r w:rsidRPr="0053305F">
        <w:rPr>
          <w:rFonts w:ascii="Arial" w:hAnsi="Arial" w:cs="Arial"/>
          <w:sz w:val="20"/>
          <w:szCs w:val="20"/>
        </w:rPr>
        <w:t>λέξει και ο μοναδικός λόγος που θα μετακινηθεί θα είναι το επιτόκιο ή για μετακίνηση κεφαλαίων έτσι ώστε να προστατεύσει τις καταθέσεις που ξεπερνούν τις €100χιλ</w:t>
      </w:r>
      <w:r w:rsidR="00215331">
        <w:rPr>
          <w:rFonts w:ascii="Arial" w:hAnsi="Arial" w:cs="Arial"/>
          <w:sz w:val="20"/>
          <w:szCs w:val="20"/>
        </w:rPr>
        <w:t>.</w:t>
      </w:r>
      <w:r w:rsidRPr="0053305F">
        <w:rPr>
          <w:rFonts w:ascii="Arial" w:hAnsi="Arial" w:cs="Arial"/>
          <w:sz w:val="20"/>
          <w:szCs w:val="20"/>
        </w:rPr>
        <w:t xml:space="preserve"> ανά πιστωτικό ίδρυμα ανά καταθέτη. </w:t>
      </w:r>
    </w:p>
    <w:p w:rsidR="00FD5C26" w:rsidRDefault="00FD5C26" w:rsidP="00FD5C26">
      <w:pPr>
        <w:pStyle w:val="ListParagraph"/>
        <w:jc w:val="both"/>
        <w:rPr>
          <w:rFonts w:ascii="Arial" w:hAnsi="Arial" w:cs="Arial"/>
          <w:sz w:val="20"/>
          <w:szCs w:val="20"/>
        </w:rPr>
      </w:pPr>
    </w:p>
    <w:p w:rsidR="00770722" w:rsidRPr="00880E70" w:rsidRDefault="000442C0" w:rsidP="00F01B28">
      <w:pPr>
        <w:pStyle w:val="ListParagraph"/>
        <w:numPr>
          <w:ilvl w:val="0"/>
          <w:numId w:val="19"/>
        </w:numPr>
        <w:jc w:val="both"/>
        <w:rPr>
          <w:rFonts w:ascii="Arial" w:hAnsi="Arial" w:cs="Arial"/>
          <w:strike/>
          <w:sz w:val="20"/>
          <w:szCs w:val="20"/>
        </w:rPr>
      </w:pPr>
      <w:r>
        <w:rPr>
          <w:rFonts w:ascii="Arial" w:hAnsi="Arial" w:cs="Arial"/>
          <w:sz w:val="20"/>
          <w:szCs w:val="20"/>
        </w:rPr>
        <w:t xml:space="preserve">Η δυνατότητα διατήρησης </w:t>
      </w:r>
      <w:r w:rsidR="00770722" w:rsidRPr="00FD5C26">
        <w:rPr>
          <w:rFonts w:ascii="Arial" w:hAnsi="Arial" w:cs="Arial"/>
          <w:sz w:val="20"/>
          <w:szCs w:val="20"/>
        </w:rPr>
        <w:t>λογαριασμών μισθοδοσίας για κάλυψη των δόσεων τους χωρίς να αναμένεται να διατηρούν σημαντικά πιστωτικά υπόλοιπα στους λογαριασμούς αυτούς</w:t>
      </w:r>
      <w:r w:rsidR="005362AF" w:rsidRPr="00880E70">
        <w:rPr>
          <w:rFonts w:ascii="Arial" w:hAnsi="Arial" w:cs="Arial"/>
          <w:sz w:val="20"/>
          <w:szCs w:val="20"/>
        </w:rPr>
        <w:t>.</w:t>
      </w:r>
    </w:p>
    <w:p w:rsidR="00770722" w:rsidRDefault="00770722" w:rsidP="00770722">
      <w:pPr>
        <w:jc w:val="both"/>
        <w:rPr>
          <w:rFonts w:ascii="Arial" w:hAnsi="Arial" w:cs="Arial"/>
          <w:sz w:val="20"/>
          <w:szCs w:val="20"/>
        </w:rPr>
      </w:pPr>
      <w:r w:rsidRPr="00770722">
        <w:rPr>
          <w:rFonts w:ascii="Arial" w:hAnsi="Arial" w:cs="Arial"/>
          <w:sz w:val="20"/>
          <w:szCs w:val="20"/>
        </w:rPr>
        <w:t>Το ετησιοποιημένο κόστος στις 30 Ιουνίου 202</w:t>
      </w:r>
      <w:r w:rsidR="00215331">
        <w:rPr>
          <w:rFonts w:ascii="Arial" w:hAnsi="Arial" w:cs="Arial"/>
          <w:sz w:val="20"/>
          <w:szCs w:val="20"/>
        </w:rPr>
        <w:t>1</w:t>
      </w:r>
      <w:r w:rsidRPr="00770722">
        <w:rPr>
          <w:rFonts w:ascii="Arial" w:hAnsi="Arial" w:cs="Arial"/>
          <w:sz w:val="20"/>
          <w:szCs w:val="20"/>
        </w:rPr>
        <w:t xml:space="preserve"> είναι χαμηλότερο σε σύγκριση με το έτος 20</w:t>
      </w:r>
      <w:r w:rsidR="00215331">
        <w:rPr>
          <w:rFonts w:ascii="Arial" w:hAnsi="Arial" w:cs="Arial"/>
          <w:sz w:val="20"/>
          <w:szCs w:val="20"/>
        </w:rPr>
        <w:t>20</w:t>
      </w:r>
      <w:r w:rsidRPr="00770722">
        <w:rPr>
          <w:rFonts w:ascii="Arial" w:hAnsi="Arial" w:cs="Arial"/>
          <w:sz w:val="20"/>
          <w:szCs w:val="20"/>
        </w:rPr>
        <w:t xml:space="preserve"> και αυτό οφείλεται στην συνεχή μείωση επιτοκίων και τον σταδιακό αντικατοπτρισμό στο κόστος καταθέσεων με την λήξη των γραμμάτιών και ανανέωση με χαμηλότερο επιτόκιο. </w:t>
      </w:r>
      <w:r w:rsidRPr="004A52D3">
        <w:rPr>
          <w:rFonts w:ascii="Arial" w:hAnsi="Arial" w:cs="Arial"/>
          <w:sz w:val="20"/>
          <w:szCs w:val="20"/>
        </w:rPr>
        <w:t>Για τα επόμενα χρόνια 202</w:t>
      </w:r>
      <w:r w:rsidR="00215331" w:rsidRPr="0003768A">
        <w:rPr>
          <w:rFonts w:ascii="Arial" w:hAnsi="Arial" w:cs="Arial"/>
          <w:sz w:val="20"/>
          <w:szCs w:val="20"/>
        </w:rPr>
        <w:t>2</w:t>
      </w:r>
      <w:r w:rsidRPr="00F922BD">
        <w:rPr>
          <w:rFonts w:ascii="Arial" w:hAnsi="Arial" w:cs="Arial"/>
          <w:sz w:val="20"/>
          <w:szCs w:val="20"/>
        </w:rPr>
        <w:t>-202</w:t>
      </w:r>
      <w:r w:rsidR="00215331" w:rsidRPr="00F922BD">
        <w:rPr>
          <w:rFonts w:ascii="Arial" w:hAnsi="Arial" w:cs="Arial"/>
          <w:sz w:val="20"/>
          <w:szCs w:val="20"/>
        </w:rPr>
        <w:t>3</w:t>
      </w:r>
      <w:r w:rsidRPr="00F922BD">
        <w:rPr>
          <w:rFonts w:ascii="Arial" w:hAnsi="Arial" w:cs="Arial"/>
          <w:sz w:val="20"/>
          <w:szCs w:val="20"/>
        </w:rPr>
        <w:t xml:space="preserve"> αναμένεται να συνεχίσει η μείωση των επιτοκίων όπως έχει αντικατοπτριστεί στα αντίστοιχα έτη, ενώ για το έτος 202</w:t>
      </w:r>
      <w:r w:rsidR="00215331" w:rsidRPr="00F922BD">
        <w:rPr>
          <w:rFonts w:ascii="Arial" w:hAnsi="Arial" w:cs="Arial"/>
          <w:sz w:val="20"/>
          <w:szCs w:val="20"/>
        </w:rPr>
        <w:t>4</w:t>
      </w:r>
      <w:r w:rsidRPr="00F922BD">
        <w:rPr>
          <w:rFonts w:ascii="Arial" w:hAnsi="Arial" w:cs="Arial"/>
          <w:sz w:val="20"/>
          <w:szCs w:val="20"/>
        </w:rPr>
        <w:t xml:space="preserve"> </w:t>
      </w:r>
      <w:r w:rsidR="00D73676" w:rsidRPr="00880E70">
        <w:rPr>
          <w:rFonts w:ascii="Arial" w:hAnsi="Arial" w:cs="Arial"/>
          <w:sz w:val="20"/>
          <w:szCs w:val="20"/>
        </w:rPr>
        <w:t>θα παραμείνει σταθερό</w:t>
      </w:r>
      <w:r w:rsidR="004A52D3">
        <w:rPr>
          <w:rFonts w:ascii="Arial" w:hAnsi="Arial" w:cs="Arial"/>
          <w:sz w:val="20"/>
          <w:szCs w:val="20"/>
        </w:rPr>
        <w:t>, σε πολύ χαμηλό επίπεδο</w:t>
      </w:r>
      <w:r w:rsidRPr="004A52D3">
        <w:rPr>
          <w:rFonts w:ascii="Arial" w:hAnsi="Arial" w:cs="Arial"/>
          <w:sz w:val="20"/>
          <w:szCs w:val="20"/>
        </w:rPr>
        <w:t>.</w:t>
      </w:r>
      <w:r w:rsidRPr="00770722">
        <w:rPr>
          <w:rFonts w:ascii="Arial" w:hAnsi="Arial" w:cs="Arial"/>
          <w:sz w:val="20"/>
          <w:szCs w:val="20"/>
        </w:rPr>
        <w:t xml:space="preserve"> </w:t>
      </w:r>
    </w:p>
    <w:p w:rsidR="002A3EAF" w:rsidRPr="00CE6659" w:rsidRDefault="002A3EAF">
      <w:pPr>
        <w:jc w:val="both"/>
        <w:rPr>
          <w:rFonts w:ascii="Arial" w:hAnsi="Arial" w:cs="Arial"/>
          <w:sz w:val="20"/>
          <w:szCs w:val="20"/>
        </w:rPr>
      </w:pPr>
      <w:r w:rsidRPr="00CE6659">
        <w:rPr>
          <w:rFonts w:ascii="Arial" w:hAnsi="Arial" w:cs="Arial"/>
          <w:sz w:val="20"/>
          <w:szCs w:val="20"/>
        </w:rPr>
        <w:t xml:space="preserve">Στον πίνακα πιο κάτω παρουσιάζεται το κόστος των καταθέσεων </w:t>
      </w:r>
      <w:r w:rsidR="004825B3">
        <w:rPr>
          <w:rFonts w:ascii="Arial" w:hAnsi="Arial" w:cs="Arial"/>
          <w:sz w:val="20"/>
          <w:szCs w:val="20"/>
        </w:rPr>
        <w:t>ό</w:t>
      </w:r>
      <w:r w:rsidRPr="00CE6659">
        <w:rPr>
          <w:rFonts w:ascii="Arial" w:hAnsi="Arial" w:cs="Arial"/>
          <w:sz w:val="20"/>
          <w:szCs w:val="20"/>
        </w:rPr>
        <w:t xml:space="preserve">που διαφαίνεται </w:t>
      </w:r>
      <w:r w:rsidR="00DD6BBC">
        <w:rPr>
          <w:rFonts w:ascii="Arial" w:hAnsi="Arial" w:cs="Arial"/>
          <w:sz w:val="20"/>
          <w:szCs w:val="20"/>
        </w:rPr>
        <w:t>η μείωση του κόστο</w:t>
      </w:r>
      <w:r w:rsidR="00F01B28">
        <w:rPr>
          <w:rFonts w:ascii="Arial" w:hAnsi="Arial" w:cs="Arial"/>
          <w:sz w:val="20"/>
          <w:szCs w:val="20"/>
        </w:rPr>
        <w:t>υς</w:t>
      </w:r>
      <w:r w:rsidR="00770722">
        <w:rPr>
          <w:rFonts w:ascii="Arial" w:hAnsi="Arial" w:cs="Arial"/>
          <w:sz w:val="20"/>
          <w:szCs w:val="20"/>
        </w:rPr>
        <w:t xml:space="preserve"> χρηματοδότησης</w:t>
      </w:r>
      <w:r w:rsidR="00F01B28">
        <w:rPr>
          <w:rFonts w:ascii="Arial" w:hAnsi="Arial" w:cs="Arial"/>
          <w:sz w:val="20"/>
          <w:szCs w:val="20"/>
        </w:rPr>
        <w:t xml:space="preserve"> από το 20</w:t>
      </w:r>
      <w:r w:rsidR="00F922BD">
        <w:rPr>
          <w:rFonts w:ascii="Arial" w:hAnsi="Arial" w:cs="Arial"/>
          <w:sz w:val="20"/>
          <w:szCs w:val="20"/>
        </w:rPr>
        <w:t>19</w:t>
      </w:r>
      <w:r w:rsidRPr="00CE6659">
        <w:rPr>
          <w:rFonts w:ascii="Arial" w:hAnsi="Arial" w:cs="Arial"/>
          <w:sz w:val="20"/>
          <w:szCs w:val="20"/>
        </w:rPr>
        <w:t xml:space="preserve"> μέχρι σήμερα. </w:t>
      </w:r>
    </w:p>
    <w:p w:rsidR="002A3EAF" w:rsidRDefault="002A3EAF" w:rsidP="00FD5C26">
      <w:pPr>
        <w:spacing w:after="120" w:line="240" w:lineRule="auto"/>
        <w:ind w:left="720"/>
        <w:jc w:val="center"/>
        <w:rPr>
          <w:rFonts w:ascii="Arial" w:hAnsi="Arial" w:cs="Arial"/>
          <w:b/>
          <w:sz w:val="20"/>
          <w:szCs w:val="20"/>
          <w:u w:val="single"/>
        </w:rPr>
      </w:pPr>
      <w:r w:rsidRPr="00CE6659">
        <w:rPr>
          <w:rFonts w:ascii="Arial" w:hAnsi="Arial" w:cs="Arial"/>
          <w:b/>
          <w:sz w:val="20"/>
          <w:szCs w:val="20"/>
          <w:u w:val="single"/>
        </w:rPr>
        <w:t>Πίνακας: Ετησιοποιημένο Κόστος Καταθέσεων</w:t>
      </w:r>
    </w:p>
    <w:p w:rsidR="00770722" w:rsidRDefault="00770722" w:rsidP="00B603E5">
      <w:pPr>
        <w:spacing w:after="120" w:line="240" w:lineRule="auto"/>
        <w:ind w:left="720"/>
        <w:jc w:val="center"/>
        <w:rPr>
          <w:rFonts w:ascii="Arial" w:hAnsi="Arial" w:cs="Arial"/>
          <w:b/>
          <w:sz w:val="20"/>
          <w:szCs w:val="20"/>
          <w:u w:val="single"/>
        </w:rPr>
      </w:pPr>
    </w:p>
    <w:tbl>
      <w:tblPr>
        <w:tblW w:w="5000" w:type="pct"/>
        <w:jc w:val="center"/>
        <w:tblLayout w:type="fixed"/>
        <w:tblLook w:val="04A0" w:firstRow="1" w:lastRow="0" w:firstColumn="1" w:lastColumn="0" w:noHBand="0" w:noVBand="1"/>
      </w:tblPr>
      <w:tblGrid>
        <w:gridCol w:w="1632"/>
        <w:gridCol w:w="1112"/>
        <w:gridCol w:w="1115"/>
        <w:gridCol w:w="1115"/>
        <w:gridCol w:w="1115"/>
        <w:gridCol w:w="1115"/>
        <w:gridCol w:w="1115"/>
        <w:gridCol w:w="1111"/>
      </w:tblGrid>
      <w:tr w:rsidR="00D73676" w:rsidRPr="00FC11C7" w:rsidTr="00880E70">
        <w:trPr>
          <w:trHeight w:val="249"/>
          <w:jc w:val="center"/>
        </w:trPr>
        <w:tc>
          <w:tcPr>
            <w:tcW w:w="866" w:type="pct"/>
            <w:tcBorders>
              <w:top w:val="nil"/>
              <w:left w:val="nil"/>
              <w:bottom w:val="nil"/>
              <w:right w:val="nil"/>
            </w:tcBorders>
            <w:shd w:val="clear" w:color="auto" w:fill="auto"/>
            <w:noWrap/>
            <w:vAlign w:val="bottom"/>
            <w:hideMark/>
          </w:tcPr>
          <w:p w:rsidR="00A8556B" w:rsidRPr="00B603E5" w:rsidRDefault="00A8556B" w:rsidP="00770722">
            <w:pPr>
              <w:spacing w:after="0" w:line="240" w:lineRule="auto"/>
              <w:rPr>
                <w:rFonts w:ascii="Times New Roman" w:eastAsia="Times New Roman" w:hAnsi="Times New Roman" w:cs="Times New Roman"/>
                <w:sz w:val="16"/>
                <w:szCs w:val="24"/>
                <w:lang w:val="en-GB" w:eastAsia="en-GB"/>
              </w:rPr>
            </w:pPr>
          </w:p>
        </w:tc>
        <w:tc>
          <w:tcPr>
            <w:tcW w:w="590" w:type="pct"/>
            <w:tcBorders>
              <w:top w:val="nil"/>
              <w:left w:val="nil"/>
              <w:bottom w:val="nil"/>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201</w:t>
            </w:r>
            <w:r w:rsidR="00D73676">
              <w:rPr>
                <w:rFonts w:ascii="Arial" w:eastAsia="Times New Roman" w:hAnsi="Arial" w:cs="Arial"/>
                <w:b/>
                <w:bCs/>
                <w:sz w:val="16"/>
                <w:szCs w:val="18"/>
                <w:lang w:eastAsia="en-GB"/>
              </w:rPr>
              <w:t>9</w:t>
            </w:r>
            <w:r w:rsidRPr="00B603E5">
              <w:rPr>
                <w:rFonts w:ascii="Arial" w:eastAsia="Times New Roman" w:hAnsi="Arial" w:cs="Arial"/>
                <w:b/>
                <w:bCs/>
                <w:sz w:val="16"/>
                <w:szCs w:val="18"/>
                <w:lang w:val="en-US" w:eastAsia="en-GB"/>
              </w:rPr>
              <w:t xml:space="preserve"> Α</w:t>
            </w:r>
          </w:p>
        </w:tc>
        <w:tc>
          <w:tcPr>
            <w:tcW w:w="591" w:type="pct"/>
            <w:tcBorders>
              <w:top w:val="nil"/>
              <w:left w:val="nil"/>
              <w:bottom w:val="nil"/>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20</w:t>
            </w:r>
            <w:r w:rsidR="00D73676">
              <w:rPr>
                <w:rFonts w:ascii="Arial" w:eastAsia="Times New Roman" w:hAnsi="Arial" w:cs="Arial"/>
                <w:b/>
                <w:bCs/>
                <w:sz w:val="16"/>
                <w:szCs w:val="18"/>
                <w:lang w:eastAsia="en-GB"/>
              </w:rPr>
              <w:t>20</w:t>
            </w:r>
            <w:r w:rsidRPr="00B603E5">
              <w:rPr>
                <w:rFonts w:ascii="Arial" w:eastAsia="Times New Roman" w:hAnsi="Arial" w:cs="Arial"/>
                <w:b/>
                <w:bCs/>
                <w:sz w:val="16"/>
                <w:szCs w:val="18"/>
                <w:lang w:val="en-US" w:eastAsia="en-GB"/>
              </w:rPr>
              <w:t xml:space="preserve"> Α</w:t>
            </w:r>
          </w:p>
        </w:tc>
        <w:tc>
          <w:tcPr>
            <w:tcW w:w="591" w:type="pct"/>
            <w:tcBorders>
              <w:top w:val="nil"/>
              <w:left w:val="nil"/>
              <w:bottom w:val="nil"/>
              <w:right w:val="nil"/>
            </w:tcBorders>
            <w:shd w:val="clear" w:color="auto" w:fill="auto"/>
            <w:vAlign w:val="center"/>
            <w:hideMark/>
          </w:tcPr>
          <w:p w:rsidR="00A8556B" w:rsidRPr="00B603E5" w:rsidRDefault="001C314A" w:rsidP="00770722">
            <w:pPr>
              <w:spacing w:after="0" w:line="240" w:lineRule="auto"/>
              <w:jc w:val="right"/>
              <w:rPr>
                <w:rFonts w:ascii="Arial" w:eastAsia="Times New Roman" w:hAnsi="Arial" w:cs="Arial"/>
                <w:b/>
                <w:bCs/>
                <w:sz w:val="16"/>
                <w:szCs w:val="18"/>
                <w:lang w:val="en-GB" w:eastAsia="en-GB"/>
              </w:rPr>
            </w:pPr>
            <w:r>
              <w:rPr>
                <w:rFonts w:ascii="Arial" w:eastAsia="Times New Roman" w:hAnsi="Arial" w:cs="Arial"/>
                <w:b/>
                <w:bCs/>
                <w:sz w:val="16"/>
                <w:szCs w:val="18"/>
                <w:lang w:eastAsia="en-GB"/>
              </w:rPr>
              <w:t xml:space="preserve">6Μ </w:t>
            </w:r>
            <w:r w:rsidR="00A8556B" w:rsidRPr="00B603E5">
              <w:rPr>
                <w:rFonts w:ascii="Arial" w:eastAsia="Times New Roman" w:hAnsi="Arial" w:cs="Arial"/>
                <w:b/>
                <w:bCs/>
                <w:sz w:val="16"/>
                <w:szCs w:val="18"/>
                <w:lang w:val="en-US" w:eastAsia="en-GB"/>
              </w:rPr>
              <w:t>202</w:t>
            </w:r>
            <w:r w:rsidR="00D73676">
              <w:rPr>
                <w:rFonts w:ascii="Arial" w:eastAsia="Times New Roman" w:hAnsi="Arial" w:cs="Arial"/>
                <w:b/>
                <w:bCs/>
                <w:sz w:val="16"/>
                <w:szCs w:val="18"/>
                <w:lang w:eastAsia="en-GB"/>
              </w:rPr>
              <w:t>1</w:t>
            </w:r>
            <w:r w:rsidR="00A8556B" w:rsidRPr="00B603E5">
              <w:rPr>
                <w:rFonts w:ascii="Arial" w:eastAsia="Times New Roman" w:hAnsi="Arial" w:cs="Arial"/>
                <w:b/>
                <w:bCs/>
                <w:sz w:val="16"/>
                <w:szCs w:val="18"/>
                <w:lang w:val="en-US" w:eastAsia="en-GB"/>
              </w:rPr>
              <w:t xml:space="preserve"> Α</w:t>
            </w:r>
          </w:p>
        </w:tc>
        <w:tc>
          <w:tcPr>
            <w:tcW w:w="591" w:type="pct"/>
            <w:tcBorders>
              <w:top w:val="nil"/>
              <w:left w:val="nil"/>
              <w:bottom w:val="nil"/>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202</w:t>
            </w:r>
            <w:r w:rsidR="00D73676">
              <w:rPr>
                <w:rFonts w:ascii="Arial" w:eastAsia="Times New Roman" w:hAnsi="Arial" w:cs="Arial"/>
                <w:b/>
                <w:bCs/>
                <w:sz w:val="16"/>
                <w:szCs w:val="18"/>
                <w:lang w:eastAsia="en-GB"/>
              </w:rPr>
              <w:t>1</w:t>
            </w:r>
            <w:r w:rsidRPr="00B603E5">
              <w:rPr>
                <w:rFonts w:ascii="Arial" w:eastAsia="Times New Roman" w:hAnsi="Arial" w:cs="Arial"/>
                <w:b/>
                <w:bCs/>
                <w:sz w:val="16"/>
                <w:szCs w:val="18"/>
                <w:lang w:val="en-US" w:eastAsia="en-GB"/>
              </w:rPr>
              <w:t xml:space="preserve"> Π</w:t>
            </w:r>
          </w:p>
        </w:tc>
        <w:tc>
          <w:tcPr>
            <w:tcW w:w="591" w:type="pct"/>
            <w:tcBorders>
              <w:top w:val="nil"/>
              <w:left w:val="nil"/>
              <w:bottom w:val="nil"/>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202</w:t>
            </w:r>
            <w:r w:rsidR="00D73676">
              <w:rPr>
                <w:rFonts w:ascii="Arial" w:eastAsia="Times New Roman" w:hAnsi="Arial" w:cs="Arial"/>
                <w:b/>
                <w:bCs/>
                <w:sz w:val="16"/>
                <w:szCs w:val="18"/>
                <w:lang w:eastAsia="en-GB"/>
              </w:rPr>
              <w:t>2</w:t>
            </w:r>
            <w:r w:rsidRPr="00B603E5">
              <w:rPr>
                <w:rFonts w:ascii="Arial" w:eastAsia="Times New Roman" w:hAnsi="Arial" w:cs="Arial"/>
                <w:b/>
                <w:bCs/>
                <w:sz w:val="16"/>
                <w:szCs w:val="18"/>
                <w:lang w:val="en-US" w:eastAsia="en-GB"/>
              </w:rPr>
              <w:t xml:space="preserve"> Π</w:t>
            </w:r>
          </w:p>
        </w:tc>
        <w:tc>
          <w:tcPr>
            <w:tcW w:w="591" w:type="pct"/>
            <w:tcBorders>
              <w:top w:val="nil"/>
              <w:left w:val="nil"/>
              <w:bottom w:val="nil"/>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202</w:t>
            </w:r>
            <w:r w:rsidR="00D73676">
              <w:rPr>
                <w:rFonts w:ascii="Arial" w:eastAsia="Times New Roman" w:hAnsi="Arial" w:cs="Arial"/>
                <w:b/>
                <w:bCs/>
                <w:sz w:val="16"/>
                <w:szCs w:val="18"/>
                <w:lang w:eastAsia="en-GB"/>
              </w:rPr>
              <w:t>3</w:t>
            </w:r>
            <w:r w:rsidRPr="00B603E5">
              <w:rPr>
                <w:rFonts w:ascii="Arial" w:eastAsia="Times New Roman" w:hAnsi="Arial" w:cs="Arial"/>
                <w:b/>
                <w:bCs/>
                <w:sz w:val="16"/>
                <w:szCs w:val="18"/>
                <w:lang w:val="en-US" w:eastAsia="en-GB"/>
              </w:rPr>
              <w:t xml:space="preserve"> Π</w:t>
            </w:r>
          </w:p>
        </w:tc>
        <w:tc>
          <w:tcPr>
            <w:tcW w:w="591" w:type="pct"/>
            <w:tcBorders>
              <w:top w:val="nil"/>
              <w:left w:val="nil"/>
              <w:bottom w:val="nil"/>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202</w:t>
            </w:r>
            <w:r w:rsidR="00D73676">
              <w:rPr>
                <w:rFonts w:ascii="Arial" w:eastAsia="Times New Roman" w:hAnsi="Arial" w:cs="Arial"/>
                <w:b/>
                <w:bCs/>
                <w:sz w:val="16"/>
                <w:szCs w:val="18"/>
                <w:lang w:eastAsia="en-GB"/>
              </w:rPr>
              <w:t>4</w:t>
            </w:r>
            <w:r w:rsidRPr="00B603E5">
              <w:rPr>
                <w:rFonts w:ascii="Arial" w:eastAsia="Times New Roman" w:hAnsi="Arial" w:cs="Arial"/>
                <w:b/>
                <w:bCs/>
                <w:sz w:val="16"/>
                <w:szCs w:val="18"/>
                <w:lang w:val="en-US" w:eastAsia="en-GB"/>
              </w:rPr>
              <w:t xml:space="preserve"> Π</w:t>
            </w:r>
          </w:p>
        </w:tc>
      </w:tr>
      <w:tr w:rsidR="00D73676" w:rsidRPr="00FC11C7" w:rsidTr="00880E70">
        <w:trPr>
          <w:trHeight w:val="239"/>
          <w:jc w:val="center"/>
        </w:trPr>
        <w:tc>
          <w:tcPr>
            <w:tcW w:w="866" w:type="pct"/>
            <w:tcBorders>
              <w:top w:val="nil"/>
              <w:left w:val="nil"/>
              <w:bottom w:val="nil"/>
              <w:right w:val="nil"/>
            </w:tcBorders>
            <w:shd w:val="clear" w:color="000000" w:fill="D9D9D9"/>
            <w:noWrap/>
            <w:vAlign w:val="center"/>
            <w:hideMark/>
          </w:tcPr>
          <w:p w:rsidR="00A8556B" w:rsidRPr="00B603E5" w:rsidRDefault="00A8556B" w:rsidP="00770722">
            <w:pPr>
              <w:spacing w:after="0" w:line="240" w:lineRule="auto"/>
              <w:rPr>
                <w:rFonts w:ascii="Arial" w:eastAsia="Times New Roman" w:hAnsi="Arial" w:cs="Arial"/>
                <w:sz w:val="16"/>
                <w:szCs w:val="18"/>
                <w:lang w:val="en-GB" w:eastAsia="en-GB"/>
              </w:rPr>
            </w:pPr>
            <w:r w:rsidRPr="00B603E5">
              <w:rPr>
                <w:rFonts w:ascii="Arial" w:eastAsia="Times New Roman" w:hAnsi="Arial" w:cs="Arial"/>
                <w:sz w:val="16"/>
                <w:szCs w:val="18"/>
                <w:lang w:val="en-US" w:eastAsia="en-GB"/>
              </w:rPr>
              <w:t> </w:t>
            </w:r>
          </w:p>
        </w:tc>
        <w:tc>
          <w:tcPr>
            <w:tcW w:w="590" w:type="pct"/>
            <w:tcBorders>
              <w:top w:val="nil"/>
              <w:left w:val="nil"/>
              <w:bottom w:val="nil"/>
              <w:right w:val="nil"/>
            </w:tcBorders>
            <w:shd w:val="clear" w:color="000000" w:fill="D9D9D9"/>
            <w:noWrap/>
            <w:vAlign w:val="center"/>
            <w:hideMark/>
          </w:tcPr>
          <w:p w:rsidR="00A8556B" w:rsidRPr="00B603E5" w:rsidRDefault="00A8556B" w:rsidP="00770722">
            <w:pPr>
              <w:spacing w:after="0" w:line="240" w:lineRule="auto"/>
              <w:jc w:val="right"/>
              <w:rPr>
                <w:rFonts w:ascii="Arial" w:eastAsia="Times New Roman" w:hAnsi="Arial" w:cs="Arial"/>
                <w:b/>
                <w:bCs/>
                <w:color w:val="FF0000"/>
                <w:sz w:val="16"/>
                <w:szCs w:val="18"/>
                <w:lang w:val="en-GB" w:eastAsia="en-GB"/>
              </w:rPr>
            </w:pPr>
            <w:r w:rsidRPr="00B603E5">
              <w:rPr>
                <w:rFonts w:ascii="Arial" w:eastAsia="Times New Roman" w:hAnsi="Arial" w:cs="Arial"/>
                <w:b/>
                <w:bCs/>
                <w:color w:val="FF0000"/>
                <w:sz w:val="16"/>
                <w:szCs w:val="18"/>
                <w:lang w:val="en-US" w:eastAsia="en-GB"/>
              </w:rPr>
              <w:t> </w:t>
            </w:r>
            <w:r w:rsidRPr="00FC11C7">
              <w:rPr>
                <w:rFonts w:ascii="Arial" w:eastAsia="Times New Roman" w:hAnsi="Arial" w:cs="Arial"/>
                <w:b/>
                <w:bCs/>
                <w:sz w:val="16"/>
                <w:szCs w:val="16"/>
                <w:lang w:val="en-US" w:eastAsia="en-GB"/>
              </w:rPr>
              <w:t> €000</w:t>
            </w:r>
          </w:p>
        </w:tc>
        <w:tc>
          <w:tcPr>
            <w:tcW w:w="591" w:type="pct"/>
            <w:tcBorders>
              <w:top w:val="nil"/>
              <w:left w:val="nil"/>
              <w:bottom w:val="nil"/>
              <w:right w:val="nil"/>
            </w:tcBorders>
            <w:shd w:val="clear" w:color="000000" w:fill="D9D9D9"/>
            <w:noWrap/>
            <w:vAlign w:val="center"/>
            <w:hideMark/>
          </w:tcPr>
          <w:p w:rsidR="00A8556B" w:rsidRPr="00B603E5" w:rsidRDefault="00A8556B" w:rsidP="00770722">
            <w:pPr>
              <w:spacing w:after="0" w:line="240" w:lineRule="auto"/>
              <w:jc w:val="right"/>
              <w:rPr>
                <w:rFonts w:ascii="Arial" w:eastAsia="Times New Roman" w:hAnsi="Arial" w:cs="Arial"/>
                <w:b/>
                <w:bCs/>
                <w:color w:val="FF0000"/>
                <w:sz w:val="16"/>
                <w:szCs w:val="18"/>
                <w:lang w:val="en-GB" w:eastAsia="en-GB"/>
              </w:rPr>
            </w:pPr>
            <w:r w:rsidRPr="00B603E5">
              <w:rPr>
                <w:rFonts w:ascii="Arial" w:eastAsia="Times New Roman" w:hAnsi="Arial" w:cs="Arial"/>
                <w:b/>
                <w:bCs/>
                <w:color w:val="FF0000"/>
                <w:sz w:val="16"/>
                <w:szCs w:val="18"/>
                <w:lang w:val="en-US" w:eastAsia="en-GB"/>
              </w:rPr>
              <w:t> </w:t>
            </w:r>
            <w:r w:rsidRPr="00FC11C7">
              <w:rPr>
                <w:rFonts w:ascii="Arial" w:eastAsia="Times New Roman" w:hAnsi="Arial" w:cs="Arial"/>
                <w:b/>
                <w:bCs/>
                <w:sz w:val="16"/>
                <w:szCs w:val="16"/>
                <w:lang w:val="en-US" w:eastAsia="en-GB"/>
              </w:rPr>
              <w:t> €000</w:t>
            </w:r>
          </w:p>
        </w:tc>
        <w:tc>
          <w:tcPr>
            <w:tcW w:w="591" w:type="pct"/>
            <w:tcBorders>
              <w:top w:val="nil"/>
              <w:left w:val="nil"/>
              <w:bottom w:val="nil"/>
              <w:right w:val="nil"/>
            </w:tcBorders>
            <w:shd w:val="clear" w:color="000000" w:fill="D9D9D9"/>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 </w:t>
            </w:r>
            <w:r w:rsidRPr="00FC11C7">
              <w:rPr>
                <w:rFonts w:ascii="Arial" w:eastAsia="Times New Roman" w:hAnsi="Arial" w:cs="Arial"/>
                <w:b/>
                <w:bCs/>
                <w:sz w:val="16"/>
                <w:szCs w:val="16"/>
                <w:lang w:val="en-US" w:eastAsia="en-GB"/>
              </w:rPr>
              <w:t> €000</w:t>
            </w:r>
          </w:p>
        </w:tc>
        <w:tc>
          <w:tcPr>
            <w:tcW w:w="591" w:type="pct"/>
            <w:tcBorders>
              <w:top w:val="nil"/>
              <w:left w:val="nil"/>
              <w:bottom w:val="nil"/>
              <w:right w:val="nil"/>
            </w:tcBorders>
            <w:shd w:val="clear" w:color="000000" w:fill="D9D9D9"/>
            <w:noWrap/>
            <w:vAlign w:val="center"/>
            <w:hideMark/>
          </w:tcPr>
          <w:p w:rsidR="00A8556B" w:rsidRPr="00B603E5" w:rsidRDefault="00A8556B" w:rsidP="00770722">
            <w:pPr>
              <w:spacing w:after="0" w:line="240" w:lineRule="auto"/>
              <w:jc w:val="right"/>
              <w:rPr>
                <w:rFonts w:ascii="Arial" w:eastAsia="Times New Roman" w:hAnsi="Arial" w:cs="Arial"/>
                <w:b/>
                <w:bCs/>
                <w:color w:val="FF0000"/>
                <w:sz w:val="16"/>
                <w:szCs w:val="18"/>
                <w:lang w:val="en-GB" w:eastAsia="en-GB"/>
              </w:rPr>
            </w:pPr>
            <w:r w:rsidRPr="00B603E5">
              <w:rPr>
                <w:rFonts w:ascii="Arial" w:eastAsia="Times New Roman" w:hAnsi="Arial" w:cs="Arial"/>
                <w:b/>
                <w:bCs/>
                <w:color w:val="FF0000"/>
                <w:sz w:val="16"/>
                <w:szCs w:val="18"/>
                <w:lang w:val="en-US" w:eastAsia="en-GB"/>
              </w:rPr>
              <w:t> </w:t>
            </w:r>
            <w:r w:rsidRPr="00FC11C7">
              <w:rPr>
                <w:rFonts w:ascii="Arial" w:eastAsia="Times New Roman" w:hAnsi="Arial" w:cs="Arial"/>
                <w:b/>
                <w:bCs/>
                <w:sz w:val="16"/>
                <w:szCs w:val="16"/>
                <w:lang w:val="en-US" w:eastAsia="en-GB"/>
              </w:rPr>
              <w:t> €000</w:t>
            </w:r>
          </w:p>
        </w:tc>
        <w:tc>
          <w:tcPr>
            <w:tcW w:w="591" w:type="pct"/>
            <w:tcBorders>
              <w:top w:val="nil"/>
              <w:left w:val="nil"/>
              <w:bottom w:val="nil"/>
              <w:right w:val="nil"/>
            </w:tcBorders>
            <w:shd w:val="clear" w:color="000000" w:fill="D9D9D9"/>
            <w:noWrap/>
            <w:vAlign w:val="center"/>
            <w:hideMark/>
          </w:tcPr>
          <w:p w:rsidR="00A8556B" w:rsidRPr="00B603E5" w:rsidRDefault="00A8556B" w:rsidP="00770722">
            <w:pPr>
              <w:spacing w:after="0" w:line="240" w:lineRule="auto"/>
              <w:jc w:val="right"/>
              <w:rPr>
                <w:rFonts w:ascii="Arial" w:eastAsia="Times New Roman" w:hAnsi="Arial" w:cs="Arial"/>
                <w:b/>
                <w:bCs/>
                <w:color w:val="FF0000"/>
                <w:sz w:val="16"/>
                <w:szCs w:val="18"/>
                <w:lang w:val="en-GB" w:eastAsia="en-GB"/>
              </w:rPr>
            </w:pPr>
            <w:r w:rsidRPr="00B603E5">
              <w:rPr>
                <w:rFonts w:ascii="Arial" w:eastAsia="Times New Roman" w:hAnsi="Arial" w:cs="Arial"/>
                <w:b/>
                <w:bCs/>
                <w:color w:val="FF0000"/>
                <w:sz w:val="16"/>
                <w:szCs w:val="18"/>
                <w:lang w:val="en-US" w:eastAsia="en-GB"/>
              </w:rPr>
              <w:t> </w:t>
            </w:r>
            <w:r w:rsidRPr="00FC11C7">
              <w:rPr>
                <w:rFonts w:ascii="Arial" w:eastAsia="Times New Roman" w:hAnsi="Arial" w:cs="Arial"/>
                <w:b/>
                <w:bCs/>
                <w:sz w:val="16"/>
                <w:szCs w:val="16"/>
                <w:lang w:val="en-US" w:eastAsia="en-GB"/>
              </w:rPr>
              <w:t> €000</w:t>
            </w:r>
          </w:p>
        </w:tc>
        <w:tc>
          <w:tcPr>
            <w:tcW w:w="591" w:type="pct"/>
            <w:tcBorders>
              <w:top w:val="nil"/>
              <w:left w:val="nil"/>
              <w:bottom w:val="nil"/>
              <w:right w:val="nil"/>
            </w:tcBorders>
            <w:shd w:val="clear" w:color="000000" w:fill="D9D9D9"/>
            <w:noWrap/>
            <w:vAlign w:val="center"/>
            <w:hideMark/>
          </w:tcPr>
          <w:p w:rsidR="00A8556B" w:rsidRPr="00B603E5" w:rsidRDefault="00A8556B" w:rsidP="00770722">
            <w:pPr>
              <w:spacing w:after="0" w:line="240" w:lineRule="auto"/>
              <w:jc w:val="right"/>
              <w:rPr>
                <w:rFonts w:ascii="Arial" w:eastAsia="Times New Roman" w:hAnsi="Arial" w:cs="Arial"/>
                <w:b/>
                <w:bCs/>
                <w:color w:val="FF0000"/>
                <w:sz w:val="16"/>
                <w:szCs w:val="18"/>
                <w:lang w:val="en-GB" w:eastAsia="en-GB"/>
              </w:rPr>
            </w:pPr>
            <w:r w:rsidRPr="00B603E5">
              <w:rPr>
                <w:rFonts w:ascii="Arial" w:eastAsia="Times New Roman" w:hAnsi="Arial" w:cs="Arial"/>
                <w:b/>
                <w:bCs/>
                <w:color w:val="FF0000"/>
                <w:sz w:val="16"/>
                <w:szCs w:val="18"/>
                <w:lang w:val="en-US" w:eastAsia="en-GB"/>
              </w:rPr>
              <w:t> </w:t>
            </w:r>
            <w:r w:rsidRPr="00FC11C7">
              <w:rPr>
                <w:rFonts w:ascii="Arial" w:eastAsia="Times New Roman" w:hAnsi="Arial" w:cs="Arial"/>
                <w:b/>
                <w:bCs/>
                <w:sz w:val="16"/>
                <w:szCs w:val="16"/>
                <w:lang w:val="en-US" w:eastAsia="en-GB"/>
              </w:rPr>
              <w:t> €000</w:t>
            </w:r>
          </w:p>
        </w:tc>
        <w:tc>
          <w:tcPr>
            <w:tcW w:w="591" w:type="pct"/>
            <w:tcBorders>
              <w:top w:val="nil"/>
              <w:left w:val="nil"/>
              <w:bottom w:val="nil"/>
              <w:right w:val="nil"/>
            </w:tcBorders>
            <w:shd w:val="clear" w:color="000000" w:fill="D9D9D9"/>
            <w:noWrap/>
            <w:vAlign w:val="center"/>
            <w:hideMark/>
          </w:tcPr>
          <w:p w:rsidR="00A8556B" w:rsidRPr="00B603E5" w:rsidRDefault="00A8556B" w:rsidP="00770722">
            <w:pPr>
              <w:spacing w:after="0" w:line="240" w:lineRule="auto"/>
              <w:jc w:val="right"/>
              <w:rPr>
                <w:rFonts w:ascii="Arial" w:eastAsia="Times New Roman" w:hAnsi="Arial" w:cs="Arial"/>
                <w:b/>
                <w:bCs/>
                <w:color w:val="FF0000"/>
                <w:sz w:val="16"/>
                <w:szCs w:val="18"/>
                <w:lang w:val="en-GB" w:eastAsia="en-GB"/>
              </w:rPr>
            </w:pPr>
            <w:r w:rsidRPr="00B603E5">
              <w:rPr>
                <w:rFonts w:ascii="Arial" w:eastAsia="Times New Roman" w:hAnsi="Arial" w:cs="Arial"/>
                <w:b/>
                <w:bCs/>
                <w:color w:val="FF0000"/>
                <w:sz w:val="16"/>
                <w:szCs w:val="18"/>
                <w:lang w:val="en-US" w:eastAsia="en-GB"/>
              </w:rPr>
              <w:t> </w:t>
            </w:r>
            <w:r w:rsidRPr="00FC11C7">
              <w:rPr>
                <w:rFonts w:ascii="Arial" w:eastAsia="Times New Roman" w:hAnsi="Arial" w:cs="Arial"/>
                <w:b/>
                <w:bCs/>
                <w:sz w:val="16"/>
                <w:szCs w:val="16"/>
                <w:lang w:val="en-US" w:eastAsia="en-GB"/>
              </w:rPr>
              <w:t> €000</w:t>
            </w:r>
          </w:p>
        </w:tc>
      </w:tr>
      <w:tr w:rsidR="00D73676" w:rsidRPr="00FC11C7" w:rsidTr="00880E70">
        <w:trPr>
          <w:trHeight w:val="239"/>
          <w:jc w:val="center"/>
        </w:trPr>
        <w:tc>
          <w:tcPr>
            <w:tcW w:w="86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56B" w:rsidRPr="00B603E5" w:rsidRDefault="00A8556B" w:rsidP="00770722">
            <w:pPr>
              <w:spacing w:after="0" w:line="240" w:lineRule="auto"/>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Καταθέσεις πελατών</w:t>
            </w:r>
          </w:p>
        </w:tc>
        <w:tc>
          <w:tcPr>
            <w:tcW w:w="590" w:type="pct"/>
            <w:tcBorders>
              <w:top w:val="single" w:sz="8" w:space="0" w:color="auto"/>
              <w:left w:val="nil"/>
              <w:bottom w:val="single" w:sz="8" w:space="0" w:color="auto"/>
              <w:right w:val="nil"/>
            </w:tcBorders>
            <w:shd w:val="clear" w:color="auto" w:fill="auto"/>
            <w:noWrap/>
            <w:vAlign w:val="center"/>
            <w:hideMark/>
          </w:tcPr>
          <w:p w:rsidR="00A8556B" w:rsidRPr="00B603E5" w:rsidRDefault="00A8556B" w:rsidP="0003768A">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9</w:t>
            </w:r>
            <w:r w:rsidR="00D73676">
              <w:rPr>
                <w:rFonts w:ascii="Arial" w:eastAsia="Times New Roman" w:hAnsi="Arial" w:cs="Arial"/>
                <w:b/>
                <w:bCs/>
                <w:sz w:val="16"/>
                <w:szCs w:val="18"/>
                <w:lang w:eastAsia="en-GB"/>
              </w:rPr>
              <w:t>53</w:t>
            </w:r>
            <w:r w:rsidR="004F2D5C">
              <w:rPr>
                <w:rFonts w:ascii="Arial" w:eastAsia="Times New Roman" w:hAnsi="Arial" w:cs="Arial"/>
                <w:b/>
                <w:bCs/>
                <w:sz w:val="16"/>
                <w:szCs w:val="18"/>
                <w:lang w:val="en-GB" w:eastAsia="en-GB"/>
              </w:rPr>
              <w:t>.</w:t>
            </w:r>
            <w:r w:rsidR="00D73676">
              <w:rPr>
                <w:rFonts w:ascii="Arial" w:eastAsia="Times New Roman" w:hAnsi="Arial" w:cs="Arial"/>
                <w:b/>
                <w:bCs/>
                <w:sz w:val="16"/>
                <w:szCs w:val="18"/>
                <w:lang w:eastAsia="en-GB"/>
              </w:rPr>
              <w:t>465</w:t>
            </w:r>
          </w:p>
        </w:tc>
        <w:tc>
          <w:tcPr>
            <w:tcW w:w="591" w:type="pct"/>
            <w:tcBorders>
              <w:top w:val="single" w:sz="8" w:space="0" w:color="auto"/>
              <w:left w:val="nil"/>
              <w:bottom w:val="single" w:sz="8" w:space="0" w:color="auto"/>
              <w:right w:val="nil"/>
            </w:tcBorders>
            <w:shd w:val="clear" w:color="auto" w:fill="auto"/>
            <w:noWrap/>
            <w:vAlign w:val="center"/>
            <w:hideMark/>
          </w:tcPr>
          <w:p w:rsidR="00A8556B" w:rsidRPr="00B603E5" w:rsidRDefault="00D73676" w:rsidP="00770722">
            <w:pPr>
              <w:spacing w:after="0" w:line="240" w:lineRule="auto"/>
              <w:jc w:val="right"/>
              <w:rPr>
                <w:rFonts w:ascii="Arial" w:eastAsia="Times New Roman" w:hAnsi="Arial" w:cs="Arial"/>
                <w:b/>
                <w:bCs/>
                <w:sz w:val="16"/>
                <w:szCs w:val="18"/>
                <w:lang w:val="en-GB" w:eastAsia="en-GB"/>
              </w:rPr>
            </w:pPr>
            <w:r>
              <w:rPr>
                <w:rFonts w:ascii="Arial" w:eastAsia="Times New Roman" w:hAnsi="Arial" w:cs="Arial"/>
                <w:b/>
                <w:bCs/>
                <w:sz w:val="16"/>
                <w:szCs w:val="18"/>
                <w:lang w:eastAsia="en-GB"/>
              </w:rPr>
              <w:t>9</w:t>
            </w:r>
            <w:r w:rsidR="004F2D5C">
              <w:rPr>
                <w:rFonts w:ascii="Arial" w:eastAsia="Times New Roman" w:hAnsi="Arial" w:cs="Arial"/>
                <w:b/>
                <w:bCs/>
                <w:sz w:val="16"/>
                <w:szCs w:val="18"/>
                <w:lang w:eastAsia="en-GB"/>
              </w:rPr>
              <w:t>71.</w:t>
            </w:r>
            <w:r>
              <w:rPr>
                <w:rFonts w:ascii="Arial" w:eastAsia="Times New Roman" w:hAnsi="Arial" w:cs="Arial"/>
                <w:b/>
                <w:bCs/>
                <w:sz w:val="16"/>
                <w:szCs w:val="18"/>
                <w:lang w:eastAsia="en-GB"/>
              </w:rPr>
              <w:t>697</w:t>
            </w:r>
          </w:p>
        </w:tc>
        <w:tc>
          <w:tcPr>
            <w:tcW w:w="591" w:type="pct"/>
            <w:tcBorders>
              <w:top w:val="single" w:sz="8" w:space="0" w:color="auto"/>
              <w:left w:val="nil"/>
              <w:bottom w:val="single" w:sz="8" w:space="0" w:color="auto"/>
              <w:right w:val="nil"/>
            </w:tcBorders>
            <w:shd w:val="clear" w:color="auto" w:fill="auto"/>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9</w:t>
            </w:r>
            <w:r w:rsidR="004F2D5C">
              <w:rPr>
                <w:rFonts w:ascii="Arial" w:eastAsia="Times New Roman" w:hAnsi="Arial" w:cs="Arial"/>
                <w:b/>
                <w:bCs/>
                <w:sz w:val="16"/>
                <w:szCs w:val="18"/>
                <w:lang w:eastAsia="en-GB"/>
              </w:rPr>
              <w:t>51.</w:t>
            </w:r>
            <w:r w:rsidR="00D73676">
              <w:rPr>
                <w:rFonts w:ascii="Arial" w:eastAsia="Times New Roman" w:hAnsi="Arial" w:cs="Arial"/>
                <w:b/>
                <w:bCs/>
                <w:sz w:val="16"/>
                <w:szCs w:val="18"/>
                <w:lang w:eastAsia="en-GB"/>
              </w:rPr>
              <w:t>970</w:t>
            </w:r>
          </w:p>
        </w:tc>
        <w:tc>
          <w:tcPr>
            <w:tcW w:w="591" w:type="pct"/>
            <w:tcBorders>
              <w:top w:val="single" w:sz="8" w:space="0" w:color="auto"/>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9</w:t>
            </w:r>
            <w:r w:rsidR="004F2D5C">
              <w:rPr>
                <w:rFonts w:ascii="Arial" w:eastAsia="Times New Roman" w:hAnsi="Arial" w:cs="Arial"/>
                <w:b/>
                <w:bCs/>
                <w:sz w:val="16"/>
                <w:szCs w:val="18"/>
                <w:lang w:eastAsia="en-GB"/>
              </w:rPr>
              <w:t>37.</w:t>
            </w:r>
            <w:r w:rsidR="00D73676">
              <w:rPr>
                <w:rFonts w:ascii="Arial" w:eastAsia="Times New Roman" w:hAnsi="Arial" w:cs="Arial"/>
                <w:b/>
                <w:bCs/>
                <w:sz w:val="16"/>
                <w:szCs w:val="18"/>
                <w:lang w:eastAsia="en-GB"/>
              </w:rPr>
              <w:t>688</w:t>
            </w:r>
          </w:p>
        </w:tc>
        <w:tc>
          <w:tcPr>
            <w:tcW w:w="591" w:type="pct"/>
            <w:tcBorders>
              <w:top w:val="single" w:sz="8" w:space="0" w:color="auto"/>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9</w:t>
            </w:r>
            <w:r w:rsidR="004F2D5C">
              <w:rPr>
                <w:rFonts w:ascii="Arial" w:eastAsia="Times New Roman" w:hAnsi="Arial" w:cs="Arial"/>
                <w:b/>
                <w:bCs/>
                <w:sz w:val="16"/>
                <w:szCs w:val="18"/>
                <w:lang w:eastAsia="en-GB"/>
              </w:rPr>
              <w:t>27.</w:t>
            </w:r>
            <w:r w:rsidR="00D73676">
              <w:rPr>
                <w:rFonts w:ascii="Arial" w:eastAsia="Times New Roman" w:hAnsi="Arial" w:cs="Arial"/>
                <w:b/>
                <w:bCs/>
                <w:sz w:val="16"/>
                <w:szCs w:val="18"/>
                <w:lang w:eastAsia="en-GB"/>
              </w:rPr>
              <w:t>617</w:t>
            </w:r>
          </w:p>
        </w:tc>
        <w:tc>
          <w:tcPr>
            <w:tcW w:w="591" w:type="pct"/>
            <w:tcBorders>
              <w:top w:val="single" w:sz="8" w:space="0" w:color="auto"/>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b/>
                <w:bCs/>
                <w:sz w:val="16"/>
                <w:szCs w:val="18"/>
                <w:lang w:val="en-GB" w:eastAsia="en-GB"/>
              </w:rPr>
            </w:pPr>
            <w:r w:rsidRPr="00B603E5">
              <w:rPr>
                <w:rFonts w:ascii="Arial" w:eastAsia="Times New Roman" w:hAnsi="Arial" w:cs="Arial"/>
                <w:b/>
                <w:bCs/>
                <w:sz w:val="16"/>
                <w:szCs w:val="18"/>
                <w:lang w:val="en-US" w:eastAsia="en-GB"/>
              </w:rPr>
              <w:t>9</w:t>
            </w:r>
            <w:r w:rsidR="004F2D5C">
              <w:rPr>
                <w:rFonts w:ascii="Arial" w:eastAsia="Times New Roman" w:hAnsi="Arial" w:cs="Arial"/>
                <w:b/>
                <w:bCs/>
                <w:sz w:val="16"/>
                <w:szCs w:val="18"/>
                <w:lang w:eastAsia="en-GB"/>
              </w:rPr>
              <w:t>27.</w:t>
            </w:r>
            <w:r w:rsidR="00D73676">
              <w:rPr>
                <w:rFonts w:ascii="Arial" w:eastAsia="Times New Roman" w:hAnsi="Arial" w:cs="Arial"/>
                <w:b/>
                <w:bCs/>
                <w:sz w:val="16"/>
                <w:szCs w:val="18"/>
                <w:lang w:eastAsia="en-GB"/>
              </w:rPr>
              <w:t>617</w:t>
            </w:r>
          </w:p>
        </w:tc>
        <w:tc>
          <w:tcPr>
            <w:tcW w:w="591" w:type="pct"/>
            <w:tcBorders>
              <w:top w:val="single" w:sz="8" w:space="0" w:color="auto"/>
              <w:left w:val="nil"/>
              <w:bottom w:val="single" w:sz="8" w:space="0" w:color="auto"/>
              <w:right w:val="nil"/>
            </w:tcBorders>
            <w:shd w:val="clear" w:color="auto" w:fill="auto"/>
            <w:noWrap/>
            <w:vAlign w:val="center"/>
            <w:hideMark/>
          </w:tcPr>
          <w:p w:rsidR="00A8556B" w:rsidRPr="00880E70" w:rsidRDefault="00D73676" w:rsidP="00770722">
            <w:pPr>
              <w:spacing w:after="0" w:line="240" w:lineRule="auto"/>
              <w:jc w:val="right"/>
              <w:rPr>
                <w:rFonts w:ascii="Arial" w:eastAsia="Times New Roman" w:hAnsi="Arial" w:cs="Arial"/>
                <w:b/>
                <w:bCs/>
                <w:sz w:val="16"/>
                <w:szCs w:val="18"/>
                <w:lang w:eastAsia="en-GB"/>
              </w:rPr>
            </w:pPr>
            <w:r>
              <w:rPr>
                <w:rFonts w:ascii="Arial" w:eastAsia="Times New Roman" w:hAnsi="Arial" w:cs="Arial"/>
                <w:b/>
                <w:bCs/>
                <w:sz w:val="16"/>
                <w:szCs w:val="18"/>
                <w:lang w:eastAsia="en-GB"/>
              </w:rPr>
              <w:t>92</w:t>
            </w:r>
            <w:r w:rsidR="004F2D5C">
              <w:rPr>
                <w:rFonts w:ascii="Arial" w:eastAsia="Times New Roman" w:hAnsi="Arial" w:cs="Arial"/>
                <w:b/>
                <w:bCs/>
                <w:sz w:val="16"/>
                <w:szCs w:val="18"/>
                <w:lang w:eastAsia="en-GB"/>
              </w:rPr>
              <w:t>8.</w:t>
            </w:r>
            <w:r>
              <w:rPr>
                <w:rFonts w:ascii="Arial" w:eastAsia="Times New Roman" w:hAnsi="Arial" w:cs="Arial"/>
                <w:b/>
                <w:bCs/>
                <w:sz w:val="16"/>
                <w:szCs w:val="18"/>
                <w:lang w:eastAsia="en-GB"/>
              </w:rPr>
              <w:t>081</w:t>
            </w:r>
          </w:p>
        </w:tc>
      </w:tr>
      <w:tr w:rsidR="00D73676" w:rsidRPr="00F922BD" w:rsidTr="00880E70">
        <w:trPr>
          <w:trHeight w:val="249"/>
          <w:jc w:val="center"/>
        </w:trPr>
        <w:tc>
          <w:tcPr>
            <w:tcW w:w="866" w:type="pct"/>
            <w:tcBorders>
              <w:top w:val="nil"/>
              <w:left w:val="single" w:sz="8" w:space="0" w:color="auto"/>
              <w:bottom w:val="nil"/>
              <w:right w:val="single" w:sz="8" w:space="0" w:color="auto"/>
            </w:tcBorders>
            <w:shd w:val="clear" w:color="auto" w:fill="auto"/>
            <w:noWrap/>
            <w:vAlign w:val="center"/>
            <w:hideMark/>
          </w:tcPr>
          <w:p w:rsidR="00A8556B" w:rsidRPr="004A52D3" w:rsidRDefault="00A8556B" w:rsidP="00770722">
            <w:pPr>
              <w:spacing w:after="0" w:line="240" w:lineRule="auto"/>
              <w:rPr>
                <w:rFonts w:ascii="Arial" w:eastAsia="Times New Roman" w:hAnsi="Arial" w:cs="Arial"/>
                <w:b/>
                <w:bCs/>
                <w:sz w:val="16"/>
                <w:szCs w:val="18"/>
                <w:lang w:val="en-GB" w:eastAsia="en-GB"/>
              </w:rPr>
            </w:pPr>
            <w:r w:rsidRPr="004A52D3">
              <w:rPr>
                <w:rFonts w:ascii="Arial" w:eastAsia="Times New Roman" w:hAnsi="Arial" w:cs="Arial"/>
                <w:b/>
                <w:bCs/>
                <w:sz w:val="16"/>
                <w:szCs w:val="18"/>
                <w:lang w:val="en-US" w:eastAsia="en-GB"/>
              </w:rPr>
              <w:t> </w:t>
            </w:r>
          </w:p>
        </w:tc>
        <w:tc>
          <w:tcPr>
            <w:tcW w:w="590" w:type="pct"/>
            <w:tcBorders>
              <w:top w:val="nil"/>
              <w:left w:val="nil"/>
              <w:bottom w:val="nil"/>
              <w:right w:val="nil"/>
            </w:tcBorders>
            <w:shd w:val="clear" w:color="auto" w:fill="auto"/>
            <w:noWrap/>
            <w:vAlign w:val="bottom"/>
            <w:hideMark/>
          </w:tcPr>
          <w:p w:rsidR="00A8556B" w:rsidRPr="0003768A" w:rsidRDefault="00A8556B" w:rsidP="00770722">
            <w:pPr>
              <w:spacing w:after="0" w:line="240" w:lineRule="auto"/>
              <w:rPr>
                <w:rFonts w:ascii="Times New Roman" w:eastAsia="Times New Roman" w:hAnsi="Times New Roman" w:cs="Times New Roman"/>
                <w:sz w:val="16"/>
                <w:szCs w:val="20"/>
                <w:lang w:val="en-GB" w:eastAsia="en-GB"/>
              </w:rPr>
            </w:pPr>
          </w:p>
        </w:tc>
        <w:tc>
          <w:tcPr>
            <w:tcW w:w="591" w:type="pct"/>
            <w:tcBorders>
              <w:top w:val="nil"/>
              <w:left w:val="nil"/>
              <w:bottom w:val="nil"/>
              <w:right w:val="nil"/>
            </w:tcBorders>
            <w:shd w:val="clear" w:color="auto" w:fill="auto"/>
            <w:noWrap/>
            <w:vAlign w:val="bottom"/>
            <w:hideMark/>
          </w:tcPr>
          <w:p w:rsidR="00A8556B" w:rsidRPr="00F922BD" w:rsidRDefault="00A8556B" w:rsidP="00770722">
            <w:pPr>
              <w:spacing w:after="0" w:line="240" w:lineRule="auto"/>
              <w:rPr>
                <w:rFonts w:ascii="Times New Roman" w:eastAsia="Times New Roman" w:hAnsi="Times New Roman" w:cs="Times New Roman"/>
                <w:sz w:val="16"/>
                <w:szCs w:val="20"/>
                <w:lang w:val="en-GB" w:eastAsia="en-GB"/>
              </w:rPr>
            </w:pPr>
          </w:p>
        </w:tc>
        <w:tc>
          <w:tcPr>
            <w:tcW w:w="591" w:type="pct"/>
            <w:tcBorders>
              <w:top w:val="nil"/>
              <w:left w:val="nil"/>
              <w:bottom w:val="nil"/>
              <w:right w:val="nil"/>
            </w:tcBorders>
            <w:shd w:val="clear" w:color="auto" w:fill="auto"/>
            <w:vAlign w:val="center"/>
            <w:hideMark/>
          </w:tcPr>
          <w:p w:rsidR="00A8556B" w:rsidRPr="00F922BD" w:rsidRDefault="00A8556B" w:rsidP="00770722">
            <w:pPr>
              <w:spacing w:after="0" w:line="240" w:lineRule="auto"/>
              <w:rPr>
                <w:rFonts w:ascii="Times New Roman" w:eastAsia="Times New Roman" w:hAnsi="Times New Roman" w:cs="Times New Roman"/>
                <w:sz w:val="16"/>
                <w:szCs w:val="20"/>
                <w:lang w:val="en-GB" w:eastAsia="en-GB"/>
              </w:rPr>
            </w:pPr>
          </w:p>
        </w:tc>
        <w:tc>
          <w:tcPr>
            <w:tcW w:w="591" w:type="pct"/>
            <w:tcBorders>
              <w:top w:val="nil"/>
              <w:left w:val="nil"/>
              <w:bottom w:val="nil"/>
              <w:right w:val="nil"/>
            </w:tcBorders>
            <w:shd w:val="clear" w:color="auto" w:fill="auto"/>
            <w:noWrap/>
            <w:vAlign w:val="bottom"/>
            <w:hideMark/>
          </w:tcPr>
          <w:p w:rsidR="00A8556B" w:rsidRPr="00F922BD" w:rsidRDefault="00A8556B" w:rsidP="00770722">
            <w:pPr>
              <w:spacing w:after="0" w:line="240" w:lineRule="auto"/>
              <w:jc w:val="right"/>
              <w:rPr>
                <w:rFonts w:ascii="Times New Roman" w:eastAsia="Times New Roman" w:hAnsi="Times New Roman" w:cs="Times New Roman"/>
                <w:sz w:val="16"/>
                <w:szCs w:val="20"/>
                <w:lang w:val="en-GB" w:eastAsia="en-GB"/>
              </w:rPr>
            </w:pPr>
          </w:p>
        </w:tc>
        <w:tc>
          <w:tcPr>
            <w:tcW w:w="591" w:type="pct"/>
            <w:tcBorders>
              <w:top w:val="nil"/>
              <w:left w:val="nil"/>
              <w:bottom w:val="nil"/>
              <w:right w:val="nil"/>
            </w:tcBorders>
            <w:shd w:val="clear" w:color="auto" w:fill="auto"/>
            <w:noWrap/>
            <w:vAlign w:val="bottom"/>
            <w:hideMark/>
          </w:tcPr>
          <w:p w:rsidR="00A8556B" w:rsidRPr="00F922BD" w:rsidRDefault="00A8556B" w:rsidP="00770722">
            <w:pPr>
              <w:spacing w:after="0" w:line="240" w:lineRule="auto"/>
              <w:rPr>
                <w:rFonts w:ascii="Times New Roman" w:eastAsia="Times New Roman" w:hAnsi="Times New Roman" w:cs="Times New Roman"/>
                <w:sz w:val="16"/>
                <w:szCs w:val="20"/>
                <w:lang w:val="en-GB" w:eastAsia="en-GB"/>
              </w:rPr>
            </w:pPr>
          </w:p>
        </w:tc>
        <w:tc>
          <w:tcPr>
            <w:tcW w:w="591" w:type="pct"/>
            <w:tcBorders>
              <w:top w:val="nil"/>
              <w:left w:val="nil"/>
              <w:bottom w:val="nil"/>
              <w:right w:val="nil"/>
            </w:tcBorders>
            <w:shd w:val="clear" w:color="auto" w:fill="auto"/>
            <w:noWrap/>
            <w:vAlign w:val="bottom"/>
            <w:hideMark/>
          </w:tcPr>
          <w:p w:rsidR="00A8556B" w:rsidRPr="00F922BD" w:rsidRDefault="00A8556B" w:rsidP="00770722">
            <w:pPr>
              <w:spacing w:after="0" w:line="240" w:lineRule="auto"/>
              <w:rPr>
                <w:rFonts w:ascii="Times New Roman" w:eastAsia="Times New Roman" w:hAnsi="Times New Roman" w:cs="Times New Roman"/>
                <w:sz w:val="16"/>
                <w:szCs w:val="20"/>
                <w:lang w:val="en-GB" w:eastAsia="en-GB"/>
              </w:rPr>
            </w:pPr>
          </w:p>
        </w:tc>
        <w:tc>
          <w:tcPr>
            <w:tcW w:w="591" w:type="pct"/>
            <w:tcBorders>
              <w:top w:val="nil"/>
              <w:left w:val="nil"/>
              <w:bottom w:val="nil"/>
              <w:right w:val="nil"/>
            </w:tcBorders>
            <w:shd w:val="clear" w:color="auto" w:fill="auto"/>
            <w:noWrap/>
            <w:vAlign w:val="bottom"/>
            <w:hideMark/>
          </w:tcPr>
          <w:p w:rsidR="00A8556B" w:rsidRPr="00F922BD" w:rsidRDefault="00A8556B" w:rsidP="00770722">
            <w:pPr>
              <w:spacing w:after="0" w:line="240" w:lineRule="auto"/>
              <w:rPr>
                <w:rFonts w:ascii="Times New Roman" w:eastAsia="Times New Roman" w:hAnsi="Times New Roman" w:cs="Times New Roman"/>
                <w:sz w:val="16"/>
                <w:szCs w:val="20"/>
                <w:lang w:val="en-GB" w:eastAsia="en-GB"/>
              </w:rPr>
            </w:pPr>
          </w:p>
        </w:tc>
      </w:tr>
      <w:tr w:rsidR="00D73676" w:rsidRPr="00FC11C7" w:rsidTr="00880E70">
        <w:trPr>
          <w:trHeight w:val="247"/>
          <w:jc w:val="center"/>
        </w:trPr>
        <w:tc>
          <w:tcPr>
            <w:tcW w:w="866" w:type="pct"/>
            <w:tcBorders>
              <w:top w:val="nil"/>
              <w:left w:val="single" w:sz="8" w:space="0" w:color="auto"/>
              <w:bottom w:val="single" w:sz="8" w:space="0" w:color="auto"/>
              <w:right w:val="single" w:sz="8" w:space="0" w:color="auto"/>
            </w:tcBorders>
            <w:shd w:val="clear" w:color="auto" w:fill="auto"/>
            <w:noWrap/>
            <w:vAlign w:val="center"/>
            <w:hideMark/>
          </w:tcPr>
          <w:p w:rsidR="00A8556B" w:rsidRPr="00B603E5" w:rsidRDefault="00A8556B" w:rsidP="00770722">
            <w:pPr>
              <w:spacing w:after="0" w:line="240" w:lineRule="auto"/>
              <w:rPr>
                <w:rFonts w:ascii="Arial" w:eastAsia="Times New Roman" w:hAnsi="Arial" w:cs="Arial"/>
                <w:sz w:val="16"/>
                <w:szCs w:val="18"/>
                <w:lang w:val="en-GB" w:eastAsia="en-GB"/>
              </w:rPr>
            </w:pPr>
            <w:r w:rsidRPr="00B603E5">
              <w:rPr>
                <w:rFonts w:ascii="Arial" w:eastAsia="Times New Roman" w:hAnsi="Arial" w:cs="Arial"/>
                <w:sz w:val="16"/>
                <w:szCs w:val="18"/>
                <w:lang w:val="en-US" w:eastAsia="en-GB"/>
              </w:rPr>
              <w:t xml:space="preserve">       </w:t>
            </w:r>
            <w:r w:rsidRPr="00B603E5">
              <w:rPr>
                <w:rFonts w:ascii="Arial" w:eastAsia="Times New Roman" w:hAnsi="Arial" w:cs="Arial"/>
                <w:i/>
                <w:iCs/>
                <w:sz w:val="16"/>
                <w:szCs w:val="20"/>
                <w:lang w:val="en-US" w:eastAsia="en-GB"/>
              </w:rPr>
              <w:t>Κόστος καταθέσεων</w:t>
            </w:r>
          </w:p>
        </w:tc>
        <w:tc>
          <w:tcPr>
            <w:tcW w:w="590" w:type="pct"/>
            <w:tcBorders>
              <w:top w:val="nil"/>
              <w:left w:val="nil"/>
              <w:bottom w:val="single" w:sz="8" w:space="0" w:color="auto"/>
              <w:right w:val="nil"/>
            </w:tcBorders>
            <w:shd w:val="clear" w:color="auto" w:fill="auto"/>
            <w:noWrap/>
            <w:vAlign w:val="center"/>
            <w:hideMark/>
          </w:tcPr>
          <w:p w:rsidR="00A8556B" w:rsidRPr="00B603E5" w:rsidRDefault="00A8556B" w:rsidP="004A52D3">
            <w:pPr>
              <w:spacing w:after="0" w:line="240" w:lineRule="auto"/>
              <w:jc w:val="right"/>
              <w:rPr>
                <w:rFonts w:ascii="Arial" w:eastAsia="Times New Roman" w:hAnsi="Arial" w:cs="Arial"/>
                <w:i/>
                <w:iCs/>
                <w:sz w:val="16"/>
                <w:szCs w:val="18"/>
                <w:lang w:val="en-GB" w:eastAsia="en-GB"/>
              </w:rPr>
            </w:pPr>
            <w:r w:rsidRPr="00B603E5">
              <w:rPr>
                <w:rFonts w:ascii="Arial" w:eastAsia="Times New Roman" w:hAnsi="Arial" w:cs="Arial"/>
                <w:i/>
                <w:iCs/>
                <w:sz w:val="16"/>
                <w:szCs w:val="18"/>
                <w:lang w:val="en-US" w:eastAsia="en-GB"/>
              </w:rPr>
              <w:t>0</w:t>
            </w:r>
            <w:r w:rsidR="004F2D5C">
              <w:rPr>
                <w:rFonts w:ascii="Arial" w:eastAsia="Times New Roman" w:hAnsi="Arial" w:cs="Arial"/>
                <w:i/>
                <w:iCs/>
                <w:sz w:val="16"/>
                <w:szCs w:val="18"/>
                <w:lang w:val="en-US" w:eastAsia="en-GB"/>
              </w:rPr>
              <w:t>,</w:t>
            </w:r>
            <w:r w:rsidR="00D73676">
              <w:rPr>
                <w:rFonts w:ascii="Arial" w:eastAsia="Times New Roman" w:hAnsi="Arial" w:cs="Arial"/>
                <w:i/>
                <w:iCs/>
                <w:sz w:val="16"/>
                <w:szCs w:val="18"/>
                <w:lang w:eastAsia="en-GB"/>
              </w:rPr>
              <w:t>48</w:t>
            </w:r>
            <w:r w:rsidRPr="00B603E5">
              <w:rPr>
                <w:rFonts w:ascii="Arial" w:eastAsia="Times New Roman" w:hAnsi="Arial" w:cs="Arial"/>
                <w:i/>
                <w:iCs/>
                <w:sz w:val="16"/>
                <w:szCs w:val="18"/>
                <w:lang w:val="en-US" w:eastAsia="en-GB"/>
              </w:rPr>
              <w:t>%</w:t>
            </w:r>
          </w:p>
        </w:tc>
        <w:tc>
          <w:tcPr>
            <w:tcW w:w="591" w:type="pct"/>
            <w:tcBorders>
              <w:top w:val="nil"/>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i/>
                <w:iCs/>
                <w:sz w:val="16"/>
                <w:szCs w:val="18"/>
                <w:lang w:val="en-GB" w:eastAsia="en-GB"/>
              </w:rPr>
            </w:pPr>
            <w:r w:rsidRPr="00B603E5">
              <w:rPr>
                <w:rFonts w:ascii="Arial" w:eastAsia="Times New Roman" w:hAnsi="Arial" w:cs="Arial"/>
                <w:i/>
                <w:iCs/>
                <w:sz w:val="16"/>
                <w:szCs w:val="18"/>
                <w:lang w:val="en-US" w:eastAsia="en-GB"/>
              </w:rPr>
              <w:t>0</w:t>
            </w:r>
            <w:r w:rsidR="004F2D5C">
              <w:rPr>
                <w:rFonts w:ascii="Arial" w:eastAsia="Times New Roman" w:hAnsi="Arial" w:cs="Arial"/>
                <w:i/>
                <w:iCs/>
                <w:sz w:val="16"/>
                <w:szCs w:val="18"/>
                <w:lang w:val="en-US" w:eastAsia="en-GB"/>
              </w:rPr>
              <w:t>,</w:t>
            </w:r>
            <w:r w:rsidR="00D73676">
              <w:rPr>
                <w:rFonts w:ascii="Arial" w:eastAsia="Times New Roman" w:hAnsi="Arial" w:cs="Arial"/>
                <w:i/>
                <w:iCs/>
                <w:sz w:val="16"/>
                <w:szCs w:val="18"/>
                <w:lang w:eastAsia="en-GB"/>
              </w:rPr>
              <w:t>16</w:t>
            </w:r>
            <w:r w:rsidRPr="00B603E5">
              <w:rPr>
                <w:rFonts w:ascii="Arial" w:eastAsia="Times New Roman" w:hAnsi="Arial" w:cs="Arial"/>
                <w:i/>
                <w:iCs/>
                <w:sz w:val="16"/>
                <w:szCs w:val="18"/>
                <w:lang w:val="en-US" w:eastAsia="en-GB"/>
              </w:rPr>
              <w:t>%</w:t>
            </w:r>
          </w:p>
        </w:tc>
        <w:tc>
          <w:tcPr>
            <w:tcW w:w="591" w:type="pct"/>
            <w:tcBorders>
              <w:top w:val="nil"/>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i/>
                <w:iCs/>
                <w:sz w:val="16"/>
                <w:szCs w:val="18"/>
                <w:lang w:val="en-GB" w:eastAsia="en-GB"/>
              </w:rPr>
            </w:pPr>
            <w:r w:rsidRPr="00B603E5">
              <w:rPr>
                <w:rFonts w:ascii="Arial" w:eastAsia="Times New Roman" w:hAnsi="Arial" w:cs="Arial"/>
                <w:i/>
                <w:iCs/>
                <w:sz w:val="16"/>
                <w:szCs w:val="18"/>
                <w:lang w:val="en-US" w:eastAsia="en-GB"/>
              </w:rPr>
              <w:t>0</w:t>
            </w:r>
            <w:r w:rsidR="004F2D5C">
              <w:rPr>
                <w:rFonts w:ascii="Arial" w:eastAsia="Times New Roman" w:hAnsi="Arial" w:cs="Arial"/>
                <w:i/>
                <w:iCs/>
                <w:sz w:val="16"/>
                <w:szCs w:val="18"/>
                <w:lang w:val="en-US" w:eastAsia="en-GB"/>
              </w:rPr>
              <w:t>,</w:t>
            </w:r>
            <w:r w:rsidR="00D73676">
              <w:rPr>
                <w:rFonts w:ascii="Arial" w:eastAsia="Times New Roman" w:hAnsi="Arial" w:cs="Arial"/>
                <w:i/>
                <w:iCs/>
                <w:sz w:val="16"/>
                <w:szCs w:val="18"/>
                <w:lang w:eastAsia="en-GB"/>
              </w:rPr>
              <w:t>06</w:t>
            </w:r>
            <w:r w:rsidRPr="00B603E5">
              <w:rPr>
                <w:rFonts w:ascii="Arial" w:eastAsia="Times New Roman" w:hAnsi="Arial" w:cs="Arial"/>
                <w:i/>
                <w:iCs/>
                <w:sz w:val="16"/>
                <w:szCs w:val="18"/>
                <w:lang w:val="en-US" w:eastAsia="en-GB"/>
              </w:rPr>
              <w:t>%</w:t>
            </w:r>
          </w:p>
        </w:tc>
        <w:tc>
          <w:tcPr>
            <w:tcW w:w="591" w:type="pct"/>
            <w:tcBorders>
              <w:top w:val="nil"/>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i/>
                <w:iCs/>
                <w:sz w:val="16"/>
                <w:szCs w:val="18"/>
                <w:lang w:val="en-GB" w:eastAsia="en-GB"/>
              </w:rPr>
            </w:pPr>
            <w:r w:rsidRPr="00B603E5">
              <w:rPr>
                <w:rFonts w:ascii="Arial" w:eastAsia="Times New Roman" w:hAnsi="Arial" w:cs="Arial"/>
                <w:i/>
                <w:iCs/>
                <w:sz w:val="16"/>
                <w:szCs w:val="18"/>
                <w:lang w:val="en-US" w:eastAsia="en-GB"/>
              </w:rPr>
              <w:t>0</w:t>
            </w:r>
            <w:r w:rsidR="004F2D5C">
              <w:rPr>
                <w:rFonts w:ascii="Arial" w:eastAsia="Times New Roman" w:hAnsi="Arial" w:cs="Arial"/>
                <w:i/>
                <w:iCs/>
                <w:sz w:val="16"/>
                <w:szCs w:val="18"/>
                <w:lang w:val="en-US" w:eastAsia="en-GB"/>
              </w:rPr>
              <w:t>,</w:t>
            </w:r>
            <w:r w:rsidR="00D73676">
              <w:rPr>
                <w:rFonts w:ascii="Arial" w:eastAsia="Times New Roman" w:hAnsi="Arial" w:cs="Arial"/>
                <w:i/>
                <w:iCs/>
                <w:sz w:val="16"/>
                <w:szCs w:val="18"/>
                <w:lang w:eastAsia="en-GB"/>
              </w:rPr>
              <w:t>06</w:t>
            </w:r>
            <w:r w:rsidRPr="00B603E5">
              <w:rPr>
                <w:rFonts w:ascii="Arial" w:eastAsia="Times New Roman" w:hAnsi="Arial" w:cs="Arial"/>
                <w:i/>
                <w:iCs/>
                <w:sz w:val="16"/>
                <w:szCs w:val="18"/>
                <w:lang w:val="en-US" w:eastAsia="en-GB"/>
              </w:rPr>
              <w:t>%</w:t>
            </w:r>
          </w:p>
        </w:tc>
        <w:tc>
          <w:tcPr>
            <w:tcW w:w="591" w:type="pct"/>
            <w:tcBorders>
              <w:top w:val="nil"/>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i/>
                <w:iCs/>
                <w:sz w:val="16"/>
                <w:szCs w:val="18"/>
                <w:lang w:val="en-GB" w:eastAsia="en-GB"/>
              </w:rPr>
            </w:pPr>
            <w:r w:rsidRPr="00B603E5">
              <w:rPr>
                <w:rFonts w:ascii="Arial" w:eastAsia="Times New Roman" w:hAnsi="Arial" w:cs="Arial"/>
                <w:i/>
                <w:iCs/>
                <w:sz w:val="16"/>
                <w:szCs w:val="18"/>
                <w:lang w:val="en-US" w:eastAsia="en-GB"/>
              </w:rPr>
              <w:t>0</w:t>
            </w:r>
            <w:r w:rsidR="004F2D5C">
              <w:rPr>
                <w:rFonts w:ascii="Arial" w:eastAsia="Times New Roman" w:hAnsi="Arial" w:cs="Arial"/>
                <w:i/>
                <w:iCs/>
                <w:sz w:val="16"/>
                <w:szCs w:val="18"/>
                <w:lang w:val="en-US" w:eastAsia="en-GB"/>
              </w:rPr>
              <w:t>,</w:t>
            </w:r>
            <w:r w:rsidR="00D73676">
              <w:rPr>
                <w:rFonts w:ascii="Arial" w:eastAsia="Times New Roman" w:hAnsi="Arial" w:cs="Arial"/>
                <w:i/>
                <w:iCs/>
                <w:sz w:val="16"/>
                <w:szCs w:val="18"/>
                <w:lang w:eastAsia="en-GB"/>
              </w:rPr>
              <w:t>03</w:t>
            </w:r>
            <w:r w:rsidRPr="00B603E5">
              <w:rPr>
                <w:rFonts w:ascii="Arial" w:eastAsia="Times New Roman" w:hAnsi="Arial" w:cs="Arial"/>
                <w:i/>
                <w:iCs/>
                <w:sz w:val="16"/>
                <w:szCs w:val="18"/>
                <w:lang w:val="en-US" w:eastAsia="en-GB"/>
              </w:rPr>
              <w:t>%</w:t>
            </w:r>
          </w:p>
        </w:tc>
        <w:tc>
          <w:tcPr>
            <w:tcW w:w="591" w:type="pct"/>
            <w:tcBorders>
              <w:top w:val="nil"/>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i/>
                <w:iCs/>
                <w:sz w:val="16"/>
                <w:szCs w:val="18"/>
                <w:lang w:val="en-GB" w:eastAsia="en-GB"/>
              </w:rPr>
            </w:pPr>
            <w:r w:rsidRPr="00B603E5">
              <w:rPr>
                <w:rFonts w:ascii="Arial" w:eastAsia="Times New Roman" w:hAnsi="Arial" w:cs="Arial"/>
                <w:i/>
                <w:iCs/>
                <w:sz w:val="16"/>
                <w:szCs w:val="18"/>
                <w:lang w:val="en-US" w:eastAsia="en-GB"/>
              </w:rPr>
              <w:t>0</w:t>
            </w:r>
            <w:r w:rsidR="004F2D5C">
              <w:rPr>
                <w:rFonts w:ascii="Arial" w:eastAsia="Times New Roman" w:hAnsi="Arial" w:cs="Arial"/>
                <w:i/>
                <w:iCs/>
                <w:sz w:val="16"/>
                <w:szCs w:val="18"/>
                <w:lang w:val="en-US" w:eastAsia="en-GB"/>
              </w:rPr>
              <w:t>,</w:t>
            </w:r>
            <w:r w:rsidRPr="00B603E5">
              <w:rPr>
                <w:rFonts w:ascii="Arial" w:eastAsia="Times New Roman" w:hAnsi="Arial" w:cs="Arial"/>
                <w:i/>
                <w:iCs/>
                <w:sz w:val="16"/>
                <w:szCs w:val="18"/>
                <w:lang w:val="en-US" w:eastAsia="en-GB"/>
              </w:rPr>
              <w:t>0</w:t>
            </w:r>
            <w:r w:rsidR="00D73676">
              <w:rPr>
                <w:rFonts w:ascii="Arial" w:eastAsia="Times New Roman" w:hAnsi="Arial" w:cs="Arial"/>
                <w:i/>
                <w:iCs/>
                <w:sz w:val="16"/>
                <w:szCs w:val="18"/>
                <w:lang w:eastAsia="en-GB"/>
              </w:rPr>
              <w:t>1</w:t>
            </w:r>
            <w:r w:rsidRPr="00B603E5">
              <w:rPr>
                <w:rFonts w:ascii="Arial" w:eastAsia="Times New Roman" w:hAnsi="Arial" w:cs="Arial"/>
                <w:i/>
                <w:iCs/>
                <w:sz w:val="16"/>
                <w:szCs w:val="18"/>
                <w:lang w:val="en-US" w:eastAsia="en-GB"/>
              </w:rPr>
              <w:t>%</w:t>
            </w:r>
          </w:p>
        </w:tc>
        <w:tc>
          <w:tcPr>
            <w:tcW w:w="591" w:type="pct"/>
            <w:tcBorders>
              <w:top w:val="nil"/>
              <w:left w:val="nil"/>
              <w:bottom w:val="single" w:sz="8" w:space="0" w:color="auto"/>
              <w:right w:val="nil"/>
            </w:tcBorders>
            <w:shd w:val="clear" w:color="auto" w:fill="auto"/>
            <w:noWrap/>
            <w:vAlign w:val="center"/>
            <w:hideMark/>
          </w:tcPr>
          <w:p w:rsidR="00A8556B" w:rsidRPr="00B603E5" w:rsidRDefault="00A8556B" w:rsidP="00770722">
            <w:pPr>
              <w:spacing w:after="0" w:line="240" w:lineRule="auto"/>
              <w:jc w:val="right"/>
              <w:rPr>
                <w:rFonts w:ascii="Arial" w:eastAsia="Times New Roman" w:hAnsi="Arial" w:cs="Arial"/>
                <w:i/>
                <w:iCs/>
                <w:sz w:val="16"/>
                <w:szCs w:val="18"/>
                <w:lang w:val="en-GB" w:eastAsia="en-GB"/>
              </w:rPr>
            </w:pPr>
            <w:r w:rsidRPr="00B603E5">
              <w:rPr>
                <w:rFonts w:ascii="Arial" w:eastAsia="Times New Roman" w:hAnsi="Arial" w:cs="Arial"/>
                <w:i/>
                <w:iCs/>
                <w:sz w:val="16"/>
                <w:szCs w:val="18"/>
                <w:lang w:val="en-US" w:eastAsia="en-GB"/>
              </w:rPr>
              <w:t>0</w:t>
            </w:r>
            <w:r w:rsidR="004F2D5C">
              <w:rPr>
                <w:rFonts w:ascii="Arial" w:eastAsia="Times New Roman" w:hAnsi="Arial" w:cs="Arial"/>
                <w:i/>
                <w:iCs/>
                <w:sz w:val="16"/>
                <w:szCs w:val="18"/>
                <w:lang w:val="en-US" w:eastAsia="en-GB"/>
              </w:rPr>
              <w:t>,</w:t>
            </w:r>
            <w:r w:rsidRPr="00B603E5">
              <w:rPr>
                <w:rFonts w:ascii="Arial" w:eastAsia="Times New Roman" w:hAnsi="Arial" w:cs="Arial"/>
                <w:i/>
                <w:iCs/>
                <w:sz w:val="16"/>
                <w:szCs w:val="18"/>
                <w:lang w:val="en-US" w:eastAsia="en-GB"/>
              </w:rPr>
              <w:t>0</w:t>
            </w:r>
            <w:r w:rsidR="00D73676">
              <w:rPr>
                <w:rFonts w:ascii="Arial" w:eastAsia="Times New Roman" w:hAnsi="Arial" w:cs="Arial"/>
                <w:i/>
                <w:iCs/>
                <w:sz w:val="16"/>
                <w:szCs w:val="18"/>
                <w:lang w:eastAsia="en-GB"/>
              </w:rPr>
              <w:t>1</w:t>
            </w:r>
            <w:r w:rsidRPr="00B603E5">
              <w:rPr>
                <w:rFonts w:ascii="Arial" w:eastAsia="Times New Roman" w:hAnsi="Arial" w:cs="Arial"/>
                <w:i/>
                <w:iCs/>
                <w:sz w:val="16"/>
                <w:szCs w:val="18"/>
                <w:lang w:val="en-US" w:eastAsia="en-GB"/>
              </w:rPr>
              <w:t>%</w:t>
            </w:r>
          </w:p>
        </w:tc>
      </w:tr>
    </w:tbl>
    <w:p w:rsidR="00CE6659" w:rsidRPr="00B603E5" w:rsidRDefault="002A3EAF" w:rsidP="000915DB">
      <w:pPr>
        <w:pStyle w:val="ListParagraph"/>
        <w:spacing w:after="120" w:line="240" w:lineRule="auto"/>
        <w:ind w:left="0"/>
        <w:jc w:val="both"/>
        <w:rPr>
          <w:rFonts w:ascii="Arial" w:eastAsia="Times New Roman" w:hAnsi="Arial" w:cs="Arial"/>
          <w:i/>
          <w:sz w:val="16"/>
          <w:szCs w:val="20"/>
        </w:rPr>
      </w:pPr>
      <w:r w:rsidRPr="00B603E5">
        <w:rPr>
          <w:rFonts w:ascii="Arial" w:hAnsi="Arial" w:cs="Arial"/>
          <w:i/>
          <w:sz w:val="18"/>
          <w:szCs w:val="20"/>
        </w:rPr>
        <w:t xml:space="preserve"> </w:t>
      </w:r>
      <w:r w:rsidR="00CE6659" w:rsidRPr="00B603E5">
        <w:rPr>
          <w:rFonts w:ascii="Arial" w:hAnsi="Arial" w:cs="Arial"/>
          <w:i/>
          <w:sz w:val="18"/>
          <w:szCs w:val="20"/>
        </w:rPr>
        <w:t xml:space="preserve">   </w:t>
      </w:r>
      <w:r w:rsidRPr="00B603E5">
        <w:rPr>
          <w:rFonts w:ascii="Arial" w:hAnsi="Arial" w:cs="Arial"/>
          <w:i/>
          <w:sz w:val="18"/>
          <w:szCs w:val="20"/>
        </w:rPr>
        <w:t xml:space="preserve"> </w:t>
      </w:r>
      <w:r w:rsidR="00CE6659" w:rsidRPr="00B603E5">
        <w:rPr>
          <w:rFonts w:ascii="Arial" w:hAnsi="Arial" w:cs="Arial"/>
          <w:i/>
          <w:sz w:val="16"/>
          <w:szCs w:val="20"/>
        </w:rPr>
        <w:t>Α: απόδοση βάσει των αποτελεσμάτων του έτους</w:t>
      </w:r>
    </w:p>
    <w:p w:rsidR="00CE6659" w:rsidRPr="00B603E5" w:rsidRDefault="00CE6659" w:rsidP="000915DB">
      <w:pPr>
        <w:pStyle w:val="ListParagraph"/>
        <w:spacing w:after="120" w:line="240" w:lineRule="auto"/>
        <w:ind w:left="0"/>
        <w:jc w:val="both"/>
        <w:rPr>
          <w:rFonts w:ascii="Arial" w:hAnsi="Arial" w:cs="Arial"/>
          <w:i/>
          <w:sz w:val="16"/>
          <w:szCs w:val="20"/>
        </w:rPr>
      </w:pPr>
      <w:r w:rsidRPr="00B603E5">
        <w:rPr>
          <w:rFonts w:ascii="Arial" w:hAnsi="Arial" w:cs="Arial"/>
          <w:i/>
          <w:sz w:val="16"/>
          <w:szCs w:val="20"/>
        </w:rPr>
        <w:t xml:space="preserve">     Π: απόδοση βάσει προϋπολογισμού έτους</w:t>
      </w:r>
    </w:p>
    <w:p w:rsidR="00CE6659" w:rsidRPr="00B603E5" w:rsidRDefault="00DD6BBC" w:rsidP="000915DB">
      <w:pPr>
        <w:pStyle w:val="ListParagraph"/>
        <w:spacing w:after="120" w:line="240" w:lineRule="auto"/>
        <w:ind w:left="0"/>
        <w:jc w:val="both"/>
        <w:rPr>
          <w:rFonts w:ascii="Arial" w:hAnsi="Arial" w:cs="Arial"/>
          <w:i/>
          <w:sz w:val="16"/>
          <w:szCs w:val="20"/>
        </w:rPr>
      </w:pPr>
      <w:r w:rsidRPr="00B603E5">
        <w:rPr>
          <w:rFonts w:ascii="Arial" w:hAnsi="Arial" w:cs="Arial"/>
          <w:i/>
          <w:sz w:val="16"/>
          <w:szCs w:val="20"/>
        </w:rPr>
        <w:t xml:space="preserve">     6</w:t>
      </w:r>
      <w:r w:rsidR="00CE6659" w:rsidRPr="00B603E5">
        <w:rPr>
          <w:rFonts w:ascii="Arial" w:hAnsi="Arial" w:cs="Arial"/>
          <w:i/>
          <w:sz w:val="16"/>
          <w:szCs w:val="20"/>
        </w:rPr>
        <w:t>Μ: ε</w:t>
      </w:r>
      <w:r w:rsidR="00C6074C" w:rsidRPr="00B603E5">
        <w:rPr>
          <w:rFonts w:ascii="Arial" w:hAnsi="Arial" w:cs="Arial"/>
          <w:i/>
          <w:sz w:val="16"/>
          <w:szCs w:val="20"/>
        </w:rPr>
        <w:t>τησιοποιημένη απόδοση βάσει εξ</w:t>
      </w:r>
      <w:r w:rsidR="00CE6659" w:rsidRPr="00B603E5">
        <w:rPr>
          <w:rFonts w:ascii="Arial" w:hAnsi="Arial" w:cs="Arial"/>
          <w:i/>
          <w:sz w:val="16"/>
          <w:szCs w:val="20"/>
        </w:rPr>
        <w:t>αμηνιαίων αποτελεσμάτων</w:t>
      </w:r>
    </w:p>
    <w:p w:rsidR="00234DD8" w:rsidRPr="00CE6659" w:rsidRDefault="00234DD8" w:rsidP="000915DB">
      <w:pPr>
        <w:pStyle w:val="ListParagraph"/>
        <w:spacing w:after="120" w:line="240" w:lineRule="auto"/>
        <w:ind w:left="0"/>
        <w:jc w:val="both"/>
        <w:rPr>
          <w:rFonts w:ascii="Arial" w:hAnsi="Arial" w:cs="Arial"/>
          <w:sz w:val="18"/>
          <w:szCs w:val="20"/>
        </w:rPr>
      </w:pPr>
    </w:p>
    <w:p w:rsidR="00DD6BBC" w:rsidRPr="00FC11C7" w:rsidRDefault="00927DC8" w:rsidP="00DD6BBC">
      <w:pPr>
        <w:jc w:val="both"/>
        <w:rPr>
          <w:rFonts w:ascii="Calibri" w:eastAsia="Times New Roman" w:hAnsi="Calibri" w:cs="Calibri"/>
        </w:rPr>
      </w:pPr>
      <w:r w:rsidRPr="00CE6659">
        <w:rPr>
          <w:rFonts w:ascii="Arial" w:hAnsi="Arial" w:cs="Arial"/>
          <w:b/>
          <w:sz w:val="20"/>
          <w:szCs w:val="20"/>
          <w:u w:val="single"/>
        </w:rPr>
        <w:t>Άρθρο 01934 «</w:t>
      </w:r>
      <w:r w:rsidRPr="00CE6659">
        <w:rPr>
          <w:rFonts w:ascii="Arial" w:eastAsia="Times New Roman" w:hAnsi="Arial" w:cs="Arial"/>
          <w:b/>
          <w:color w:val="000000"/>
          <w:sz w:val="20"/>
          <w:szCs w:val="20"/>
          <w:u w:val="single"/>
        </w:rPr>
        <w:t>Αμοιβή για υπηρεσίες δανείων Φορέα</w:t>
      </w:r>
      <w:r w:rsidRPr="00CE6659">
        <w:rPr>
          <w:rFonts w:ascii="Arial" w:hAnsi="Arial" w:cs="Arial"/>
          <w:b/>
          <w:sz w:val="20"/>
          <w:szCs w:val="20"/>
          <w:u w:val="single"/>
        </w:rPr>
        <w:t>»</w:t>
      </w:r>
      <w:r w:rsidR="002A3EAF" w:rsidRPr="00CE6659">
        <w:rPr>
          <w:rFonts w:ascii="Arial" w:hAnsi="Arial" w:cs="Arial"/>
          <w:b/>
          <w:sz w:val="20"/>
          <w:szCs w:val="20"/>
          <w:u w:val="single"/>
        </w:rPr>
        <w:tab/>
        <w:t>€</w:t>
      </w:r>
      <w:r w:rsidR="004A52D3">
        <w:rPr>
          <w:rFonts w:ascii="Arial" w:hAnsi="Arial" w:cs="Arial"/>
          <w:b/>
          <w:sz w:val="20"/>
          <w:szCs w:val="20"/>
          <w:u w:val="single"/>
        </w:rPr>
        <w:t>1.879.444</w:t>
      </w:r>
    </w:p>
    <w:p w:rsidR="00FD5C26" w:rsidRDefault="00927DC8" w:rsidP="000915DB">
      <w:pPr>
        <w:jc w:val="both"/>
        <w:rPr>
          <w:rFonts w:ascii="Arial" w:hAnsi="Arial" w:cs="Arial"/>
          <w:b/>
          <w:sz w:val="20"/>
          <w:szCs w:val="20"/>
          <w:u w:val="single"/>
        </w:rPr>
      </w:pPr>
      <w:r w:rsidRPr="00CE6659">
        <w:rPr>
          <w:rFonts w:ascii="Arial" w:hAnsi="Arial" w:cs="Arial"/>
          <w:sz w:val="20"/>
          <w:szCs w:val="20"/>
        </w:rPr>
        <w:t xml:space="preserve">Η αμοιβή αυτή αποτελεί αποζημίωση για τα διοικητικά έξοδα του Οργανισμού, για τη διαχείριση των δανείων με κεφάλαια του </w:t>
      </w:r>
      <w:r w:rsidR="007C709B">
        <w:rPr>
          <w:rFonts w:ascii="Arial" w:hAnsi="Arial" w:cs="Arial"/>
          <w:sz w:val="20"/>
          <w:szCs w:val="20"/>
        </w:rPr>
        <w:t xml:space="preserve">Κεντρικού </w:t>
      </w:r>
      <w:r w:rsidRPr="00CE6659">
        <w:rPr>
          <w:rFonts w:ascii="Arial" w:hAnsi="Arial" w:cs="Arial"/>
          <w:sz w:val="20"/>
          <w:szCs w:val="20"/>
        </w:rPr>
        <w:t>Φορέα Ισότιμης Κατανομής Βαρών</w:t>
      </w:r>
      <w:r w:rsidR="00FC11C7" w:rsidRPr="00B603E5">
        <w:rPr>
          <w:rFonts w:ascii="Arial" w:hAnsi="Arial" w:cs="Arial"/>
          <w:sz w:val="20"/>
          <w:szCs w:val="20"/>
        </w:rPr>
        <w:t xml:space="preserve"> (</w:t>
      </w:r>
      <w:r w:rsidR="00FC11C7">
        <w:rPr>
          <w:rFonts w:ascii="Arial" w:hAnsi="Arial" w:cs="Arial"/>
          <w:sz w:val="20"/>
          <w:szCs w:val="20"/>
        </w:rPr>
        <w:t>ΚΦΙΚΒ)</w:t>
      </w:r>
      <w:r w:rsidRPr="00CE6659">
        <w:rPr>
          <w:rFonts w:ascii="Arial" w:hAnsi="Arial" w:cs="Arial"/>
          <w:sz w:val="20"/>
          <w:szCs w:val="20"/>
        </w:rPr>
        <w:t xml:space="preserve">. </w:t>
      </w:r>
      <w:r w:rsidR="00FC11C7" w:rsidRPr="00FD5C26">
        <w:rPr>
          <w:rFonts w:ascii="Arial" w:hAnsi="Arial" w:cs="Arial"/>
          <w:sz w:val="20"/>
          <w:szCs w:val="20"/>
        </w:rPr>
        <w:t>H</w:t>
      </w:r>
      <w:r w:rsidR="00FC11C7" w:rsidRPr="00B603E5">
        <w:rPr>
          <w:rFonts w:ascii="Arial" w:hAnsi="Arial" w:cs="Arial"/>
          <w:sz w:val="20"/>
          <w:szCs w:val="20"/>
        </w:rPr>
        <w:t xml:space="preserve"> </w:t>
      </w:r>
      <w:r w:rsidR="00FC11C7" w:rsidRPr="00FC11C7">
        <w:rPr>
          <w:rFonts w:ascii="Arial" w:hAnsi="Arial" w:cs="Arial"/>
          <w:sz w:val="20"/>
          <w:szCs w:val="20"/>
        </w:rPr>
        <w:t>αμοιβή για υπηρεσίες δανείων ΚΦΙΚΒ βασίζεται στον αριθμό των δανείων στο τέλος του κάθε έτους. Για να υπολογιστεί ο προβλεπόμενος αριθμός δανείων στις 31 Δεκεμβρίου 202</w:t>
      </w:r>
      <w:r w:rsidR="004A52D3">
        <w:rPr>
          <w:rFonts w:ascii="Arial" w:hAnsi="Arial" w:cs="Arial"/>
          <w:sz w:val="20"/>
          <w:szCs w:val="20"/>
        </w:rPr>
        <w:t>1</w:t>
      </w:r>
      <w:r w:rsidR="00FC11C7" w:rsidRPr="00FC11C7">
        <w:rPr>
          <w:rFonts w:ascii="Arial" w:hAnsi="Arial" w:cs="Arial"/>
          <w:sz w:val="20"/>
          <w:szCs w:val="20"/>
        </w:rPr>
        <w:t xml:space="preserve"> έχει ληφθεί </w:t>
      </w:r>
      <w:r w:rsidR="00FC11C7" w:rsidRPr="005362AF">
        <w:rPr>
          <w:rFonts w:ascii="Arial" w:hAnsi="Arial" w:cs="Arial"/>
          <w:sz w:val="20"/>
          <w:szCs w:val="20"/>
        </w:rPr>
        <w:t xml:space="preserve">υπόψη </w:t>
      </w:r>
      <w:r w:rsidR="00AB29DA" w:rsidRPr="00880E70">
        <w:rPr>
          <w:rFonts w:ascii="Arial" w:hAnsi="Arial" w:cs="Arial"/>
          <w:sz w:val="20"/>
          <w:szCs w:val="20"/>
        </w:rPr>
        <w:t>της</w:t>
      </w:r>
      <w:r w:rsidR="00AB29DA">
        <w:rPr>
          <w:rFonts w:ascii="Arial" w:hAnsi="Arial" w:cs="Arial"/>
          <w:sz w:val="20"/>
          <w:szCs w:val="20"/>
        </w:rPr>
        <w:t xml:space="preserve"> η</w:t>
      </w:r>
      <w:r w:rsidR="00FC11C7" w:rsidRPr="00FC11C7">
        <w:rPr>
          <w:rFonts w:ascii="Arial" w:hAnsi="Arial" w:cs="Arial"/>
          <w:sz w:val="20"/>
          <w:szCs w:val="20"/>
        </w:rPr>
        <w:t xml:space="preserve"> ετησιοποιημένη αλλαγή στις 30 Ιουνίου 202</w:t>
      </w:r>
      <w:r w:rsidR="004A52D3">
        <w:rPr>
          <w:rFonts w:ascii="Arial" w:hAnsi="Arial" w:cs="Arial"/>
          <w:sz w:val="20"/>
          <w:szCs w:val="20"/>
        </w:rPr>
        <w:t>1</w:t>
      </w:r>
      <w:r w:rsidR="00FC11C7" w:rsidRPr="00FC11C7">
        <w:rPr>
          <w:rFonts w:ascii="Arial" w:hAnsi="Arial" w:cs="Arial"/>
          <w:sz w:val="20"/>
          <w:szCs w:val="20"/>
        </w:rPr>
        <w:t>. Αντίστοιχα, για τα έτη 202</w:t>
      </w:r>
      <w:r w:rsidR="004A52D3">
        <w:rPr>
          <w:rFonts w:ascii="Arial" w:hAnsi="Arial" w:cs="Arial"/>
          <w:sz w:val="20"/>
          <w:szCs w:val="20"/>
        </w:rPr>
        <w:t>2</w:t>
      </w:r>
      <w:r w:rsidR="00FC11C7" w:rsidRPr="00FC11C7">
        <w:rPr>
          <w:rFonts w:ascii="Arial" w:hAnsi="Arial" w:cs="Arial"/>
          <w:sz w:val="20"/>
          <w:szCs w:val="20"/>
        </w:rPr>
        <w:t>-202</w:t>
      </w:r>
      <w:r w:rsidR="004A52D3">
        <w:rPr>
          <w:rFonts w:ascii="Arial" w:hAnsi="Arial" w:cs="Arial"/>
          <w:sz w:val="20"/>
          <w:szCs w:val="20"/>
        </w:rPr>
        <w:t>4</w:t>
      </w:r>
      <w:r w:rsidR="00FC11C7" w:rsidRPr="00FC11C7">
        <w:rPr>
          <w:rFonts w:ascii="Arial" w:hAnsi="Arial" w:cs="Arial"/>
          <w:sz w:val="20"/>
          <w:szCs w:val="20"/>
        </w:rPr>
        <w:t xml:space="preserve"> έχει χρησιμοποιηθεί ο μέσος όρος της ποσοστιαίας αλλαγής των δύο προηγούμενων ετών. Σημειώνεται ότι η αμοιβή για τις υπηρεσίες προς τον ΚΦΙΚΒ έχει προβλεφθεί σταθερή αμοιβή (€95 ανά δάνειο) σε σύγκριση με τα προηγούμενα έτη. </w:t>
      </w:r>
    </w:p>
    <w:p w:rsidR="00DD6BBC" w:rsidRPr="00CE6659" w:rsidRDefault="006D5D13" w:rsidP="000915DB">
      <w:pPr>
        <w:jc w:val="both"/>
        <w:rPr>
          <w:rFonts w:ascii="Arial" w:hAnsi="Arial" w:cs="Arial"/>
          <w:b/>
          <w:sz w:val="20"/>
          <w:szCs w:val="20"/>
          <w:u w:val="single"/>
        </w:rPr>
      </w:pPr>
      <w:r w:rsidRPr="00CE6659">
        <w:rPr>
          <w:rFonts w:ascii="Arial" w:hAnsi="Arial" w:cs="Arial"/>
          <w:b/>
          <w:sz w:val="20"/>
          <w:szCs w:val="20"/>
          <w:u w:val="single"/>
        </w:rPr>
        <w:t>Άρθρο 01933 «</w:t>
      </w:r>
      <w:r w:rsidRPr="00CE6659">
        <w:rPr>
          <w:rFonts w:ascii="Arial" w:eastAsia="Times New Roman" w:hAnsi="Arial" w:cs="Arial"/>
          <w:b/>
          <w:color w:val="000000"/>
          <w:sz w:val="20"/>
          <w:szCs w:val="20"/>
          <w:u w:val="single"/>
        </w:rPr>
        <w:t>Αμοιβή για υπηρεσίες κυβερνητικών δανείων</w:t>
      </w:r>
      <w:r w:rsidRPr="00CE6659">
        <w:rPr>
          <w:rFonts w:ascii="Arial" w:hAnsi="Arial" w:cs="Arial"/>
          <w:b/>
          <w:sz w:val="20"/>
          <w:szCs w:val="20"/>
          <w:u w:val="single"/>
        </w:rPr>
        <w:t>»</w:t>
      </w:r>
      <w:r w:rsidR="003F3683">
        <w:rPr>
          <w:rFonts w:ascii="Arial" w:hAnsi="Arial" w:cs="Arial"/>
          <w:b/>
          <w:sz w:val="20"/>
          <w:szCs w:val="20"/>
          <w:u w:val="single"/>
        </w:rPr>
        <w:tab/>
        <w:t>€</w:t>
      </w:r>
      <w:r w:rsidR="004A52D3">
        <w:rPr>
          <w:rFonts w:ascii="Arial" w:hAnsi="Arial" w:cs="Arial"/>
          <w:b/>
          <w:sz w:val="20"/>
          <w:szCs w:val="20"/>
          <w:u w:val="single"/>
        </w:rPr>
        <w:t>982.353</w:t>
      </w:r>
    </w:p>
    <w:p w:rsidR="00FC11C7" w:rsidRPr="00FD5C26" w:rsidRDefault="006D5D13" w:rsidP="000915DB">
      <w:pPr>
        <w:jc w:val="both"/>
        <w:rPr>
          <w:rFonts w:ascii="Arial" w:hAnsi="Arial" w:cs="Arial"/>
          <w:sz w:val="20"/>
          <w:szCs w:val="20"/>
        </w:rPr>
      </w:pPr>
      <w:r w:rsidRPr="00CE6659">
        <w:rPr>
          <w:rFonts w:ascii="Arial" w:hAnsi="Arial" w:cs="Arial"/>
          <w:sz w:val="20"/>
          <w:szCs w:val="20"/>
        </w:rPr>
        <w:t>Η αμοιβή αυτή αποτελεί αποζημίωση για τα διοικητικά έξοδα του Οργανισμού, για τη διαχείριση των στεγαστικών δανεί</w:t>
      </w:r>
      <w:r w:rsidR="00E06AF0" w:rsidRPr="00CE6659">
        <w:rPr>
          <w:rFonts w:ascii="Arial" w:hAnsi="Arial" w:cs="Arial"/>
          <w:sz w:val="20"/>
          <w:szCs w:val="20"/>
        </w:rPr>
        <w:t>ων με Κυβερνητικά Κ</w:t>
      </w:r>
      <w:r w:rsidRPr="00CE6659">
        <w:rPr>
          <w:rFonts w:ascii="Arial" w:hAnsi="Arial" w:cs="Arial"/>
          <w:sz w:val="20"/>
          <w:szCs w:val="20"/>
        </w:rPr>
        <w:t xml:space="preserve">εφάλαια (Ενιαίο Στεγαστικό Σχέδιο και Ειδικό Κυβερνητικό Στεγαστικό Σχέδιο) και </w:t>
      </w:r>
      <w:r w:rsidR="00FC11C7" w:rsidRPr="00FD5C26">
        <w:rPr>
          <w:rFonts w:ascii="Arial" w:hAnsi="Arial" w:cs="Arial"/>
          <w:sz w:val="20"/>
          <w:szCs w:val="20"/>
        </w:rPr>
        <w:t>υπολογίζεται πάνω στο εκάστοτε υπόλοιπο στο τέλος του κάθε έτους. Για να υπολογιστεί το προβλεπόμενο υπόλοιπο των δανείων στις 31 Δεκεμβρίου 2021 έχει ληφθεί υπόψη</w:t>
      </w:r>
      <w:r w:rsidR="00AB29DA">
        <w:rPr>
          <w:rFonts w:ascii="Arial" w:hAnsi="Arial" w:cs="Arial"/>
          <w:sz w:val="20"/>
          <w:szCs w:val="20"/>
        </w:rPr>
        <w:t xml:space="preserve"> η</w:t>
      </w:r>
      <w:r w:rsidR="00FC11C7" w:rsidRPr="00FD5C26">
        <w:rPr>
          <w:rFonts w:ascii="Arial" w:hAnsi="Arial" w:cs="Arial"/>
          <w:sz w:val="20"/>
          <w:szCs w:val="20"/>
        </w:rPr>
        <w:t xml:space="preserve"> </w:t>
      </w:r>
      <w:r w:rsidR="00FC11C7" w:rsidRPr="00FD5C26">
        <w:rPr>
          <w:rFonts w:ascii="Arial" w:hAnsi="Arial" w:cs="Arial"/>
          <w:sz w:val="20"/>
          <w:szCs w:val="20"/>
        </w:rPr>
        <w:lastRenderedPageBreak/>
        <w:t>ετησιοποιημένη αλλαγή στις 30 Ιουνίου 202</w:t>
      </w:r>
      <w:r w:rsidR="004A52D3">
        <w:rPr>
          <w:rFonts w:ascii="Arial" w:hAnsi="Arial" w:cs="Arial"/>
          <w:sz w:val="20"/>
          <w:szCs w:val="20"/>
        </w:rPr>
        <w:t>1</w:t>
      </w:r>
      <w:r w:rsidR="00FC11C7" w:rsidRPr="00FD5C26">
        <w:rPr>
          <w:rFonts w:ascii="Arial" w:hAnsi="Arial" w:cs="Arial"/>
          <w:sz w:val="20"/>
          <w:szCs w:val="20"/>
        </w:rPr>
        <w:t xml:space="preserve">. </w:t>
      </w:r>
      <w:bookmarkStart w:id="0" w:name="_Hlk51433367"/>
      <w:r w:rsidR="00FC11C7" w:rsidRPr="00FD5C26">
        <w:rPr>
          <w:rFonts w:ascii="Arial" w:hAnsi="Arial" w:cs="Arial"/>
          <w:sz w:val="20"/>
          <w:szCs w:val="20"/>
        </w:rPr>
        <w:t>Αντίστοιχα, για τα έτη 2022-202</w:t>
      </w:r>
      <w:r w:rsidR="004A52D3">
        <w:rPr>
          <w:rFonts w:ascii="Arial" w:hAnsi="Arial" w:cs="Arial"/>
          <w:sz w:val="20"/>
          <w:szCs w:val="20"/>
        </w:rPr>
        <w:t>4</w:t>
      </w:r>
      <w:r w:rsidR="00FC11C7" w:rsidRPr="00FD5C26">
        <w:rPr>
          <w:rFonts w:ascii="Arial" w:hAnsi="Arial" w:cs="Arial"/>
          <w:sz w:val="20"/>
          <w:szCs w:val="20"/>
        </w:rPr>
        <w:t xml:space="preserve"> έχει χρησιμοποιηθεί ο μέσος όρος της ποσοστιαίας αλλαγής των δύο προηγούμενων ετών.</w:t>
      </w:r>
      <w:bookmarkEnd w:id="0"/>
    </w:p>
    <w:p w:rsidR="00FC11C7" w:rsidRDefault="00FC11C7" w:rsidP="00FC11C7">
      <w:pPr>
        <w:jc w:val="both"/>
        <w:rPr>
          <w:rFonts w:ascii="Arial" w:hAnsi="Arial" w:cs="Arial"/>
          <w:b/>
          <w:sz w:val="20"/>
          <w:szCs w:val="20"/>
          <w:u w:val="single"/>
        </w:rPr>
      </w:pPr>
      <w:r w:rsidRPr="00CE6659">
        <w:rPr>
          <w:rFonts w:ascii="Arial" w:hAnsi="Arial" w:cs="Arial"/>
          <w:b/>
          <w:sz w:val="20"/>
          <w:szCs w:val="20"/>
          <w:u w:val="single"/>
        </w:rPr>
        <w:t>Άρθρο 019</w:t>
      </w:r>
      <w:r>
        <w:rPr>
          <w:rFonts w:ascii="Arial" w:hAnsi="Arial" w:cs="Arial"/>
          <w:b/>
          <w:sz w:val="20"/>
          <w:szCs w:val="20"/>
          <w:u w:val="single"/>
        </w:rPr>
        <w:t>40</w:t>
      </w:r>
      <w:r w:rsidRPr="00CE6659">
        <w:rPr>
          <w:rFonts w:ascii="Arial" w:hAnsi="Arial" w:cs="Arial"/>
          <w:b/>
          <w:sz w:val="20"/>
          <w:szCs w:val="20"/>
          <w:u w:val="single"/>
        </w:rPr>
        <w:t xml:space="preserve"> «</w:t>
      </w:r>
      <w:r>
        <w:rPr>
          <w:rFonts w:ascii="Arial" w:eastAsia="Times New Roman" w:hAnsi="Arial" w:cs="Arial"/>
          <w:b/>
          <w:color w:val="000000"/>
          <w:sz w:val="20"/>
          <w:szCs w:val="20"/>
          <w:u w:val="single"/>
        </w:rPr>
        <w:t>Κόστος Ρευστότητας (</w:t>
      </w:r>
      <w:r>
        <w:rPr>
          <w:rFonts w:ascii="Arial" w:eastAsia="Times New Roman" w:hAnsi="Arial" w:cs="Arial"/>
          <w:b/>
          <w:color w:val="000000"/>
          <w:sz w:val="20"/>
          <w:szCs w:val="20"/>
          <w:u w:val="single"/>
          <w:lang w:val="en-US"/>
        </w:rPr>
        <w:t>Liquidity</w:t>
      </w:r>
      <w:r w:rsidRPr="00B603E5">
        <w:rPr>
          <w:rFonts w:ascii="Arial" w:eastAsia="Times New Roman" w:hAnsi="Arial" w:cs="Arial"/>
          <w:b/>
          <w:color w:val="000000"/>
          <w:sz w:val="20"/>
          <w:szCs w:val="20"/>
          <w:u w:val="single"/>
        </w:rPr>
        <w:t xml:space="preserve"> </w:t>
      </w:r>
      <w:r>
        <w:rPr>
          <w:rFonts w:ascii="Arial" w:eastAsia="Times New Roman" w:hAnsi="Arial" w:cs="Arial"/>
          <w:b/>
          <w:color w:val="000000"/>
          <w:sz w:val="20"/>
          <w:szCs w:val="20"/>
          <w:u w:val="single"/>
          <w:lang w:val="en-US"/>
        </w:rPr>
        <w:t>fee</w:t>
      </w:r>
      <w:r w:rsidRPr="00B603E5">
        <w:rPr>
          <w:rFonts w:ascii="Arial" w:eastAsia="Times New Roman" w:hAnsi="Arial" w:cs="Arial"/>
          <w:b/>
          <w:color w:val="000000"/>
          <w:sz w:val="20"/>
          <w:szCs w:val="20"/>
          <w:u w:val="single"/>
        </w:rPr>
        <w:t>)</w:t>
      </w:r>
      <w:r w:rsidRPr="00CE6659">
        <w:rPr>
          <w:rFonts w:ascii="Arial" w:hAnsi="Arial" w:cs="Arial"/>
          <w:b/>
          <w:sz w:val="20"/>
          <w:szCs w:val="20"/>
          <w:u w:val="single"/>
        </w:rPr>
        <w:t>»</w:t>
      </w:r>
      <w:r>
        <w:rPr>
          <w:rFonts w:ascii="Arial" w:hAnsi="Arial" w:cs="Arial"/>
          <w:b/>
          <w:sz w:val="20"/>
          <w:szCs w:val="20"/>
          <w:u w:val="single"/>
        </w:rPr>
        <w:tab/>
        <w:t>€</w:t>
      </w:r>
      <w:r w:rsidR="00D06630">
        <w:rPr>
          <w:rFonts w:ascii="Arial" w:hAnsi="Arial" w:cs="Arial"/>
          <w:b/>
          <w:sz w:val="20"/>
          <w:szCs w:val="20"/>
          <w:u w:val="single"/>
        </w:rPr>
        <w:t>85.344</w:t>
      </w:r>
    </w:p>
    <w:p w:rsidR="00FC11C7" w:rsidRPr="00FD5C26" w:rsidRDefault="00FC11C7" w:rsidP="00FC11C7">
      <w:pPr>
        <w:jc w:val="both"/>
        <w:rPr>
          <w:rFonts w:ascii="Arial" w:hAnsi="Arial" w:cs="Arial"/>
          <w:sz w:val="20"/>
          <w:szCs w:val="20"/>
        </w:rPr>
      </w:pPr>
      <w:r w:rsidRPr="00FD5C26">
        <w:rPr>
          <w:rFonts w:ascii="Arial" w:hAnsi="Arial" w:cs="Arial"/>
          <w:sz w:val="20"/>
          <w:szCs w:val="20"/>
        </w:rPr>
        <w:t>Το κόστος ρευστότητας είναι πρόσθετο κόστος το οποίο χρεώνεται από τα ΑΠΙ σε σχέση με τα υπόλοιπα που διατηρεί ο Οργανισμός. Σημειώνεται ότι το κόστος ρευστότητας είναι επιπρόσθετο κόστος από τυχόν αρνητικά επιτόκια.</w:t>
      </w:r>
    </w:p>
    <w:p w:rsidR="00FC11C7" w:rsidRDefault="00FC11C7" w:rsidP="00FC11C7">
      <w:pPr>
        <w:jc w:val="both"/>
        <w:rPr>
          <w:rFonts w:ascii="Arial" w:hAnsi="Arial" w:cs="Arial"/>
          <w:b/>
          <w:sz w:val="20"/>
          <w:szCs w:val="20"/>
          <w:u w:val="single"/>
        </w:rPr>
      </w:pPr>
      <w:r w:rsidRPr="00CE6659">
        <w:rPr>
          <w:rFonts w:ascii="Arial" w:hAnsi="Arial" w:cs="Arial"/>
          <w:b/>
          <w:sz w:val="20"/>
          <w:szCs w:val="20"/>
          <w:u w:val="single"/>
        </w:rPr>
        <w:t>Άρθρο 019</w:t>
      </w:r>
      <w:r>
        <w:rPr>
          <w:rFonts w:ascii="Arial" w:hAnsi="Arial" w:cs="Arial"/>
          <w:b/>
          <w:sz w:val="20"/>
          <w:szCs w:val="20"/>
          <w:u w:val="single"/>
        </w:rPr>
        <w:t>50</w:t>
      </w:r>
      <w:r w:rsidRPr="00CE6659">
        <w:rPr>
          <w:rFonts w:ascii="Arial" w:hAnsi="Arial" w:cs="Arial"/>
          <w:b/>
          <w:sz w:val="20"/>
          <w:szCs w:val="20"/>
          <w:u w:val="single"/>
        </w:rPr>
        <w:t xml:space="preserve"> «</w:t>
      </w:r>
      <w:r>
        <w:rPr>
          <w:rFonts w:ascii="Arial" w:eastAsia="Times New Roman" w:hAnsi="Arial" w:cs="Arial"/>
          <w:b/>
          <w:color w:val="000000"/>
          <w:sz w:val="20"/>
          <w:szCs w:val="20"/>
          <w:u w:val="single"/>
        </w:rPr>
        <w:t>Προμήθεια πληρωτέα Άρτεμις</w:t>
      </w:r>
      <w:r w:rsidRPr="00CE6659">
        <w:rPr>
          <w:rFonts w:ascii="Arial" w:hAnsi="Arial" w:cs="Arial"/>
          <w:b/>
          <w:sz w:val="20"/>
          <w:szCs w:val="20"/>
          <w:u w:val="single"/>
        </w:rPr>
        <w:t>»</w:t>
      </w:r>
      <w:r>
        <w:rPr>
          <w:rFonts w:ascii="Arial" w:hAnsi="Arial" w:cs="Arial"/>
          <w:b/>
          <w:sz w:val="20"/>
          <w:szCs w:val="20"/>
          <w:u w:val="single"/>
        </w:rPr>
        <w:tab/>
        <w:t>€</w:t>
      </w:r>
      <w:r w:rsidR="00D06630">
        <w:rPr>
          <w:rFonts w:ascii="Arial" w:hAnsi="Arial" w:cs="Arial"/>
          <w:b/>
          <w:sz w:val="20"/>
          <w:szCs w:val="20"/>
          <w:u w:val="single"/>
        </w:rPr>
        <w:t>92.820</w:t>
      </w:r>
    </w:p>
    <w:p w:rsidR="00FC11C7" w:rsidRPr="00FD5C26" w:rsidRDefault="00FC11C7" w:rsidP="00FC11C7">
      <w:pPr>
        <w:jc w:val="both"/>
        <w:rPr>
          <w:rFonts w:ascii="Arial" w:hAnsi="Arial" w:cs="Arial"/>
          <w:sz w:val="20"/>
          <w:szCs w:val="20"/>
        </w:rPr>
      </w:pPr>
      <w:r w:rsidRPr="00FD5C26">
        <w:rPr>
          <w:rFonts w:ascii="Arial" w:hAnsi="Arial" w:cs="Arial"/>
          <w:sz w:val="20"/>
          <w:szCs w:val="20"/>
        </w:rPr>
        <w:t>Με την τροποποίηση του Περί Εργασιών Πιστωτικών Ιδρυμάτων Νόμου όπου αφορούσε τη μεταφορά του Οργανισμού από τον Αίαντα στο Άρτεμις ο Οργανισμός χρεώνεται σταθερό κόστος €500 ανά μήνα και €6,50 ανά έρευνα πελάτη. Το κόστος έχει υπολογιστεί σύμφωνα με τον μέσο όρο ερευνών την ημέρα για το</w:t>
      </w:r>
      <w:r w:rsidR="00D06630">
        <w:rPr>
          <w:rFonts w:ascii="Arial" w:hAnsi="Arial" w:cs="Arial"/>
          <w:sz w:val="20"/>
          <w:szCs w:val="20"/>
        </w:rPr>
        <w:t xml:space="preserve"> πρώτο εξάμηνο</w:t>
      </w:r>
      <w:r w:rsidRPr="00FD5C26">
        <w:rPr>
          <w:rFonts w:ascii="Arial" w:hAnsi="Arial" w:cs="Arial"/>
          <w:sz w:val="20"/>
          <w:szCs w:val="20"/>
        </w:rPr>
        <w:t xml:space="preserve"> 202</w:t>
      </w:r>
      <w:r w:rsidR="00D06630">
        <w:rPr>
          <w:rFonts w:ascii="Arial" w:hAnsi="Arial" w:cs="Arial"/>
          <w:sz w:val="20"/>
          <w:szCs w:val="20"/>
        </w:rPr>
        <w:t>1</w:t>
      </w:r>
      <w:r w:rsidR="008F41DF" w:rsidRPr="00880E70">
        <w:rPr>
          <w:rFonts w:ascii="Arial" w:hAnsi="Arial" w:cs="Arial"/>
          <w:sz w:val="20"/>
          <w:szCs w:val="20"/>
        </w:rPr>
        <w:t>.</w:t>
      </w:r>
    </w:p>
    <w:p w:rsidR="00CA4370" w:rsidRPr="00D90942" w:rsidRDefault="00CA4370" w:rsidP="00CA4370">
      <w:pPr>
        <w:jc w:val="both"/>
        <w:rPr>
          <w:rFonts w:ascii="Arial" w:hAnsi="Arial" w:cs="Arial"/>
          <w:b/>
          <w:smallCaps/>
          <w:szCs w:val="20"/>
        </w:rPr>
      </w:pPr>
      <w:r>
        <w:rPr>
          <w:rFonts w:ascii="Arial" w:hAnsi="Arial" w:cs="Arial"/>
          <w:b/>
          <w:smallCaps/>
          <w:szCs w:val="20"/>
        </w:rPr>
        <w:t>Δαπανεσ</w:t>
      </w:r>
      <w:r w:rsidRPr="00D90942">
        <w:rPr>
          <w:rFonts w:ascii="Arial" w:hAnsi="Arial" w:cs="Arial"/>
          <w:b/>
          <w:smallCaps/>
          <w:szCs w:val="20"/>
        </w:rPr>
        <w:t xml:space="preserve"> προϋπολογισμού</w:t>
      </w:r>
      <w:r>
        <w:rPr>
          <w:rFonts w:ascii="Arial" w:hAnsi="Arial" w:cs="Arial"/>
          <w:b/>
          <w:smallCaps/>
          <w:szCs w:val="20"/>
        </w:rPr>
        <w:t xml:space="preserve"> έτους</w:t>
      </w:r>
      <w:r w:rsidRPr="00D90942">
        <w:rPr>
          <w:rFonts w:ascii="Arial" w:hAnsi="Arial" w:cs="Arial"/>
          <w:b/>
          <w:smallCaps/>
          <w:szCs w:val="20"/>
        </w:rPr>
        <w:t xml:space="preserve"> 20</w:t>
      </w:r>
      <w:r w:rsidR="00234DD8">
        <w:rPr>
          <w:rFonts w:ascii="Arial" w:hAnsi="Arial" w:cs="Arial"/>
          <w:b/>
          <w:smallCaps/>
          <w:szCs w:val="20"/>
        </w:rPr>
        <w:t>2</w:t>
      </w:r>
      <w:r w:rsidR="00F8614A">
        <w:rPr>
          <w:rFonts w:ascii="Arial" w:hAnsi="Arial" w:cs="Arial"/>
          <w:b/>
          <w:smallCaps/>
          <w:szCs w:val="20"/>
        </w:rPr>
        <w:t>2</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021</w:t>
      </w:r>
      <w:r w:rsidR="008D0ADB" w:rsidRPr="00CE6659">
        <w:rPr>
          <w:rFonts w:ascii="Arial" w:hAnsi="Arial" w:cs="Arial"/>
          <w:b/>
          <w:sz w:val="20"/>
          <w:szCs w:val="20"/>
          <w:u w:val="single"/>
        </w:rPr>
        <w:t>02</w:t>
      </w:r>
      <w:r w:rsidRPr="00CE6659">
        <w:rPr>
          <w:rFonts w:ascii="Arial" w:hAnsi="Arial" w:cs="Arial"/>
          <w:b/>
          <w:sz w:val="20"/>
          <w:szCs w:val="20"/>
          <w:u w:val="single"/>
        </w:rPr>
        <w:t xml:space="preserve"> «</w:t>
      </w:r>
      <w:r w:rsidR="008D0ADB" w:rsidRPr="00CE6659">
        <w:rPr>
          <w:rFonts w:ascii="Arial" w:hAnsi="Arial" w:cs="Arial"/>
          <w:b/>
          <w:sz w:val="20"/>
          <w:szCs w:val="20"/>
          <w:u w:val="single"/>
        </w:rPr>
        <w:t>Βασικοί Μισθοί</w:t>
      </w:r>
      <w:r w:rsidRPr="00CE6659">
        <w:rPr>
          <w:rFonts w:ascii="Arial" w:hAnsi="Arial" w:cs="Arial"/>
          <w:b/>
          <w:sz w:val="20"/>
          <w:szCs w:val="20"/>
          <w:u w:val="single"/>
        </w:rPr>
        <w:t>»</w:t>
      </w:r>
      <w:r w:rsidR="003F3683">
        <w:rPr>
          <w:rFonts w:ascii="Arial" w:hAnsi="Arial" w:cs="Arial"/>
          <w:b/>
          <w:sz w:val="20"/>
          <w:szCs w:val="20"/>
          <w:u w:val="single"/>
        </w:rPr>
        <w:tab/>
        <w:t>€</w:t>
      </w:r>
      <w:r w:rsidR="00775CC0">
        <w:rPr>
          <w:rFonts w:ascii="Arial" w:hAnsi="Arial" w:cs="Arial"/>
          <w:b/>
          <w:sz w:val="20"/>
          <w:szCs w:val="20"/>
          <w:u w:val="single"/>
        </w:rPr>
        <w:t xml:space="preserve">3.125.686 </w:t>
      </w:r>
      <w:r w:rsidRPr="00CE6659">
        <w:rPr>
          <w:rFonts w:ascii="Arial" w:hAnsi="Arial" w:cs="Arial"/>
          <w:b/>
          <w:sz w:val="20"/>
          <w:szCs w:val="20"/>
          <w:u w:val="single"/>
        </w:rPr>
        <w:t xml:space="preserve"> </w:t>
      </w:r>
    </w:p>
    <w:p w:rsidR="00384310" w:rsidRPr="007642C1" w:rsidRDefault="00384310" w:rsidP="007C709B">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για </w:t>
      </w:r>
      <w:r w:rsidR="008D0ADB" w:rsidRPr="00CE6659">
        <w:rPr>
          <w:rFonts w:ascii="Arial" w:hAnsi="Arial" w:cs="Arial"/>
          <w:sz w:val="20"/>
          <w:szCs w:val="20"/>
        </w:rPr>
        <w:t>τους βασικούς μισθούς</w:t>
      </w:r>
      <w:r w:rsidRPr="00CE6659">
        <w:rPr>
          <w:rFonts w:ascii="Arial" w:hAnsi="Arial" w:cs="Arial"/>
          <w:sz w:val="20"/>
          <w:szCs w:val="20"/>
        </w:rPr>
        <w:t xml:space="preserve"> των υπαλλήλων</w:t>
      </w:r>
      <w:r w:rsidR="00044183">
        <w:rPr>
          <w:rFonts w:ascii="Arial" w:hAnsi="Arial" w:cs="Arial"/>
          <w:sz w:val="20"/>
          <w:szCs w:val="20"/>
        </w:rPr>
        <w:t>. Για το 20</w:t>
      </w:r>
      <w:r w:rsidR="00234DD8">
        <w:rPr>
          <w:rFonts w:ascii="Arial" w:hAnsi="Arial" w:cs="Arial"/>
          <w:sz w:val="20"/>
          <w:szCs w:val="20"/>
        </w:rPr>
        <w:t>2</w:t>
      </w:r>
      <w:r w:rsidR="00775CC0">
        <w:rPr>
          <w:rFonts w:ascii="Arial" w:hAnsi="Arial" w:cs="Arial"/>
          <w:sz w:val="20"/>
          <w:szCs w:val="20"/>
        </w:rPr>
        <w:t>2</w:t>
      </w:r>
      <w:r w:rsidR="00234DD8">
        <w:rPr>
          <w:rFonts w:ascii="Arial" w:hAnsi="Arial" w:cs="Arial"/>
          <w:sz w:val="20"/>
          <w:szCs w:val="20"/>
        </w:rPr>
        <w:t xml:space="preserve"> δεν</w:t>
      </w:r>
      <w:r w:rsidR="008D0ADB" w:rsidRPr="00CE6659">
        <w:rPr>
          <w:rFonts w:ascii="Arial" w:hAnsi="Arial" w:cs="Arial"/>
          <w:sz w:val="20"/>
          <w:szCs w:val="20"/>
        </w:rPr>
        <w:t xml:space="preserve"> έχει γίνει πρόβλεψη για τη </w:t>
      </w:r>
      <w:r w:rsidR="004825B3">
        <w:rPr>
          <w:rFonts w:ascii="Arial" w:hAnsi="Arial" w:cs="Arial"/>
          <w:sz w:val="20"/>
          <w:szCs w:val="20"/>
        </w:rPr>
        <w:t>δημιουργία</w:t>
      </w:r>
      <w:r w:rsidR="008D0ADB" w:rsidRPr="00CE6659">
        <w:rPr>
          <w:rFonts w:ascii="Arial" w:hAnsi="Arial" w:cs="Arial"/>
          <w:sz w:val="20"/>
          <w:szCs w:val="20"/>
        </w:rPr>
        <w:t xml:space="preserve"> νέων θέσεων</w:t>
      </w:r>
      <w:r w:rsidR="00FC11C7">
        <w:rPr>
          <w:rFonts w:ascii="Arial" w:hAnsi="Arial" w:cs="Arial"/>
          <w:sz w:val="20"/>
          <w:szCs w:val="20"/>
        </w:rPr>
        <w:t xml:space="preserve"> καθώς δεν έχουν σταλεί/εξεταστεί οποιοσδήποτε αίτημα του ΟΧΣ για τη δημιουργία νέων θέσεων από το </w:t>
      </w:r>
      <w:r w:rsidR="00FC11C7" w:rsidRPr="00FD5C26">
        <w:rPr>
          <w:rFonts w:ascii="Arial" w:hAnsi="Arial" w:cs="Arial"/>
          <w:sz w:val="20"/>
          <w:szCs w:val="20"/>
        </w:rPr>
        <w:t>Τμήμα Δημόσιας Διοίκησης και Διοίκησης Προσωπικού μέχρι τις 30 Ιουνίου 202</w:t>
      </w:r>
      <w:r w:rsidR="00775CC0">
        <w:rPr>
          <w:rFonts w:ascii="Arial" w:hAnsi="Arial" w:cs="Arial"/>
          <w:sz w:val="20"/>
          <w:szCs w:val="20"/>
        </w:rPr>
        <w:t>1</w:t>
      </w:r>
      <w:r w:rsidR="00FC11C7" w:rsidRPr="00FD5C26">
        <w:rPr>
          <w:rFonts w:ascii="Arial" w:hAnsi="Arial" w:cs="Arial"/>
          <w:sz w:val="20"/>
          <w:szCs w:val="20"/>
        </w:rPr>
        <w:t xml:space="preserve">. </w:t>
      </w:r>
    </w:p>
    <w:p w:rsidR="002D2897" w:rsidRPr="00CE6659" w:rsidRDefault="002D2897" w:rsidP="002D2897">
      <w:pPr>
        <w:jc w:val="both"/>
        <w:rPr>
          <w:rFonts w:ascii="Arial" w:hAnsi="Arial" w:cs="Arial"/>
          <w:b/>
          <w:sz w:val="20"/>
          <w:szCs w:val="20"/>
          <w:u w:val="single"/>
        </w:rPr>
      </w:pPr>
      <w:r>
        <w:rPr>
          <w:rFonts w:ascii="Arial" w:hAnsi="Arial" w:cs="Arial"/>
          <w:b/>
          <w:sz w:val="20"/>
          <w:szCs w:val="20"/>
          <w:u w:val="single"/>
        </w:rPr>
        <w:t>Άρθρο 02203</w:t>
      </w:r>
      <w:r w:rsidRPr="00CE6659">
        <w:rPr>
          <w:rFonts w:ascii="Arial" w:hAnsi="Arial" w:cs="Arial"/>
          <w:b/>
          <w:sz w:val="20"/>
          <w:szCs w:val="20"/>
          <w:u w:val="single"/>
        </w:rPr>
        <w:t xml:space="preserve"> «</w:t>
      </w:r>
      <w:r>
        <w:rPr>
          <w:rFonts w:ascii="Arial" w:hAnsi="Arial" w:cs="Arial"/>
          <w:b/>
          <w:sz w:val="20"/>
          <w:szCs w:val="20"/>
          <w:u w:val="single"/>
        </w:rPr>
        <w:t>Επιδόματα Παραστάσεως</w:t>
      </w:r>
      <w:r w:rsidRPr="00CE6659">
        <w:rPr>
          <w:rFonts w:ascii="Arial" w:hAnsi="Arial" w:cs="Arial"/>
          <w:b/>
          <w:sz w:val="20"/>
          <w:szCs w:val="20"/>
          <w:u w:val="single"/>
        </w:rPr>
        <w:t>»</w:t>
      </w:r>
      <w:r w:rsidRPr="00CE6659">
        <w:rPr>
          <w:rFonts w:ascii="Arial" w:hAnsi="Arial" w:cs="Arial"/>
          <w:b/>
          <w:sz w:val="20"/>
          <w:szCs w:val="20"/>
          <w:u w:val="single"/>
        </w:rPr>
        <w:tab/>
        <w:t>€</w:t>
      </w:r>
      <w:r w:rsidR="007C709B">
        <w:rPr>
          <w:rFonts w:ascii="Arial" w:hAnsi="Arial" w:cs="Arial"/>
          <w:b/>
          <w:sz w:val="20"/>
          <w:szCs w:val="20"/>
          <w:u w:val="single"/>
        </w:rPr>
        <w:t>18.000</w:t>
      </w:r>
      <w:r w:rsidRPr="00CE6659">
        <w:rPr>
          <w:rFonts w:ascii="Arial" w:hAnsi="Arial" w:cs="Arial"/>
          <w:b/>
          <w:sz w:val="20"/>
          <w:szCs w:val="20"/>
        </w:rPr>
        <w:tab/>
      </w:r>
    </w:p>
    <w:p w:rsidR="002D2897" w:rsidRDefault="002D2897" w:rsidP="000915DB">
      <w:pPr>
        <w:jc w:val="both"/>
        <w:rPr>
          <w:rFonts w:ascii="Arial" w:hAnsi="Arial" w:cs="Arial"/>
          <w:sz w:val="20"/>
          <w:szCs w:val="20"/>
        </w:rPr>
      </w:pPr>
      <w:r w:rsidRPr="00CE6659">
        <w:rPr>
          <w:rFonts w:ascii="Arial" w:hAnsi="Arial" w:cs="Arial"/>
          <w:sz w:val="20"/>
          <w:szCs w:val="20"/>
        </w:rPr>
        <w:t>Η προτεινόμενη πρόνοια προορ</w:t>
      </w:r>
      <w:r>
        <w:rPr>
          <w:rFonts w:ascii="Arial" w:hAnsi="Arial" w:cs="Arial"/>
          <w:sz w:val="20"/>
          <w:szCs w:val="20"/>
        </w:rPr>
        <w:t xml:space="preserve">ίζεται να καλύψει τη δαπάνη για μηνιαίο επίδομα παραστάσεως ύψους €1.500 </w:t>
      </w:r>
      <w:r w:rsidR="002A0EB4">
        <w:rPr>
          <w:rFonts w:ascii="Arial" w:hAnsi="Arial" w:cs="Arial"/>
          <w:sz w:val="20"/>
          <w:szCs w:val="20"/>
        </w:rPr>
        <w:t>του Γενικού Διευθυντή</w:t>
      </w:r>
      <w:r>
        <w:rPr>
          <w:rFonts w:ascii="Arial" w:hAnsi="Arial" w:cs="Arial"/>
          <w:sz w:val="20"/>
          <w:szCs w:val="20"/>
        </w:rPr>
        <w:t>, βάση της Συμφωνίας Εργοδ</w:t>
      </w:r>
      <w:r w:rsidR="002A0EB4">
        <w:rPr>
          <w:rFonts w:ascii="Arial" w:hAnsi="Arial" w:cs="Arial"/>
          <w:sz w:val="20"/>
          <w:szCs w:val="20"/>
        </w:rPr>
        <w:t>ότησης</w:t>
      </w:r>
      <w:r>
        <w:rPr>
          <w:rFonts w:ascii="Arial" w:hAnsi="Arial" w:cs="Arial"/>
          <w:sz w:val="20"/>
          <w:szCs w:val="20"/>
        </w:rPr>
        <w:t xml:space="preserve">. </w:t>
      </w:r>
    </w:p>
    <w:p w:rsidR="002A0EB4" w:rsidRPr="00CE6659" w:rsidRDefault="002A0EB4" w:rsidP="002A0EB4">
      <w:pPr>
        <w:jc w:val="both"/>
        <w:rPr>
          <w:rFonts w:ascii="Arial" w:hAnsi="Arial" w:cs="Arial"/>
          <w:b/>
          <w:sz w:val="20"/>
          <w:szCs w:val="20"/>
          <w:u w:val="single"/>
        </w:rPr>
      </w:pPr>
      <w:r>
        <w:rPr>
          <w:rFonts w:ascii="Arial" w:hAnsi="Arial" w:cs="Arial"/>
          <w:b/>
          <w:sz w:val="20"/>
          <w:szCs w:val="20"/>
          <w:u w:val="single"/>
        </w:rPr>
        <w:t>Άρθρο 02208</w:t>
      </w:r>
      <w:r w:rsidRPr="00CE6659">
        <w:rPr>
          <w:rFonts w:ascii="Arial" w:hAnsi="Arial" w:cs="Arial"/>
          <w:b/>
          <w:sz w:val="20"/>
          <w:szCs w:val="20"/>
          <w:u w:val="single"/>
        </w:rPr>
        <w:t xml:space="preserve"> «</w:t>
      </w:r>
      <w:r>
        <w:rPr>
          <w:rFonts w:ascii="Arial" w:hAnsi="Arial" w:cs="Arial"/>
          <w:b/>
          <w:sz w:val="20"/>
          <w:szCs w:val="20"/>
          <w:u w:val="single"/>
        </w:rPr>
        <w:t>Επίδομα Φιλοξενίας, Οδοιπορικών και Τηλεφώνου</w:t>
      </w:r>
      <w:r w:rsidRPr="00CE6659">
        <w:rPr>
          <w:rFonts w:ascii="Arial" w:hAnsi="Arial" w:cs="Arial"/>
          <w:b/>
          <w:sz w:val="20"/>
          <w:szCs w:val="20"/>
          <w:u w:val="single"/>
        </w:rPr>
        <w:t>»</w:t>
      </w:r>
      <w:r w:rsidRPr="00CE6659">
        <w:rPr>
          <w:rFonts w:ascii="Arial" w:hAnsi="Arial" w:cs="Arial"/>
          <w:b/>
          <w:sz w:val="20"/>
          <w:szCs w:val="20"/>
          <w:u w:val="single"/>
        </w:rPr>
        <w:tab/>
        <w:t>€</w:t>
      </w:r>
      <w:r>
        <w:rPr>
          <w:rFonts w:ascii="Arial" w:hAnsi="Arial" w:cs="Arial"/>
          <w:b/>
          <w:sz w:val="20"/>
          <w:szCs w:val="20"/>
          <w:u w:val="single"/>
        </w:rPr>
        <w:t>10.251</w:t>
      </w:r>
      <w:r w:rsidRPr="00CE6659">
        <w:rPr>
          <w:rFonts w:ascii="Arial" w:hAnsi="Arial" w:cs="Arial"/>
          <w:b/>
          <w:sz w:val="20"/>
          <w:szCs w:val="20"/>
        </w:rPr>
        <w:tab/>
      </w:r>
    </w:p>
    <w:p w:rsidR="002A0EB4" w:rsidRPr="002D2897" w:rsidRDefault="002A0EB4" w:rsidP="002A0EB4">
      <w:pPr>
        <w:jc w:val="both"/>
        <w:rPr>
          <w:rFonts w:ascii="Arial" w:hAnsi="Arial" w:cs="Arial"/>
          <w:sz w:val="20"/>
          <w:szCs w:val="20"/>
        </w:rPr>
      </w:pPr>
      <w:r w:rsidRPr="00CE6659">
        <w:rPr>
          <w:rFonts w:ascii="Arial" w:hAnsi="Arial" w:cs="Arial"/>
          <w:sz w:val="20"/>
          <w:szCs w:val="20"/>
        </w:rPr>
        <w:t>Η προτεινόμενη πρόνοια προορ</w:t>
      </w:r>
      <w:r>
        <w:rPr>
          <w:rFonts w:ascii="Arial" w:hAnsi="Arial" w:cs="Arial"/>
          <w:sz w:val="20"/>
          <w:szCs w:val="20"/>
        </w:rPr>
        <w:t xml:space="preserve">ίζεται να καλύψει τη δαπάνη για κατ’ αποκοπήν επιδόματα φιλοξενίας, οδοιπορικών και τηλεφώνου ύψους €3.417 το χρόνο για τους κατόχους των θέσεων Διευθυντή Κλίμακα 7. </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02291 «Σχέδιο Ιατροφαρμακευτικής Περίθαλψης»</w:t>
      </w:r>
      <w:r w:rsidR="005C0728" w:rsidRPr="00CE6659">
        <w:rPr>
          <w:rFonts w:ascii="Arial" w:hAnsi="Arial" w:cs="Arial"/>
          <w:b/>
          <w:sz w:val="20"/>
          <w:szCs w:val="20"/>
          <w:u w:val="single"/>
        </w:rPr>
        <w:tab/>
        <w:t>€</w:t>
      </w:r>
      <w:r w:rsidR="004673E6">
        <w:rPr>
          <w:rFonts w:ascii="Arial" w:hAnsi="Arial" w:cs="Arial"/>
          <w:b/>
          <w:sz w:val="20"/>
          <w:szCs w:val="20"/>
          <w:u w:val="single"/>
        </w:rPr>
        <w:t>19</w:t>
      </w:r>
      <w:r w:rsidR="007E2082">
        <w:rPr>
          <w:rFonts w:ascii="Arial" w:hAnsi="Arial" w:cs="Arial"/>
          <w:b/>
          <w:sz w:val="20"/>
          <w:szCs w:val="20"/>
          <w:u w:val="single"/>
        </w:rPr>
        <w:t>2.181</w:t>
      </w:r>
      <w:r w:rsidRPr="00CE6659">
        <w:rPr>
          <w:rFonts w:ascii="Arial" w:hAnsi="Arial" w:cs="Arial"/>
          <w:b/>
          <w:sz w:val="20"/>
          <w:szCs w:val="20"/>
        </w:rPr>
        <w:tab/>
      </w:r>
    </w:p>
    <w:p w:rsidR="008B2A39" w:rsidRDefault="00384310" w:rsidP="000915DB">
      <w:pPr>
        <w:jc w:val="both"/>
        <w:rPr>
          <w:rFonts w:ascii="Arial" w:hAnsi="Arial" w:cs="Arial"/>
          <w:sz w:val="20"/>
          <w:szCs w:val="20"/>
        </w:rPr>
      </w:pPr>
      <w:r w:rsidRPr="00CE6659">
        <w:rPr>
          <w:rFonts w:ascii="Arial" w:hAnsi="Arial" w:cs="Arial"/>
          <w:sz w:val="20"/>
          <w:szCs w:val="20"/>
        </w:rPr>
        <w:t xml:space="preserve">Σύμφωνα με τους Κανονισμούς Προσωπικού, ο Οργανισμός έχει υποχρέωση να παρέχει ιατροφαρμακευτική κάλυψη του προσωπικού και των εξαρτωμένων τους (συζύγου και τέκνων) κατ’ αναλογία των όσων ισχύουν για τους υπαλλήλους της Δημόσιας Υπηρεσίας. </w:t>
      </w:r>
      <w:r w:rsidR="00D93B0A">
        <w:rPr>
          <w:rFonts w:ascii="Arial" w:hAnsi="Arial" w:cs="Arial"/>
          <w:sz w:val="20"/>
          <w:szCs w:val="20"/>
        </w:rPr>
        <w:t xml:space="preserve">Σε συνέχεια αναθεωρημένης απόφασης από το Υπουργικό Συμβούλιο ημερομηνίας 15/11/2019 όπου και κοινοποιήθηκε στον Οργανισμό </w:t>
      </w:r>
      <w:r w:rsidR="008B2A39">
        <w:rPr>
          <w:rFonts w:ascii="Arial" w:hAnsi="Arial" w:cs="Arial"/>
          <w:sz w:val="20"/>
          <w:szCs w:val="20"/>
        </w:rPr>
        <w:t xml:space="preserve">με εγκύκλιο του Υπουργείου Οικονομικών ημερομηνίας 19/11/2019 παρέχεται η δυνατότητα με την πλήρη εφαρμογή του ΓΕΣΥ να διατηρηθεί Σχέδιο Ιατροφαρμακευτικής Περίθαλψης ως συμπληρωματικό Σχέδιο. </w:t>
      </w:r>
      <w:r w:rsidR="00D93B0A">
        <w:rPr>
          <w:rFonts w:ascii="Arial" w:hAnsi="Arial" w:cs="Arial"/>
          <w:sz w:val="20"/>
          <w:szCs w:val="20"/>
        </w:rPr>
        <w:t xml:space="preserve"> </w:t>
      </w:r>
    </w:p>
    <w:p w:rsidR="00384310" w:rsidRPr="00CE6659" w:rsidRDefault="00D93B0A" w:rsidP="000915DB">
      <w:pPr>
        <w:jc w:val="both"/>
        <w:rPr>
          <w:rFonts w:ascii="Arial" w:hAnsi="Arial" w:cs="Arial"/>
          <w:sz w:val="20"/>
          <w:szCs w:val="20"/>
        </w:rPr>
      </w:pPr>
      <w:r w:rsidRPr="00B603E5">
        <w:rPr>
          <w:rFonts w:ascii="Arial" w:hAnsi="Arial" w:cs="Arial"/>
          <w:sz w:val="20"/>
          <w:szCs w:val="20"/>
        </w:rPr>
        <w:t xml:space="preserve">Ο Οργανισμός με την εφαρμογή του ΓΕΣΥ προχώρησε σε συνεργασία με το </w:t>
      </w:r>
      <w:r w:rsidRPr="008B2A39">
        <w:rPr>
          <w:rFonts w:ascii="Arial" w:hAnsi="Arial" w:cs="Arial"/>
          <w:sz w:val="20"/>
          <w:szCs w:val="20"/>
        </w:rPr>
        <w:t xml:space="preserve">Ταμείο Υγείας της ΕΤΥΚ </w:t>
      </w:r>
      <w:r w:rsidRPr="00B603E5">
        <w:rPr>
          <w:rFonts w:ascii="Arial" w:hAnsi="Arial" w:cs="Arial"/>
          <w:sz w:val="20"/>
          <w:szCs w:val="20"/>
        </w:rPr>
        <w:t xml:space="preserve"> για συμπληρωματική ασφάλεια υγείας για καλύψεις που δεν συμπεριλαμβάνονται στο ΓΕΣΥ.</w:t>
      </w:r>
      <w:r w:rsidR="008B2A39" w:rsidRPr="00B603E5">
        <w:rPr>
          <w:rFonts w:ascii="Arial" w:hAnsi="Arial" w:cs="Arial"/>
          <w:sz w:val="20"/>
          <w:szCs w:val="20"/>
        </w:rPr>
        <w:t xml:space="preserve"> </w:t>
      </w:r>
      <w:r w:rsidR="008B2A39" w:rsidRPr="00117A64">
        <w:rPr>
          <w:rFonts w:ascii="Arial" w:hAnsi="Arial" w:cs="Arial"/>
          <w:sz w:val="20"/>
          <w:szCs w:val="20"/>
        </w:rPr>
        <w:t xml:space="preserve">Η πιο πάνω συνεργασία </w:t>
      </w:r>
      <w:r w:rsidR="0037655D" w:rsidRPr="00880E70">
        <w:rPr>
          <w:rFonts w:ascii="Arial" w:hAnsi="Arial" w:cs="Arial"/>
          <w:sz w:val="20"/>
          <w:szCs w:val="20"/>
        </w:rPr>
        <w:t xml:space="preserve">είναι σε ισχύ και συμπεριλαμβάνεται στα θέματα που θα πρέπει να συμφωνηθούν μαζί με την ΕΤΥΚ στα πλαίσια της ανανέωσης της συλλογικής σύμβασης. </w:t>
      </w:r>
    </w:p>
    <w:p w:rsidR="004B10EB" w:rsidRDefault="004B10EB" w:rsidP="007642C1">
      <w:pPr>
        <w:jc w:val="both"/>
        <w:rPr>
          <w:rFonts w:ascii="Arial" w:hAnsi="Arial" w:cs="Arial"/>
          <w:b/>
          <w:sz w:val="20"/>
          <w:szCs w:val="20"/>
          <w:u w:val="single"/>
        </w:rPr>
      </w:pPr>
      <w:r>
        <w:rPr>
          <w:rFonts w:ascii="Arial" w:hAnsi="Arial" w:cs="Arial"/>
          <w:b/>
          <w:sz w:val="20"/>
          <w:szCs w:val="20"/>
          <w:u w:val="single"/>
        </w:rPr>
        <w:t>Άρθρο 02292</w:t>
      </w:r>
      <w:r w:rsidRPr="00CE6659">
        <w:rPr>
          <w:rFonts w:ascii="Arial" w:hAnsi="Arial" w:cs="Arial"/>
          <w:b/>
          <w:sz w:val="20"/>
          <w:szCs w:val="20"/>
          <w:u w:val="single"/>
        </w:rPr>
        <w:t xml:space="preserve"> «</w:t>
      </w:r>
      <w:r>
        <w:rPr>
          <w:rFonts w:ascii="Arial" w:hAnsi="Arial" w:cs="Arial"/>
          <w:b/>
          <w:sz w:val="20"/>
          <w:szCs w:val="20"/>
          <w:u w:val="single"/>
        </w:rPr>
        <w:t>Συνεισφορά στο Γενικό Σχέδιο Υγείας</w:t>
      </w:r>
      <w:r w:rsidRPr="00CE6659">
        <w:rPr>
          <w:rFonts w:ascii="Arial" w:hAnsi="Arial" w:cs="Arial"/>
          <w:b/>
          <w:sz w:val="20"/>
          <w:szCs w:val="20"/>
          <w:u w:val="single"/>
        </w:rPr>
        <w:t>»</w:t>
      </w:r>
      <w:r w:rsidRPr="00CE6659">
        <w:rPr>
          <w:rFonts w:ascii="Arial" w:hAnsi="Arial" w:cs="Arial"/>
          <w:b/>
          <w:sz w:val="20"/>
          <w:szCs w:val="20"/>
          <w:u w:val="single"/>
        </w:rPr>
        <w:tab/>
        <w:t>€</w:t>
      </w:r>
      <w:r>
        <w:rPr>
          <w:rFonts w:ascii="Arial" w:hAnsi="Arial" w:cs="Arial"/>
          <w:b/>
          <w:sz w:val="20"/>
          <w:szCs w:val="20"/>
          <w:u w:val="single"/>
        </w:rPr>
        <w:t>9</w:t>
      </w:r>
      <w:r w:rsidR="007E2082">
        <w:rPr>
          <w:rFonts w:ascii="Arial" w:hAnsi="Arial" w:cs="Arial"/>
          <w:b/>
          <w:sz w:val="20"/>
          <w:szCs w:val="20"/>
          <w:u w:val="single"/>
        </w:rPr>
        <w:t>9.804</w:t>
      </w:r>
    </w:p>
    <w:p w:rsidR="004B10EB" w:rsidRPr="00FD5C26" w:rsidRDefault="004B10EB" w:rsidP="004B10EB">
      <w:pPr>
        <w:jc w:val="both"/>
        <w:rPr>
          <w:rFonts w:ascii="Arial" w:hAnsi="Arial" w:cs="Arial"/>
          <w:sz w:val="20"/>
          <w:szCs w:val="20"/>
        </w:rPr>
      </w:pPr>
      <w:r w:rsidRPr="004B10EB">
        <w:rPr>
          <w:rFonts w:ascii="Arial" w:hAnsi="Arial" w:cs="Arial"/>
          <w:sz w:val="20"/>
          <w:szCs w:val="20"/>
        </w:rPr>
        <w:t xml:space="preserve">Η προτεινόμενη πρόνοια προορίζεται να καλύψει τη δαπάνη </w:t>
      </w:r>
      <w:r>
        <w:rPr>
          <w:rFonts w:ascii="Arial" w:hAnsi="Arial" w:cs="Arial"/>
          <w:sz w:val="20"/>
          <w:szCs w:val="20"/>
        </w:rPr>
        <w:t>για το Γενικό Σύστημα</w:t>
      </w:r>
      <w:r w:rsidRPr="007642C1">
        <w:rPr>
          <w:rFonts w:ascii="Arial" w:hAnsi="Arial" w:cs="Arial"/>
          <w:sz w:val="20"/>
          <w:szCs w:val="20"/>
        </w:rPr>
        <w:t xml:space="preserve"> Υγείας (ΓΕΣΥ) το οποίο ανέρχεται σε ποσοστό 2,90% επί των ολικών αποδοχών του κάθε μισθωτού σύμφωνα με τις Οδηγίες τ</w:t>
      </w:r>
      <w:r w:rsidR="007E2082">
        <w:rPr>
          <w:rFonts w:ascii="Arial" w:hAnsi="Arial" w:cs="Arial"/>
          <w:sz w:val="20"/>
          <w:szCs w:val="20"/>
        </w:rPr>
        <w:t>η</w:t>
      </w:r>
      <w:r w:rsidRPr="007642C1">
        <w:rPr>
          <w:rFonts w:ascii="Arial" w:hAnsi="Arial" w:cs="Arial"/>
          <w:sz w:val="20"/>
          <w:szCs w:val="20"/>
        </w:rPr>
        <w:t xml:space="preserve">ς Εγκυκλίου του Υπουργείου Οικονομικών. </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lastRenderedPageBreak/>
        <w:t>Άρθρο 02521 «Σχέδιο σύνταξης»</w:t>
      </w:r>
      <w:r w:rsidR="005C0728" w:rsidRPr="00CE6659">
        <w:rPr>
          <w:rFonts w:ascii="Arial" w:hAnsi="Arial" w:cs="Arial"/>
          <w:b/>
          <w:sz w:val="20"/>
          <w:szCs w:val="20"/>
          <w:u w:val="single"/>
        </w:rPr>
        <w:tab/>
        <w:t>€</w:t>
      </w:r>
      <w:r w:rsidR="007E2082">
        <w:rPr>
          <w:rFonts w:ascii="Arial" w:hAnsi="Arial" w:cs="Arial"/>
          <w:b/>
          <w:sz w:val="20"/>
          <w:szCs w:val="20"/>
          <w:u w:val="single"/>
        </w:rPr>
        <w:t>4</w:t>
      </w:r>
      <w:r w:rsidR="008B6F84">
        <w:rPr>
          <w:rFonts w:ascii="Arial" w:hAnsi="Arial" w:cs="Arial"/>
          <w:b/>
          <w:sz w:val="20"/>
          <w:szCs w:val="20"/>
          <w:u w:val="single"/>
        </w:rPr>
        <w:t>50.000</w:t>
      </w:r>
      <w:r w:rsidRPr="00CE6659">
        <w:rPr>
          <w:rFonts w:ascii="Arial" w:hAnsi="Arial" w:cs="Arial"/>
          <w:b/>
          <w:sz w:val="20"/>
          <w:szCs w:val="20"/>
          <w:u w:val="single"/>
        </w:rPr>
        <w:t xml:space="preserve"> </w:t>
      </w:r>
    </w:p>
    <w:p w:rsidR="00384310" w:rsidRPr="00CE6659" w:rsidRDefault="00384310" w:rsidP="00134328">
      <w:pPr>
        <w:jc w:val="both"/>
        <w:rPr>
          <w:rFonts w:ascii="Arial" w:hAnsi="Arial" w:cs="Arial"/>
          <w:sz w:val="20"/>
          <w:szCs w:val="20"/>
        </w:rPr>
      </w:pPr>
      <w:r w:rsidRPr="00CE6659">
        <w:rPr>
          <w:rFonts w:ascii="Arial" w:hAnsi="Arial" w:cs="Arial"/>
          <w:sz w:val="20"/>
          <w:szCs w:val="20"/>
        </w:rPr>
        <w:t>Η προτεινόμενη πρόνοια προορίζεται να καλύψει τη δαπάνη  για το σχέδιο αφυπηρέτησης καθορισμένων ωφελημάτων και καθορίζεται μετά την εκπόνηση Αναλογιστικής Μελέτης</w:t>
      </w:r>
      <w:r w:rsidR="004B10EB">
        <w:rPr>
          <w:rFonts w:ascii="Arial" w:hAnsi="Arial" w:cs="Arial"/>
          <w:sz w:val="20"/>
          <w:szCs w:val="20"/>
        </w:rPr>
        <w:t xml:space="preserve"> σε ετήσια βάση</w:t>
      </w:r>
      <w:r w:rsidRPr="00CE6659">
        <w:rPr>
          <w:rFonts w:ascii="Arial" w:hAnsi="Arial" w:cs="Arial"/>
          <w:sz w:val="20"/>
          <w:szCs w:val="20"/>
        </w:rPr>
        <w:t>.</w:t>
      </w:r>
      <w:r w:rsidR="005C0728" w:rsidRPr="00CE6659">
        <w:rPr>
          <w:rFonts w:ascii="Arial" w:hAnsi="Arial" w:cs="Arial"/>
          <w:sz w:val="20"/>
          <w:szCs w:val="20"/>
        </w:rPr>
        <w:t xml:space="preserve"> Η τελευταία α</w:t>
      </w:r>
      <w:r w:rsidR="008B6F84">
        <w:rPr>
          <w:rFonts w:ascii="Arial" w:hAnsi="Arial" w:cs="Arial"/>
          <w:sz w:val="20"/>
          <w:szCs w:val="20"/>
        </w:rPr>
        <w:t xml:space="preserve">ναλογιστική μελέτη έγινε </w:t>
      </w:r>
      <w:r w:rsidR="004B10EB">
        <w:rPr>
          <w:rFonts w:ascii="Arial" w:hAnsi="Arial" w:cs="Arial"/>
          <w:sz w:val="20"/>
          <w:szCs w:val="20"/>
        </w:rPr>
        <w:t xml:space="preserve">με έτος βάσης </w:t>
      </w:r>
      <w:r w:rsidR="008B6F84">
        <w:rPr>
          <w:rFonts w:ascii="Arial" w:hAnsi="Arial" w:cs="Arial"/>
          <w:sz w:val="20"/>
          <w:szCs w:val="20"/>
        </w:rPr>
        <w:t>το 20</w:t>
      </w:r>
      <w:r w:rsidR="007E2082">
        <w:rPr>
          <w:rFonts w:ascii="Arial" w:hAnsi="Arial" w:cs="Arial"/>
          <w:sz w:val="20"/>
          <w:szCs w:val="20"/>
        </w:rPr>
        <w:t>20</w:t>
      </w:r>
      <w:r w:rsidR="004B10EB">
        <w:rPr>
          <w:rFonts w:ascii="Arial" w:hAnsi="Arial" w:cs="Arial"/>
          <w:sz w:val="20"/>
          <w:szCs w:val="20"/>
        </w:rPr>
        <w:t>.</w:t>
      </w:r>
      <w:r w:rsidR="00134328">
        <w:rPr>
          <w:rFonts w:ascii="Arial" w:hAnsi="Arial" w:cs="Arial"/>
          <w:sz w:val="20"/>
          <w:szCs w:val="20"/>
        </w:rPr>
        <w:t xml:space="preserve"> Με βάση της αναλογιστική μελέτη αναγνωρίστηκε χρέωση </w:t>
      </w:r>
      <w:r w:rsidR="00134328" w:rsidRPr="00134328">
        <w:rPr>
          <w:rFonts w:ascii="Arial" w:hAnsi="Arial" w:cs="Arial"/>
          <w:sz w:val="20"/>
          <w:szCs w:val="20"/>
        </w:rPr>
        <w:t xml:space="preserve">στο Λογαριασμό Εσόδων σύμφωνα με </w:t>
      </w:r>
      <w:r w:rsidR="00134328">
        <w:rPr>
          <w:rFonts w:ascii="Arial" w:hAnsi="Arial" w:cs="Arial"/>
          <w:sz w:val="20"/>
          <w:szCs w:val="20"/>
        </w:rPr>
        <w:t xml:space="preserve">τις πρόνοιες του Διεθνές Λογιστικού Προτύπου 19 (ΔΛΠ19) και ανέρχεται σε €296 χιλ. και αποτελείται από το κόστος τρέχουσας υπηρεσίας και από το κόστος από τόκους και </w:t>
      </w:r>
      <w:r w:rsidR="00134328" w:rsidRPr="00134328">
        <w:rPr>
          <w:rFonts w:ascii="Arial" w:hAnsi="Arial" w:cs="Arial"/>
          <w:sz w:val="20"/>
          <w:szCs w:val="20"/>
        </w:rPr>
        <w:t xml:space="preserve">το κόστος </w:t>
      </w:r>
      <w:r w:rsidR="00134328">
        <w:rPr>
          <w:rFonts w:ascii="Arial" w:hAnsi="Arial" w:cs="Arial"/>
          <w:sz w:val="20"/>
          <w:szCs w:val="20"/>
        </w:rPr>
        <w:t xml:space="preserve">αυτό </w:t>
      </w:r>
      <w:r w:rsidR="00134328" w:rsidRPr="00134328">
        <w:rPr>
          <w:rFonts w:ascii="Arial" w:hAnsi="Arial" w:cs="Arial"/>
          <w:sz w:val="20"/>
          <w:szCs w:val="20"/>
        </w:rPr>
        <w:t>αντιπροσωπεύει την παρούσα αξία της υποχρ</w:t>
      </w:r>
      <w:r w:rsidR="00134328">
        <w:rPr>
          <w:rFonts w:ascii="Arial" w:hAnsi="Arial" w:cs="Arial"/>
          <w:sz w:val="20"/>
          <w:szCs w:val="20"/>
        </w:rPr>
        <w:t xml:space="preserve">έωσης η οποία προκύπτει από ένα </w:t>
      </w:r>
      <w:r w:rsidR="00134328" w:rsidRPr="00134328">
        <w:rPr>
          <w:rFonts w:ascii="Arial" w:hAnsi="Arial" w:cs="Arial"/>
          <w:sz w:val="20"/>
          <w:szCs w:val="20"/>
        </w:rPr>
        <w:t>επ</w:t>
      </w:r>
      <w:r w:rsidR="00134328">
        <w:rPr>
          <w:rFonts w:ascii="Arial" w:hAnsi="Arial" w:cs="Arial"/>
          <w:sz w:val="20"/>
          <w:szCs w:val="20"/>
        </w:rPr>
        <w:t xml:space="preserve">ιπλέον έτος υπηρεσίας των μελών. </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03021 «Ταχυδρομικά τέλη»</w:t>
      </w:r>
      <w:r w:rsidR="005C0728" w:rsidRPr="00CE6659">
        <w:rPr>
          <w:rFonts w:ascii="Arial" w:hAnsi="Arial" w:cs="Arial"/>
          <w:b/>
          <w:sz w:val="20"/>
          <w:szCs w:val="20"/>
          <w:u w:val="single"/>
        </w:rPr>
        <w:tab/>
        <w:t>€</w:t>
      </w:r>
      <w:r w:rsidR="000E2216">
        <w:rPr>
          <w:rFonts w:ascii="Arial" w:hAnsi="Arial" w:cs="Arial"/>
          <w:b/>
          <w:sz w:val="20"/>
          <w:szCs w:val="20"/>
          <w:u w:val="single"/>
        </w:rPr>
        <w:t>120.000</w:t>
      </w:r>
      <w:r w:rsidRPr="00CE6659">
        <w:rPr>
          <w:rFonts w:ascii="Arial" w:hAnsi="Arial" w:cs="Arial"/>
          <w:b/>
          <w:sz w:val="20"/>
          <w:szCs w:val="20"/>
          <w:u w:val="single"/>
        </w:rPr>
        <w:t xml:space="preserve"> </w:t>
      </w:r>
    </w:p>
    <w:p w:rsidR="00384310" w:rsidRPr="00CE6659" w:rsidRDefault="00384310" w:rsidP="000915DB">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για τα ταχυδρομικά τέλη που αφορούν επιστολές προς τους πελάτες καθώς και ενημερωτικά φυλλάδια που αποστέλλονται προς τους πελάτες. </w:t>
      </w:r>
      <w:r w:rsidR="008B6F84">
        <w:rPr>
          <w:rFonts w:ascii="Arial" w:hAnsi="Arial" w:cs="Arial"/>
          <w:sz w:val="20"/>
          <w:szCs w:val="20"/>
        </w:rPr>
        <w:t>Σημειώνεται ότι το ποσό είναι ψηλό λόγω των αυξανόμενων αναγκών</w:t>
      </w:r>
      <w:r w:rsidR="000E2216">
        <w:rPr>
          <w:rFonts w:ascii="Arial" w:hAnsi="Arial" w:cs="Arial"/>
          <w:sz w:val="20"/>
          <w:szCs w:val="20"/>
        </w:rPr>
        <w:t xml:space="preserve"> για </w:t>
      </w:r>
      <w:r w:rsidR="00B35404">
        <w:rPr>
          <w:rFonts w:ascii="Arial" w:hAnsi="Arial" w:cs="Arial"/>
          <w:sz w:val="20"/>
          <w:szCs w:val="20"/>
        </w:rPr>
        <w:t xml:space="preserve">πληροφόρηση των πελατών. </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03025 «Ενοίκια»</w:t>
      </w:r>
      <w:r w:rsidR="005C0728" w:rsidRPr="00CE6659">
        <w:rPr>
          <w:rFonts w:ascii="Arial" w:hAnsi="Arial" w:cs="Arial"/>
          <w:b/>
          <w:sz w:val="20"/>
          <w:szCs w:val="20"/>
          <w:u w:val="single"/>
        </w:rPr>
        <w:tab/>
        <w:t>€</w:t>
      </w:r>
      <w:r w:rsidR="008B6F84">
        <w:rPr>
          <w:rFonts w:ascii="Arial" w:hAnsi="Arial" w:cs="Arial"/>
          <w:b/>
          <w:sz w:val="20"/>
          <w:szCs w:val="20"/>
          <w:u w:val="single"/>
        </w:rPr>
        <w:t>1</w:t>
      </w:r>
      <w:r w:rsidR="007E2082">
        <w:rPr>
          <w:rFonts w:ascii="Arial" w:hAnsi="Arial" w:cs="Arial"/>
          <w:b/>
          <w:sz w:val="20"/>
          <w:szCs w:val="20"/>
          <w:u w:val="single"/>
        </w:rPr>
        <w:t>71</w:t>
      </w:r>
      <w:r w:rsidR="004237B9">
        <w:rPr>
          <w:rFonts w:ascii="Arial" w:hAnsi="Arial" w:cs="Arial"/>
          <w:b/>
          <w:sz w:val="20"/>
          <w:szCs w:val="20"/>
          <w:u w:val="single"/>
        </w:rPr>
        <w:t>.700</w:t>
      </w:r>
    </w:p>
    <w:p w:rsidR="00384310" w:rsidRDefault="00384310" w:rsidP="000915DB">
      <w:pPr>
        <w:jc w:val="both"/>
        <w:rPr>
          <w:rFonts w:ascii="Arial" w:hAnsi="Arial" w:cs="Arial"/>
          <w:sz w:val="20"/>
          <w:szCs w:val="20"/>
        </w:rPr>
      </w:pPr>
      <w:r w:rsidRPr="00CE6659">
        <w:rPr>
          <w:rFonts w:ascii="Arial" w:hAnsi="Arial" w:cs="Arial"/>
          <w:sz w:val="20"/>
          <w:szCs w:val="20"/>
        </w:rPr>
        <w:t>Η προτεινόμενη πρόνοια προορίζεται να καλύψει τη δαπάνη για τα ενοίκια των καταστημάτων του Οργανισμού που βρίσκονται στο Παραλίμνι, στη Λάρνακα, στη Λεμεσό και στην Πάφο καθώς και το κόστος ενοικίασης  χώρου στάθμευσης στα Κεντρικά Γραφεία στη Λευκωσία</w:t>
      </w:r>
      <w:r w:rsidRPr="008F41DF">
        <w:rPr>
          <w:rFonts w:ascii="Arial" w:hAnsi="Arial" w:cs="Arial"/>
          <w:sz w:val="20"/>
          <w:szCs w:val="20"/>
        </w:rPr>
        <w:t xml:space="preserve">. </w:t>
      </w:r>
      <w:r w:rsidR="004237B9" w:rsidRPr="008F41DF">
        <w:rPr>
          <w:rFonts w:ascii="Arial" w:hAnsi="Arial" w:cs="Arial"/>
          <w:sz w:val="20"/>
          <w:szCs w:val="20"/>
        </w:rPr>
        <w:t>Επίσης για το έτος 2022 περιλήφθηκε πρόνοια για δωδεκάμηνη</w:t>
      </w:r>
      <w:r w:rsidR="00893AB7">
        <w:rPr>
          <w:rFonts w:ascii="Arial" w:hAnsi="Arial" w:cs="Arial"/>
          <w:sz w:val="20"/>
          <w:szCs w:val="20"/>
        </w:rPr>
        <w:t xml:space="preserve"> ενοικίαση χώρου</w:t>
      </w:r>
      <w:r w:rsidR="004237B9" w:rsidRPr="008F41DF">
        <w:rPr>
          <w:rFonts w:ascii="Arial" w:hAnsi="Arial" w:cs="Arial"/>
          <w:sz w:val="20"/>
          <w:szCs w:val="20"/>
        </w:rPr>
        <w:t>, για τις δοκιμές στο υπό ανάπτυξη τραπεζικό σύστημα.</w:t>
      </w:r>
      <w:r w:rsidR="004237B9">
        <w:rPr>
          <w:rFonts w:ascii="Arial" w:hAnsi="Arial" w:cs="Arial"/>
          <w:sz w:val="20"/>
          <w:szCs w:val="20"/>
        </w:rPr>
        <w:t xml:space="preserve"> </w:t>
      </w:r>
    </w:p>
    <w:p w:rsidR="00384310" w:rsidRPr="003F3683" w:rsidRDefault="00384310" w:rsidP="000915DB">
      <w:pPr>
        <w:jc w:val="both"/>
        <w:rPr>
          <w:rFonts w:ascii="Arial" w:hAnsi="Arial" w:cs="Arial"/>
          <w:b/>
          <w:sz w:val="20"/>
          <w:szCs w:val="20"/>
          <w:u w:val="single"/>
        </w:rPr>
      </w:pPr>
      <w:r w:rsidRPr="00CE6659">
        <w:rPr>
          <w:rFonts w:ascii="Arial" w:hAnsi="Arial" w:cs="Arial"/>
          <w:b/>
          <w:sz w:val="20"/>
          <w:szCs w:val="20"/>
          <w:u w:val="single"/>
        </w:rPr>
        <w:t>Άρθρο 03029 «Διαφημίσεις, Δημοσιεύσεις και Δημοσιότητα»</w:t>
      </w:r>
      <w:r w:rsidR="005C0728" w:rsidRPr="00CE6659">
        <w:rPr>
          <w:rFonts w:ascii="Arial" w:hAnsi="Arial" w:cs="Arial"/>
          <w:b/>
          <w:sz w:val="20"/>
          <w:szCs w:val="20"/>
          <w:u w:val="single"/>
        </w:rPr>
        <w:tab/>
      </w:r>
      <w:r w:rsidR="005C0728" w:rsidRPr="00CE6659">
        <w:rPr>
          <w:rFonts w:ascii="Arial" w:hAnsi="Arial" w:cs="Arial"/>
          <w:b/>
          <w:sz w:val="20"/>
          <w:szCs w:val="20"/>
          <w:u w:val="single"/>
        </w:rPr>
        <w:tab/>
        <w:t>€</w:t>
      </w:r>
      <w:r w:rsidR="004673E6">
        <w:rPr>
          <w:rFonts w:ascii="Arial" w:hAnsi="Arial" w:cs="Arial"/>
          <w:b/>
          <w:sz w:val="20"/>
          <w:szCs w:val="20"/>
          <w:u w:val="single"/>
        </w:rPr>
        <w:t>250</w:t>
      </w:r>
      <w:r w:rsidR="003F3683" w:rsidRPr="003F3683">
        <w:rPr>
          <w:rFonts w:ascii="Arial" w:hAnsi="Arial" w:cs="Arial"/>
          <w:b/>
          <w:sz w:val="20"/>
          <w:szCs w:val="20"/>
          <w:u w:val="single"/>
        </w:rPr>
        <w:t>.000</w:t>
      </w:r>
    </w:p>
    <w:p w:rsidR="00384310" w:rsidRDefault="00384310" w:rsidP="004B10EB">
      <w:pPr>
        <w:jc w:val="both"/>
        <w:rPr>
          <w:rFonts w:ascii="Arial" w:hAnsi="Arial" w:cs="Arial"/>
          <w:sz w:val="20"/>
          <w:szCs w:val="20"/>
        </w:rPr>
      </w:pPr>
      <w:r w:rsidRPr="00CE6659">
        <w:rPr>
          <w:rFonts w:ascii="Arial" w:hAnsi="Arial" w:cs="Arial"/>
          <w:sz w:val="20"/>
          <w:szCs w:val="20"/>
        </w:rPr>
        <w:t>Η προτεινόμενη πρόνοια προορίζεται να καλύψει τη δαπάνη για την προώθηση των υφιστάμενων προϊόντων καθώς και των νέων προϊόντων που προγραμματίζει να προσφέρει ο Οργανισμός</w:t>
      </w:r>
      <w:r w:rsidRPr="008B6F84">
        <w:rPr>
          <w:rFonts w:ascii="Arial" w:hAnsi="Arial" w:cs="Arial"/>
          <w:sz w:val="20"/>
          <w:szCs w:val="20"/>
        </w:rPr>
        <w:t>.</w:t>
      </w:r>
      <w:r w:rsidR="008D0ADB" w:rsidRPr="008B6F84">
        <w:rPr>
          <w:rFonts w:ascii="Arial" w:hAnsi="Arial" w:cs="Arial"/>
          <w:sz w:val="20"/>
          <w:szCs w:val="20"/>
        </w:rPr>
        <w:t xml:space="preserve"> </w:t>
      </w:r>
      <w:r w:rsidR="008B6F84" w:rsidRPr="008F41DF">
        <w:rPr>
          <w:rFonts w:ascii="Arial" w:hAnsi="Arial" w:cs="Arial"/>
          <w:sz w:val="20"/>
          <w:szCs w:val="20"/>
        </w:rPr>
        <w:t xml:space="preserve">Η πρόνοια βασίζεται </w:t>
      </w:r>
      <w:r w:rsidR="004673E6" w:rsidRPr="008F41DF">
        <w:rPr>
          <w:rFonts w:ascii="Arial" w:hAnsi="Arial" w:cs="Arial"/>
          <w:sz w:val="20"/>
          <w:szCs w:val="20"/>
        </w:rPr>
        <w:t xml:space="preserve">στην παραδοχή νέας συμφωνίας για προώθηση του ΟΧΣ καθώς η </w:t>
      </w:r>
      <w:r w:rsidR="008F41DF" w:rsidRPr="00880E70">
        <w:rPr>
          <w:rFonts w:ascii="Arial" w:hAnsi="Arial" w:cs="Arial"/>
          <w:sz w:val="20"/>
          <w:szCs w:val="20"/>
        </w:rPr>
        <w:t>προηγούμενη</w:t>
      </w:r>
      <w:r w:rsidR="008B6F84" w:rsidRPr="008F41DF">
        <w:rPr>
          <w:rFonts w:ascii="Arial" w:hAnsi="Arial" w:cs="Arial"/>
          <w:sz w:val="20"/>
          <w:szCs w:val="20"/>
        </w:rPr>
        <w:t xml:space="preserve"> </w:t>
      </w:r>
      <w:r w:rsidR="004B10EB" w:rsidRPr="008F41DF">
        <w:rPr>
          <w:rFonts w:ascii="Arial" w:hAnsi="Arial" w:cs="Arial"/>
          <w:sz w:val="20"/>
          <w:szCs w:val="20"/>
        </w:rPr>
        <w:t xml:space="preserve">τριετή </w:t>
      </w:r>
      <w:r w:rsidR="008B6F84" w:rsidRPr="008F41DF">
        <w:rPr>
          <w:rFonts w:ascii="Arial" w:hAnsi="Arial" w:cs="Arial"/>
          <w:sz w:val="20"/>
          <w:szCs w:val="20"/>
        </w:rPr>
        <w:t xml:space="preserve">συμφωνία </w:t>
      </w:r>
      <w:r w:rsidR="004237B9" w:rsidRPr="008F41DF">
        <w:rPr>
          <w:rFonts w:ascii="Arial" w:hAnsi="Arial" w:cs="Arial"/>
          <w:sz w:val="20"/>
          <w:szCs w:val="20"/>
        </w:rPr>
        <w:t>έληξε</w:t>
      </w:r>
      <w:r w:rsidR="004673E6" w:rsidRPr="008F41DF">
        <w:rPr>
          <w:rFonts w:ascii="Arial" w:hAnsi="Arial" w:cs="Arial"/>
          <w:sz w:val="20"/>
          <w:szCs w:val="20"/>
        </w:rPr>
        <w:t xml:space="preserve"> το πρώτο τρίμηνο του 2021</w:t>
      </w:r>
      <w:r w:rsidR="008B6F84" w:rsidRPr="008F41DF">
        <w:rPr>
          <w:rFonts w:ascii="Arial" w:hAnsi="Arial" w:cs="Arial"/>
          <w:sz w:val="20"/>
          <w:szCs w:val="20"/>
        </w:rPr>
        <w:t>.</w:t>
      </w:r>
      <w:r w:rsidR="008B6F84" w:rsidRPr="008B6F84">
        <w:rPr>
          <w:rFonts w:ascii="Arial" w:hAnsi="Arial" w:cs="Arial"/>
          <w:sz w:val="20"/>
          <w:szCs w:val="20"/>
        </w:rPr>
        <w:t xml:space="preserve"> </w:t>
      </w:r>
      <w:r w:rsidR="00B21922" w:rsidRPr="008B6F84">
        <w:rPr>
          <w:rFonts w:ascii="Arial" w:hAnsi="Arial" w:cs="Arial"/>
          <w:sz w:val="20"/>
          <w:szCs w:val="20"/>
        </w:rPr>
        <w:t>Με</w:t>
      </w:r>
      <w:r w:rsidR="008B6F84">
        <w:rPr>
          <w:rFonts w:ascii="Arial" w:hAnsi="Arial" w:cs="Arial"/>
          <w:sz w:val="20"/>
          <w:szCs w:val="20"/>
        </w:rPr>
        <w:t xml:space="preserve"> τον έντονο ανταγωνισμό ανάμεσα στα Πιστωτικά ιδρύματα για τον διαμοιρασμό των δανείων Λιανικής Τραπεζικής ο Οργανισμός θα πρέπει να υπενθυμίζει στο κοινό τα προϊόντα του καθώς επίσης θα πρέπει να </w:t>
      </w:r>
      <w:r w:rsidR="00B21922" w:rsidRPr="00CE6659">
        <w:rPr>
          <w:rFonts w:ascii="Arial" w:hAnsi="Arial" w:cs="Arial"/>
          <w:sz w:val="20"/>
          <w:szCs w:val="20"/>
        </w:rPr>
        <w:t>επανατοποθετηθεί στην Τραπεζική αγορά και να τονίσει το</w:t>
      </w:r>
      <w:r w:rsidR="004237B9">
        <w:rPr>
          <w:rFonts w:ascii="Arial" w:hAnsi="Arial" w:cs="Arial"/>
          <w:sz w:val="20"/>
          <w:szCs w:val="20"/>
        </w:rPr>
        <w:t>ν</w:t>
      </w:r>
      <w:r w:rsidR="004825B3">
        <w:rPr>
          <w:rFonts w:ascii="Arial" w:hAnsi="Arial" w:cs="Arial"/>
          <w:sz w:val="20"/>
          <w:szCs w:val="20"/>
        </w:rPr>
        <w:t xml:space="preserve"> κοινωνικ</w:t>
      </w:r>
      <w:r w:rsidR="004237B9">
        <w:rPr>
          <w:rFonts w:ascii="Arial" w:hAnsi="Arial" w:cs="Arial"/>
          <w:sz w:val="20"/>
          <w:szCs w:val="20"/>
        </w:rPr>
        <w:t>ό</w:t>
      </w:r>
      <w:r w:rsidR="00B21922" w:rsidRPr="00CE6659">
        <w:rPr>
          <w:rFonts w:ascii="Arial" w:hAnsi="Arial" w:cs="Arial"/>
          <w:sz w:val="20"/>
          <w:szCs w:val="20"/>
        </w:rPr>
        <w:t xml:space="preserve"> του ρόλο</w:t>
      </w:r>
      <w:r w:rsidR="004825B3">
        <w:rPr>
          <w:rFonts w:ascii="Arial" w:hAnsi="Arial" w:cs="Arial"/>
          <w:sz w:val="20"/>
          <w:szCs w:val="20"/>
        </w:rPr>
        <w:t xml:space="preserve"> </w:t>
      </w:r>
      <w:r w:rsidR="00B21922" w:rsidRPr="00CE6659">
        <w:rPr>
          <w:rFonts w:ascii="Arial" w:hAnsi="Arial" w:cs="Arial"/>
          <w:sz w:val="20"/>
          <w:szCs w:val="20"/>
        </w:rPr>
        <w:t xml:space="preserve">που είναι η χρηματοδότηση του νοικοκυριού για κάλυψη των βασικών του αναγκών. </w:t>
      </w:r>
    </w:p>
    <w:p w:rsidR="00384310" w:rsidRPr="00CE6659" w:rsidRDefault="002D22C6" w:rsidP="000915DB">
      <w:pPr>
        <w:jc w:val="both"/>
        <w:rPr>
          <w:rFonts w:ascii="Arial" w:hAnsi="Arial" w:cs="Arial"/>
          <w:b/>
          <w:sz w:val="20"/>
          <w:szCs w:val="20"/>
          <w:u w:val="single"/>
        </w:rPr>
      </w:pPr>
      <w:r>
        <w:rPr>
          <w:rFonts w:ascii="Arial" w:hAnsi="Arial" w:cs="Arial"/>
          <w:b/>
          <w:sz w:val="20"/>
          <w:szCs w:val="20"/>
          <w:u w:val="single"/>
        </w:rPr>
        <w:t>Άρθρο 03036</w:t>
      </w:r>
      <w:r w:rsidR="00384310" w:rsidRPr="00CE6659">
        <w:rPr>
          <w:rFonts w:ascii="Arial" w:hAnsi="Arial" w:cs="Arial"/>
          <w:b/>
          <w:sz w:val="20"/>
          <w:szCs w:val="20"/>
          <w:u w:val="single"/>
        </w:rPr>
        <w:t xml:space="preserve"> «Ασφάλειες»</w:t>
      </w:r>
      <w:r w:rsidR="005C0728" w:rsidRPr="00CE6659">
        <w:rPr>
          <w:rFonts w:ascii="Arial" w:hAnsi="Arial" w:cs="Arial"/>
          <w:b/>
          <w:sz w:val="20"/>
          <w:szCs w:val="20"/>
          <w:u w:val="single"/>
        </w:rPr>
        <w:tab/>
        <w:t>€</w:t>
      </w:r>
      <w:r w:rsidR="00597BDF">
        <w:rPr>
          <w:rFonts w:ascii="Arial" w:hAnsi="Arial" w:cs="Arial"/>
          <w:b/>
          <w:sz w:val="20"/>
          <w:szCs w:val="20"/>
          <w:u w:val="single"/>
        </w:rPr>
        <w:t>1</w:t>
      </w:r>
      <w:r w:rsidR="00FF2800">
        <w:rPr>
          <w:rFonts w:ascii="Arial" w:hAnsi="Arial" w:cs="Arial"/>
          <w:b/>
          <w:sz w:val="20"/>
          <w:szCs w:val="20"/>
          <w:u w:val="single"/>
        </w:rPr>
        <w:t>07.276</w:t>
      </w:r>
    </w:p>
    <w:p w:rsidR="00384310" w:rsidRPr="00FD5C26" w:rsidRDefault="00384310" w:rsidP="00FD5C26">
      <w:pPr>
        <w:jc w:val="both"/>
        <w:rPr>
          <w:rFonts w:ascii="Arial" w:hAnsi="Arial" w:cs="Arial"/>
          <w:sz w:val="20"/>
          <w:szCs w:val="20"/>
        </w:rPr>
      </w:pPr>
      <w:r w:rsidRPr="00CE6659">
        <w:rPr>
          <w:rFonts w:ascii="Arial" w:hAnsi="Arial" w:cs="Arial"/>
          <w:sz w:val="20"/>
          <w:szCs w:val="20"/>
        </w:rPr>
        <w:t>Η προτεινόμενη πρόνοια προορίζεται να καλύψει τη δαπάνη για την ασφάλιση των περιουσιακών στοιχείων του Οργανισμού με επαρκή κάλυψη. Συγκεκριμένα συμπεριλαμβάνονται οι πιο κάτω ασφάλειες</w:t>
      </w:r>
      <w:r w:rsidRPr="00FD5C26">
        <w:rPr>
          <w:rFonts w:ascii="Arial" w:hAnsi="Arial" w:cs="Arial"/>
          <w:sz w:val="20"/>
          <w:szCs w:val="20"/>
        </w:rPr>
        <w:t xml:space="preserve">: </w:t>
      </w:r>
    </w:p>
    <w:p w:rsidR="00FD5C26" w:rsidRPr="00FD5C26" w:rsidRDefault="00384310" w:rsidP="00FD5C26">
      <w:pPr>
        <w:pStyle w:val="ListParagraph"/>
        <w:numPr>
          <w:ilvl w:val="0"/>
          <w:numId w:val="20"/>
        </w:numPr>
        <w:jc w:val="both"/>
        <w:rPr>
          <w:rFonts w:ascii="Arial" w:hAnsi="Arial" w:cs="Arial"/>
          <w:sz w:val="20"/>
          <w:szCs w:val="20"/>
        </w:rPr>
      </w:pPr>
      <w:r w:rsidRPr="00FD5C26">
        <w:rPr>
          <w:rFonts w:ascii="Arial" w:hAnsi="Arial" w:cs="Arial"/>
          <w:sz w:val="20"/>
          <w:szCs w:val="20"/>
        </w:rPr>
        <w:t xml:space="preserve">Ασφάλεια </w:t>
      </w:r>
      <w:r w:rsidR="00FF2800" w:rsidRPr="00FD5C26">
        <w:rPr>
          <w:rFonts w:ascii="Arial" w:hAnsi="Arial" w:cs="Arial"/>
          <w:sz w:val="20"/>
          <w:szCs w:val="20"/>
        </w:rPr>
        <w:t>περιουσία</w:t>
      </w:r>
      <w:r w:rsidR="00FD5C26">
        <w:rPr>
          <w:rFonts w:ascii="Arial" w:hAnsi="Arial" w:cs="Arial"/>
          <w:sz w:val="20"/>
          <w:szCs w:val="20"/>
        </w:rPr>
        <w:t>ς</w:t>
      </w:r>
    </w:p>
    <w:p w:rsidR="00FD5C26" w:rsidRDefault="00384310" w:rsidP="00FD5C26">
      <w:pPr>
        <w:pStyle w:val="ListParagraph"/>
        <w:numPr>
          <w:ilvl w:val="0"/>
          <w:numId w:val="20"/>
        </w:numPr>
        <w:jc w:val="both"/>
        <w:rPr>
          <w:rFonts w:ascii="Arial" w:hAnsi="Arial" w:cs="Arial"/>
          <w:sz w:val="20"/>
          <w:szCs w:val="20"/>
        </w:rPr>
      </w:pPr>
      <w:r w:rsidRPr="00FD5C26">
        <w:rPr>
          <w:rFonts w:ascii="Arial" w:hAnsi="Arial" w:cs="Arial"/>
          <w:sz w:val="20"/>
          <w:szCs w:val="20"/>
        </w:rPr>
        <w:t>Ασφάλιση Αστικής Ευθύνης</w:t>
      </w:r>
    </w:p>
    <w:p w:rsidR="00FD5C26" w:rsidRDefault="00FF2800" w:rsidP="00FD5C26">
      <w:pPr>
        <w:pStyle w:val="ListParagraph"/>
        <w:numPr>
          <w:ilvl w:val="0"/>
          <w:numId w:val="20"/>
        </w:numPr>
        <w:jc w:val="both"/>
        <w:rPr>
          <w:rFonts w:ascii="Arial" w:hAnsi="Arial" w:cs="Arial"/>
          <w:sz w:val="20"/>
          <w:szCs w:val="20"/>
        </w:rPr>
      </w:pPr>
      <w:r w:rsidRPr="00FD5C26">
        <w:rPr>
          <w:rFonts w:ascii="Arial" w:hAnsi="Arial" w:cs="Arial"/>
          <w:sz w:val="20"/>
          <w:szCs w:val="20"/>
        </w:rPr>
        <w:t>Ασφάλεια κατά κινδύνων κυβερνοχώρου</w:t>
      </w:r>
    </w:p>
    <w:p w:rsidR="00597BDF" w:rsidRPr="00FD5C26" w:rsidRDefault="00FF2800" w:rsidP="00FD5C26">
      <w:pPr>
        <w:pStyle w:val="ListParagraph"/>
        <w:numPr>
          <w:ilvl w:val="0"/>
          <w:numId w:val="20"/>
        </w:numPr>
        <w:jc w:val="both"/>
        <w:rPr>
          <w:rFonts w:ascii="Arial" w:hAnsi="Arial" w:cs="Arial"/>
          <w:sz w:val="20"/>
          <w:szCs w:val="20"/>
        </w:rPr>
      </w:pPr>
      <w:r w:rsidRPr="00FD5C26">
        <w:rPr>
          <w:rFonts w:ascii="Arial" w:hAnsi="Arial" w:cs="Arial"/>
          <w:sz w:val="20"/>
          <w:szCs w:val="20"/>
        </w:rPr>
        <w:t>Χρηματοοικονομικές Ασφαλίσεις</w:t>
      </w:r>
    </w:p>
    <w:p w:rsidR="00384310" w:rsidRPr="00CE6659" w:rsidRDefault="00384310" w:rsidP="000915DB">
      <w:pPr>
        <w:spacing w:after="0" w:line="240" w:lineRule="auto"/>
        <w:ind w:left="-10"/>
        <w:jc w:val="both"/>
        <w:rPr>
          <w:rFonts w:ascii="Arial" w:hAnsi="Arial" w:cs="Arial"/>
          <w:sz w:val="20"/>
          <w:szCs w:val="20"/>
        </w:rPr>
      </w:pP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03047 «Έξοδα Μηχανογράφησης»</w:t>
      </w:r>
      <w:r w:rsidR="005C0728" w:rsidRPr="00CE6659">
        <w:rPr>
          <w:rFonts w:ascii="Arial" w:hAnsi="Arial" w:cs="Arial"/>
          <w:b/>
          <w:sz w:val="20"/>
          <w:szCs w:val="20"/>
          <w:u w:val="single"/>
        </w:rPr>
        <w:tab/>
        <w:t>€</w:t>
      </w:r>
      <w:r w:rsidR="004237B9">
        <w:rPr>
          <w:rFonts w:ascii="Arial" w:hAnsi="Arial" w:cs="Arial"/>
          <w:b/>
          <w:sz w:val="20"/>
          <w:szCs w:val="20"/>
          <w:u w:val="single"/>
        </w:rPr>
        <w:t>1.314.635</w:t>
      </w:r>
    </w:p>
    <w:p w:rsidR="00384310" w:rsidRDefault="00384310" w:rsidP="004B10EB">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για την παροχή </w:t>
      </w:r>
      <w:r w:rsidR="00E06AF0" w:rsidRPr="00CE6659">
        <w:rPr>
          <w:rFonts w:ascii="Arial" w:hAnsi="Arial" w:cs="Arial"/>
          <w:sz w:val="20"/>
          <w:szCs w:val="20"/>
        </w:rPr>
        <w:t>υ</w:t>
      </w:r>
      <w:r w:rsidR="00FF2800">
        <w:rPr>
          <w:rFonts w:ascii="Arial" w:hAnsi="Arial" w:cs="Arial"/>
          <w:sz w:val="20"/>
          <w:szCs w:val="20"/>
        </w:rPr>
        <w:t xml:space="preserve">πηρεσιών </w:t>
      </w:r>
      <w:r w:rsidR="00E06AF0" w:rsidRPr="00CE6659">
        <w:rPr>
          <w:rFonts w:ascii="Arial" w:hAnsi="Arial" w:cs="Arial"/>
          <w:sz w:val="20"/>
          <w:szCs w:val="20"/>
        </w:rPr>
        <w:t>μηχανογράφησης</w:t>
      </w:r>
      <w:r w:rsidR="00FF2800">
        <w:rPr>
          <w:rFonts w:ascii="Arial" w:hAnsi="Arial" w:cs="Arial"/>
          <w:sz w:val="20"/>
          <w:szCs w:val="20"/>
        </w:rPr>
        <w:t xml:space="preserve"> και συντήρησης των λογισμικών προγραμμάτων.</w:t>
      </w:r>
      <w:r w:rsidR="001F74E4">
        <w:rPr>
          <w:rFonts w:ascii="Arial" w:hAnsi="Arial" w:cs="Arial"/>
          <w:sz w:val="20"/>
          <w:szCs w:val="20"/>
        </w:rPr>
        <w:t xml:space="preserve"> </w:t>
      </w:r>
      <w:r w:rsidR="00FF2800">
        <w:rPr>
          <w:rFonts w:ascii="Arial" w:hAnsi="Arial" w:cs="Arial"/>
          <w:sz w:val="20"/>
          <w:szCs w:val="20"/>
        </w:rPr>
        <w:t xml:space="preserve">Το κόστος συντήρησης των λογισμικών προγραμμάτων έχει υπολογιστεί με την παραδοχή ότι ανέρχεται σε </w:t>
      </w:r>
      <w:r w:rsidR="00FF2800" w:rsidRPr="00FD5C26">
        <w:rPr>
          <w:rFonts w:ascii="Arial" w:hAnsi="Arial" w:cs="Arial"/>
          <w:sz w:val="20"/>
          <w:szCs w:val="20"/>
        </w:rPr>
        <w:t>1</w:t>
      </w:r>
      <w:r w:rsidR="001F74E4">
        <w:rPr>
          <w:rFonts w:ascii="Arial" w:hAnsi="Arial" w:cs="Arial"/>
          <w:sz w:val="20"/>
          <w:szCs w:val="20"/>
        </w:rPr>
        <w:t>5</w:t>
      </w:r>
      <w:r w:rsidR="00FF2800" w:rsidRPr="00FD5C26">
        <w:rPr>
          <w:rFonts w:ascii="Arial" w:hAnsi="Arial" w:cs="Arial"/>
          <w:sz w:val="20"/>
          <w:szCs w:val="20"/>
        </w:rPr>
        <w:t xml:space="preserve">% του κόστους των Λογισμικών Προγραμμάτων. Όσον αφορά το κόστος παροχής υπηρεσιών μηχανογράφησης </w:t>
      </w:r>
      <w:r w:rsidR="00692A95" w:rsidRPr="00FD5C26">
        <w:rPr>
          <w:rFonts w:ascii="Arial" w:hAnsi="Arial" w:cs="Arial"/>
          <w:sz w:val="20"/>
          <w:szCs w:val="20"/>
        </w:rPr>
        <w:t>και</w:t>
      </w:r>
      <w:r w:rsidR="00FF2800" w:rsidRPr="00FD5C26">
        <w:rPr>
          <w:rFonts w:ascii="Arial" w:hAnsi="Arial" w:cs="Arial"/>
          <w:sz w:val="20"/>
          <w:szCs w:val="20"/>
        </w:rPr>
        <w:t xml:space="preserve"> υποστήριξης το οποίο θα προκύπτει με την τεχνολογική αναβάθμιση του ΟΧΣ και την τεχνολογική απεξά</w:t>
      </w:r>
      <w:r w:rsidR="00FD5C26">
        <w:rPr>
          <w:rFonts w:ascii="Arial" w:hAnsi="Arial" w:cs="Arial"/>
          <w:sz w:val="20"/>
          <w:szCs w:val="20"/>
        </w:rPr>
        <w:t>ρ</w:t>
      </w:r>
      <w:r w:rsidR="00FF2800" w:rsidRPr="00FD5C26">
        <w:rPr>
          <w:rFonts w:ascii="Arial" w:hAnsi="Arial" w:cs="Arial"/>
          <w:sz w:val="20"/>
          <w:szCs w:val="20"/>
        </w:rPr>
        <w:t>τηση από την Κυπριακή Εταιρεία Διαχείρισης Περιουσιακών Στοιχείων</w:t>
      </w:r>
      <w:r w:rsidR="00692A95">
        <w:rPr>
          <w:rFonts w:ascii="Arial" w:hAnsi="Arial" w:cs="Arial"/>
          <w:sz w:val="20"/>
          <w:szCs w:val="20"/>
        </w:rPr>
        <w:t xml:space="preserve"> (ΚΕΔΙΠΕΣ)</w:t>
      </w:r>
      <w:r w:rsidR="00FF2800" w:rsidRPr="00FD5C26">
        <w:rPr>
          <w:rFonts w:ascii="Arial" w:hAnsi="Arial" w:cs="Arial"/>
          <w:sz w:val="20"/>
          <w:szCs w:val="20"/>
        </w:rPr>
        <w:t xml:space="preserve"> έχει </w:t>
      </w:r>
      <w:r w:rsidR="00FF2800" w:rsidRPr="00FD5C26">
        <w:rPr>
          <w:rFonts w:ascii="Arial" w:hAnsi="Arial" w:cs="Arial"/>
          <w:sz w:val="20"/>
          <w:szCs w:val="20"/>
        </w:rPr>
        <w:lastRenderedPageBreak/>
        <w:t>χρησιμοποιηθεί το πραγματικό κόστος σύμφωνα με την προσφορά που έχει κατακυρωθεί. Επιπρόσθετα, για τα έτη 202</w:t>
      </w:r>
      <w:r w:rsidR="001F74E4">
        <w:rPr>
          <w:rFonts w:ascii="Arial" w:hAnsi="Arial" w:cs="Arial"/>
          <w:sz w:val="20"/>
          <w:szCs w:val="20"/>
        </w:rPr>
        <w:t>2</w:t>
      </w:r>
      <w:r w:rsidR="00FF2800" w:rsidRPr="00FD5C26">
        <w:rPr>
          <w:rFonts w:ascii="Arial" w:hAnsi="Arial" w:cs="Arial"/>
          <w:sz w:val="20"/>
          <w:szCs w:val="20"/>
        </w:rPr>
        <w:t>-202</w:t>
      </w:r>
      <w:r w:rsidR="001F74E4">
        <w:rPr>
          <w:rFonts w:ascii="Arial" w:hAnsi="Arial" w:cs="Arial"/>
          <w:sz w:val="20"/>
          <w:szCs w:val="20"/>
        </w:rPr>
        <w:t>4</w:t>
      </w:r>
      <w:r w:rsidR="00FF2800" w:rsidRPr="00FD5C26">
        <w:rPr>
          <w:rFonts w:ascii="Arial" w:hAnsi="Arial" w:cs="Arial"/>
          <w:sz w:val="20"/>
          <w:szCs w:val="20"/>
        </w:rPr>
        <w:t xml:space="preserve"> έχει συμπεριληφθεί επιπρόσθετο κόστος </w:t>
      </w:r>
      <w:r w:rsidR="001F74E4">
        <w:rPr>
          <w:rFonts w:ascii="Arial" w:hAnsi="Arial" w:cs="Arial"/>
          <w:sz w:val="20"/>
          <w:szCs w:val="20"/>
        </w:rPr>
        <w:t xml:space="preserve">€250 χιλ. ανά έτος </w:t>
      </w:r>
      <w:r w:rsidR="00FF2800" w:rsidRPr="00FD5C26">
        <w:rPr>
          <w:rFonts w:ascii="Arial" w:hAnsi="Arial" w:cs="Arial"/>
          <w:sz w:val="20"/>
          <w:szCs w:val="20"/>
        </w:rPr>
        <w:t xml:space="preserve">για να καλύψει τυχόν ανάγκες μηχανογράφησης που δύναται να απαιτηθούν λόγω βελτιώσεων ή απαιτήσεων για σκοπούς συμμόρφωσης με εποπτικές/νομοθετικές απαιτήσεις. </w:t>
      </w:r>
    </w:p>
    <w:p w:rsidR="00EC4858" w:rsidRDefault="00EC4858" w:rsidP="00880E70">
      <w:pPr>
        <w:spacing w:after="0" w:line="240" w:lineRule="auto"/>
        <w:jc w:val="both"/>
        <w:rPr>
          <w:rFonts w:ascii="Arial" w:hAnsi="Arial" w:cs="Arial"/>
          <w:sz w:val="20"/>
          <w:szCs w:val="20"/>
        </w:rPr>
      </w:pPr>
    </w:p>
    <w:p w:rsidR="00EC4858" w:rsidRPr="00CE6659" w:rsidRDefault="00EC4858" w:rsidP="00EC4858">
      <w:pPr>
        <w:jc w:val="both"/>
        <w:rPr>
          <w:rFonts w:ascii="Arial" w:hAnsi="Arial" w:cs="Arial"/>
          <w:b/>
          <w:sz w:val="20"/>
          <w:szCs w:val="20"/>
          <w:u w:val="single"/>
        </w:rPr>
      </w:pPr>
      <w:r>
        <w:rPr>
          <w:rFonts w:ascii="Arial" w:hAnsi="Arial" w:cs="Arial"/>
          <w:b/>
          <w:sz w:val="20"/>
          <w:szCs w:val="20"/>
          <w:u w:val="single"/>
        </w:rPr>
        <w:t>Άρθρο 03048</w:t>
      </w:r>
      <w:r w:rsidRPr="00CE6659">
        <w:rPr>
          <w:rFonts w:ascii="Arial" w:hAnsi="Arial" w:cs="Arial"/>
          <w:b/>
          <w:sz w:val="20"/>
          <w:szCs w:val="20"/>
          <w:u w:val="single"/>
        </w:rPr>
        <w:t xml:space="preserve"> «</w:t>
      </w:r>
      <w:r>
        <w:rPr>
          <w:rFonts w:ascii="Arial" w:hAnsi="Arial" w:cs="Arial"/>
          <w:b/>
          <w:sz w:val="20"/>
          <w:szCs w:val="20"/>
          <w:u w:val="single"/>
        </w:rPr>
        <w:t>Έξοδα συστημάτων πληρωμών</w:t>
      </w:r>
      <w:r w:rsidRPr="00CE6659">
        <w:rPr>
          <w:rFonts w:ascii="Arial" w:hAnsi="Arial" w:cs="Arial"/>
          <w:b/>
          <w:sz w:val="20"/>
          <w:szCs w:val="20"/>
          <w:u w:val="single"/>
        </w:rPr>
        <w:t>»</w:t>
      </w:r>
      <w:r w:rsidRPr="00CE6659">
        <w:rPr>
          <w:rFonts w:ascii="Arial" w:hAnsi="Arial" w:cs="Arial"/>
          <w:b/>
          <w:sz w:val="20"/>
          <w:szCs w:val="20"/>
          <w:u w:val="single"/>
        </w:rPr>
        <w:tab/>
        <w:t>€</w:t>
      </w:r>
      <w:r w:rsidR="001F74E4">
        <w:rPr>
          <w:rFonts w:ascii="Arial" w:hAnsi="Arial" w:cs="Arial"/>
          <w:b/>
          <w:sz w:val="20"/>
          <w:szCs w:val="20"/>
          <w:u w:val="single"/>
        </w:rPr>
        <w:t>393.840</w:t>
      </w:r>
      <w:r w:rsidRPr="00CE6659">
        <w:rPr>
          <w:rFonts w:ascii="Arial" w:hAnsi="Arial" w:cs="Arial"/>
          <w:b/>
          <w:sz w:val="20"/>
          <w:szCs w:val="20"/>
          <w:u w:val="single"/>
        </w:rPr>
        <w:t xml:space="preserve"> </w:t>
      </w:r>
    </w:p>
    <w:p w:rsidR="00EC4858" w:rsidRDefault="00EC4858" w:rsidP="00FD5C26">
      <w:pPr>
        <w:jc w:val="both"/>
        <w:rPr>
          <w:rFonts w:ascii="Arial" w:hAnsi="Arial" w:cs="Arial"/>
          <w:sz w:val="20"/>
          <w:szCs w:val="20"/>
        </w:rPr>
      </w:pPr>
      <w:r w:rsidRPr="00EC4858">
        <w:rPr>
          <w:rFonts w:ascii="Arial" w:hAnsi="Arial" w:cs="Arial"/>
          <w:sz w:val="20"/>
          <w:szCs w:val="20"/>
        </w:rPr>
        <w:t>Η προτεινόμενη πρόνοια προορίζεται να καλύψει τη δαπάνη</w:t>
      </w:r>
      <w:r>
        <w:rPr>
          <w:rFonts w:ascii="Arial" w:hAnsi="Arial" w:cs="Arial"/>
          <w:sz w:val="20"/>
          <w:szCs w:val="20"/>
        </w:rPr>
        <w:t xml:space="preserve"> για τη διεκπεραίωση πληρωμών.</w:t>
      </w:r>
      <w:r w:rsidR="00FF2800">
        <w:rPr>
          <w:rFonts w:ascii="Arial" w:hAnsi="Arial" w:cs="Arial"/>
          <w:sz w:val="20"/>
          <w:szCs w:val="20"/>
        </w:rPr>
        <w:t xml:space="preserve"> Η προτεινόμενη πρόνοια συμπεριλαμβάνει το λειτουργικό κόστος που προκύπτει από την </w:t>
      </w:r>
      <w:r w:rsidR="000F18D0" w:rsidRPr="000F18D0">
        <w:rPr>
          <w:rFonts w:ascii="Arial" w:hAnsi="Arial" w:cs="Arial"/>
          <w:sz w:val="20"/>
          <w:szCs w:val="20"/>
        </w:rPr>
        <w:t xml:space="preserve">υλοποίηση των συστημάτων καρτών </w:t>
      </w:r>
      <w:r w:rsidR="00E961E8">
        <w:rPr>
          <w:rFonts w:ascii="Arial" w:hAnsi="Arial" w:cs="Arial"/>
          <w:sz w:val="20"/>
          <w:szCs w:val="20"/>
        </w:rPr>
        <w:t xml:space="preserve">και την εγκατάσταση ΑΤΜ στα καταστήματα του (€344 χιλ.). Με τη σημαντική αυτή αλλαγή οι πελάτες του Οργανισμού θα έχουν άμεση πρόσβαση στους λογαριασμούς που θα εξουδετερώσει ένα σημαντικό μειονέκτημα του Οργανισμού. </w:t>
      </w:r>
      <w:r w:rsidR="000A1BD6">
        <w:rPr>
          <w:rFonts w:ascii="Arial" w:hAnsi="Arial" w:cs="Arial"/>
          <w:sz w:val="20"/>
          <w:szCs w:val="20"/>
        </w:rPr>
        <w:t xml:space="preserve">Επιπρόσθετα, ο Οργανισμός </w:t>
      </w:r>
      <w:r w:rsidR="0070330B">
        <w:rPr>
          <w:rFonts w:ascii="Arial" w:hAnsi="Arial" w:cs="Arial"/>
          <w:sz w:val="20"/>
          <w:szCs w:val="20"/>
        </w:rPr>
        <w:t xml:space="preserve">εντός του 2019 εγκρίθηκε από το </w:t>
      </w:r>
      <w:r w:rsidR="000A1BD6" w:rsidRPr="004B10EB">
        <w:rPr>
          <w:rFonts w:ascii="Arial" w:hAnsi="Arial" w:cs="Arial"/>
          <w:sz w:val="20"/>
          <w:szCs w:val="20"/>
        </w:rPr>
        <w:t>SWIFT</w:t>
      </w:r>
      <w:r w:rsidR="00540931">
        <w:rPr>
          <w:rFonts w:ascii="Arial" w:hAnsi="Arial" w:cs="Arial"/>
          <w:sz w:val="20"/>
          <w:szCs w:val="20"/>
        </w:rPr>
        <w:t xml:space="preserve"> και εξασφάλισε δικό του</w:t>
      </w:r>
      <w:r w:rsidR="0070330B">
        <w:rPr>
          <w:rFonts w:ascii="Arial" w:hAnsi="Arial" w:cs="Arial"/>
          <w:sz w:val="20"/>
          <w:szCs w:val="20"/>
        </w:rPr>
        <w:t xml:space="preserve"> Bank Identification Code (BIC)</w:t>
      </w:r>
      <w:r w:rsidR="00540931">
        <w:rPr>
          <w:rFonts w:ascii="Arial" w:hAnsi="Arial" w:cs="Arial"/>
          <w:sz w:val="20"/>
          <w:szCs w:val="20"/>
        </w:rPr>
        <w:t xml:space="preserve"> που άρχισε να χρησιμοποιείται τον Σεπτέμβριο του 2019 σε αντικατάσταση του </w:t>
      </w:r>
      <w:r w:rsidR="00540931" w:rsidRPr="004B10EB">
        <w:rPr>
          <w:rFonts w:ascii="Arial" w:hAnsi="Arial" w:cs="Arial"/>
          <w:sz w:val="20"/>
          <w:szCs w:val="20"/>
        </w:rPr>
        <w:t>BIC</w:t>
      </w:r>
      <w:r w:rsidR="00540931" w:rsidRPr="00F8564B">
        <w:rPr>
          <w:rFonts w:ascii="Arial" w:hAnsi="Arial" w:cs="Arial"/>
          <w:sz w:val="20"/>
          <w:szCs w:val="20"/>
        </w:rPr>
        <w:t xml:space="preserve"> </w:t>
      </w:r>
      <w:r w:rsidR="001A6B9D">
        <w:rPr>
          <w:rFonts w:ascii="Arial" w:hAnsi="Arial" w:cs="Arial"/>
          <w:sz w:val="20"/>
          <w:szCs w:val="20"/>
        </w:rPr>
        <w:t>της πρώην Συνεργατικής Κεντρικής Τράπεζας</w:t>
      </w:r>
      <w:r w:rsidR="00540931">
        <w:rPr>
          <w:rFonts w:ascii="Arial" w:hAnsi="Arial" w:cs="Arial"/>
          <w:sz w:val="20"/>
          <w:szCs w:val="20"/>
        </w:rPr>
        <w:t xml:space="preserve"> που χρησιμοποιούσε μέχρι πρόσφατα</w:t>
      </w:r>
      <w:r w:rsidR="0070330B">
        <w:rPr>
          <w:rFonts w:ascii="Arial" w:hAnsi="Arial" w:cs="Arial"/>
          <w:sz w:val="20"/>
          <w:szCs w:val="20"/>
        </w:rPr>
        <w:t xml:space="preserve">. </w:t>
      </w:r>
      <w:r w:rsidR="000A1BD6">
        <w:rPr>
          <w:rFonts w:ascii="Arial" w:hAnsi="Arial" w:cs="Arial"/>
          <w:sz w:val="20"/>
          <w:szCs w:val="20"/>
        </w:rPr>
        <w:t xml:space="preserve">Το ετήσιο λειτουργικό κόστος που προκύπτει από </w:t>
      </w:r>
      <w:r w:rsidR="00693EF7">
        <w:rPr>
          <w:rFonts w:ascii="Arial" w:hAnsi="Arial" w:cs="Arial"/>
          <w:sz w:val="20"/>
          <w:szCs w:val="20"/>
        </w:rPr>
        <w:t xml:space="preserve">το </w:t>
      </w:r>
      <w:r w:rsidR="00693EF7" w:rsidRPr="004B10EB">
        <w:rPr>
          <w:rFonts w:ascii="Arial" w:hAnsi="Arial" w:cs="Arial"/>
          <w:sz w:val="20"/>
          <w:szCs w:val="20"/>
        </w:rPr>
        <w:t>SWIFT</w:t>
      </w:r>
      <w:r w:rsidR="00693EF7">
        <w:rPr>
          <w:rFonts w:ascii="Arial" w:hAnsi="Arial" w:cs="Arial"/>
          <w:sz w:val="20"/>
          <w:szCs w:val="20"/>
        </w:rPr>
        <w:t xml:space="preserve"> και συμπεριλαμβάνεται στη συγκεκρ</w:t>
      </w:r>
      <w:r w:rsidR="0070330B">
        <w:rPr>
          <w:rFonts w:ascii="Arial" w:hAnsi="Arial" w:cs="Arial"/>
          <w:sz w:val="20"/>
          <w:szCs w:val="20"/>
        </w:rPr>
        <w:t xml:space="preserve">ιμένη πρόνοια ανέρχεται </w:t>
      </w:r>
      <w:r w:rsidR="00893AB7">
        <w:rPr>
          <w:rFonts w:ascii="Arial" w:hAnsi="Arial" w:cs="Arial"/>
          <w:sz w:val="20"/>
          <w:szCs w:val="20"/>
        </w:rPr>
        <w:t xml:space="preserve">γύρω </w:t>
      </w:r>
      <w:r w:rsidR="0070330B">
        <w:rPr>
          <w:rFonts w:ascii="Arial" w:hAnsi="Arial" w:cs="Arial"/>
          <w:sz w:val="20"/>
          <w:szCs w:val="20"/>
        </w:rPr>
        <w:t>στις €</w:t>
      </w:r>
      <w:r w:rsidR="00E961E8">
        <w:rPr>
          <w:rFonts w:ascii="Arial" w:hAnsi="Arial" w:cs="Arial"/>
          <w:sz w:val="20"/>
          <w:szCs w:val="20"/>
        </w:rPr>
        <w:t>75</w:t>
      </w:r>
      <w:r w:rsidR="00693EF7">
        <w:rPr>
          <w:rFonts w:ascii="Arial" w:hAnsi="Arial" w:cs="Arial"/>
          <w:sz w:val="20"/>
          <w:szCs w:val="20"/>
        </w:rPr>
        <w:t xml:space="preserve"> χιλ. </w:t>
      </w:r>
    </w:p>
    <w:p w:rsidR="00384310" w:rsidRPr="00CE6659" w:rsidRDefault="00384310" w:rsidP="000915DB">
      <w:pPr>
        <w:spacing w:after="0" w:line="240" w:lineRule="auto"/>
        <w:ind w:left="-10"/>
        <w:jc w:val="both"/>
        <w:rPr>
          <w:rFonts w:ascii="Arial" w:hAnsi="Arial" w:cs="Arial"/>
          <w:sz w:val="20"/>
          <w:szCs w:val="20"/>
        </w:rPr>
      </w:pPr>
    </w:p>
    <w:p w:rsidR="00384310" w:rsidRPr="003F3683" w:rsidRDefault="00384310" w:rsidP="000915DB">
      <w:pPr>
        <w:jc w:val="both"/>
        <w:rPr>
          <w:rFonts w:ascii="Arial" w:hAnsi="Arial" w:cs="Arial"/>
          <w:b/>
          <w:sz w:val="20"/>
          <w:szCs w:val="20"/>
          <w:u w:val="single"/>
        </w:rPr>
      </w:pPr>
      <w:r w:rsidRPr="00CE6659">
        <w:rPr>
          <w:rFonts w:ascii="Arial" w:hAnsi="Arial" w:cs="Arial"/>
          <w:b/>
          <w:sz w:val="20"/>
          <w:szCs w:val="20"/>
          <w:u w:val="single"/>
        </w:rPr>
        <w:t>Άρθρο 03075 «Εκτέλεση εργασιών από τρίτους</w:t>
      </w:r>
      <w:r w:rsidR="005C0728" w:rsidRPr="00CE6659">
        <w:rPr>
          <w:rFonts w:ascii="Arial" w:hAnsi="Arial" w:cs="Arial"/>
          <w:b/>
          <w:sz w:val="20"/>
          <w:szCs w:val="20"/>
          <w:u w:val="single"/>
        </w:rPr>
        <w:t>»</w:t>
      </w:r>
      <w:r w:rsidR="005C0728" w:rsidRPr="00CE6659">
        <w:rPr>
          <w:rFonts w:ascii="Arial" w:hAnsi="Arial" w:cs="Arial"/>
          <w:b/>
          <w:sz w:val="20"/>
          <w:szCs w:val="20"/>
          <w:u w:val="single"/>
        </w:rPr>
        <w:tab/>
        <w:t>€</w:t>
      </w:r>
      <w:r w:rsidR="00AA01F8">
        <w:rPr>
          <w:rFonts w:ascii="Arial" w:hAnsi="Arial" w:cs="Arial"/>
          <w:b/>
          <w:sz w:val="20"/>
          <w:szCs w:val="20"/>
          <w:u w:val="single"/>
        </w:rPr>
        <w:t>1</w:t>
      </w:r>
      <w:r w:rsidR="005E708F">
        <w:rPr>
          <w:rFonts w:ascii="Arial" w:hAnsi="Arial" w:cs="Arial"/>
          <w:b/>
          <w:sz w:val="20"/>
          <w:szCs w:val="20"/>
          <w:u w:val="single"/>
        </w:rPr>
        <w:t>55.944</w:t>
      </w:r>
    </w:p>
    <w:p w:rsidR="002821C5" w:rsidRPr="00FD5C26" w:rsidRDefault="00384310" w:rsidP="00FD5C26">
      <w:pPr>
        <w:pStyle w:val="Default"/>
        <w:spacing w:after="200" w:line="276" w:lineRule="auto"/>
        <w:jc w:val="both"/>
        <w:rPr>
          <w:color w:val="auto"/>
          <w:sz w:val="20"/>
          <w:szCs w:val="20"/>
          <w:lang w:val="el-GR"/>
        </w:rPr>
      </w:pPr>
      <w:r w:rsidRPr="00FD5C26">
        <w:rPr>
          <w:color w:val="auto"/>
          <w:sz w:val="20"/>
          <w:szCs w:val="20"/>
          <w:lang w:val="el-GR"/>
        </w:rPr>
        <w:t>Η προτεινόμενη πρόνοια προορίζεται να καλύψει τη δαπάνη για υπηρεσίες που παρέχονται στον ΟΧΣ α</w:t>
      </w:r>
      <w:r w:rsidR="00E06AF0" w:rsidRPr="00FD5C26">
        <w:rPr>
          <w:color w:val="auto"/>
          <w:sz w:val="20"/>
          <w:szCs w:val="20"/>
          <w:lang w:val="el-GR"/>
        </w:rPr>
        <w:t xml:space="preserve">πό τρίτους και περιλαμβάνουν </w:t>
      </w:r>
      <w:r w:rsidR="00AA01F8" w:rsidRPr="00FD5C26">
        <w:rPr>
          <w:color w:val="auto"/>
          <w:sz w:val="20"/>
          <w:szCs w:val="20"/>
          <w:lang w:val="el-GR"/>
        </w:rPr>
        <w:t xml:space="preserve">κυρίως </w:t>
      </w:r>
      <w:r w:rsidR="00E06AF0" w:rsidRPr="00FD5C26">
        <w:rPr>
          <w:color w:val="auto"/>
          <w:sz w:val="20"/>
          <w:szCs w:val="20"/>
          <w:lang w:val="el-GR"/>
        </w:rPr>
        <w:t>τη</w:t>
      </w:r>
      <w:r w:rsidR="00E961E8" w:rsidRPr="00FD5C26">
        <w:rPr>
          <w:color w:val="auto"/>
          <w:sz w:val="20"/>
          <w:szCs w:val="20"/>
          <w:lang w:val="el-GR"/>
        </w:rPr>
        <w:t>ν</w:t>
      </w:r>
      <w:r w:rsidRPr="00FD5C26">
        <w:rPr>
          <w:color w:val="auto"/>
          <w:sz w:val="20"/>
          <w:szCs w:val="20"/>
          <w:lang w:val="el-GR"/>
        </w:rPr>
        <w:t xml:space="preserve"> </w:t>
      </w:r>
      <w:r w:rsidR="00E961E8" w:rsidRPr="00FD5C26">
        <w:rPr>
          <w:color w:val="auto"/>
          <w:sz w:val="20"/>
          <w:szCs w:val="20"/>
          <w:lang w:val="el-GR"/>
        </w:rPr>
        <w:t>Ασφαλή Διακίνηση</w:t>
      </w:r>
      <w:r w:rsidR="005E708F" w:rsidRPr="00880E70">
        <w:rPr>
          <w:lang w:val="el-GR"/>
        </w:rPr>
        <w:t xml:space="preserve"> </w:t>
      </w:r>
      <w:r w:rsidR="005E708F" w:rsidRPr="005E708F">
        <w:rPr>
          <w:color w:val="auto"/>
          <w:sz w:val="20"/>
          <w:szCs w:val="20"/>
          <w:lang w:val="el-GR"/>
        </w:rPr>
        <w:t>και Διαλογή</w:t>
      </w:r>
      <w:r w:rsidR="00E961E8" w:rsidRPr="00FD5C26">
        <w:rPr>
          <w:color w:val="auto"/>
          <w:sz w:val="20"/>
          <w:szCs w:val="20"/>
          <w:lang w:val="el-GR"/>
        </w:rPr>
        <w:t xml:space="preserve"> Μετρητών</w:t>
      </w:r>
      <w:r w:rsidR="00E961E8" w:rsidRPr="00FD5C26" w:rsidDel="00E961E8">
        <w:rPr>
          <w:color w:val="auto"/>
          <w:sz w:val="20"/>
          <w:szCs w:val="20"/>
          <w:lang w:val="el-GR"/>
        </w:rPr>
        <w:t xml:space="preserve"> </w:t>
      </w:r>
      <w:r w:rsidRPr="00FD5C26">
        <w:rPr>
          <w:color w:val="auto"/>
          <w:sz w:val="20"/>
          <w:szCs w:val="20"/>
          <w:lang w:val="el-GR"/>
        </w:rPr>
        <w:t xml:space="preserve">και την ηλεκτρονική σάρωση και φύλαξη </w:t>
      </w:r>
      <w:r w:rsidRPr="005362AF">
        <w:rPr>
          <w:color w:val="auto"/>
          <w:sz w:val="20"/>
          <w:szCs w:val="20"/>
          <w:lang w:val="el-GR"/>
        </w:rPr>
        <w:t>εγγράφων.</w:t>
      </w:r>
      <w:r w:rsidR="005362AF" w:rsidRPr="00880E70">
        <w:rPr>
          <w:color w:val="auto"/>
          <w:sz w:val="20"/>
          <w:szCs w:val="20"/>
          <w:lang w:val="el-GR"/>
        </w:rPr>
        <w:t xml:space="preserve"> </w:t>
      </w:r>
      <w:r w:rsidR="00AA01F8" w:rsidRPr="005362AF">
        <w:rPr>
          <w:color w:val="auto"/>
          <w:sz w:val="20"/>
          <w:szCs w:val="20"/>
          <w:lang w:val="el-GR"/>
        </w:rPr>
        <w:t>Για το έτος 202</w:t>
      </w:r>
      <w:r w:rsidR="008F41DF" w:rsidRPr="00880E70">
        <w:rPr>
          <w:color w:val="auto"/>
          <w:sz w:val="20"/>
          <w:szCs w:val="20"/>
          <w:lang w:val="el-GR"/>
        </w:rPr>
        <w:t>2</w:t>
      </w:r>
      <w:r w:rsidR="00AA01F8" w:rsidRPr="005362AF">
        <w:rPr>
          <w:color w:val="auto"/>
          <w:sz w:val="20"/>
          <w:szCs w:val="20"/>
          <w:lang w:val="el-GR"/>
        </w:rPr>
        <w:t xml:space="preserve"> έχ</w:t>
      </w:r>
      <w:r w:rsidR="00E961E8" w:rsidRPr="005362AF">
        <w:rPr>
          <w:color w:val="auto"/>
          <w:sz w:val="20"/>
          <w:szCs w:val="20"/>
          <w:lang w:val="el-GR"/>
        </w:rPr>
        <w:t xml:space="preserve">ει </w:t>
      </w:r>
      <w:r w:rsidR="00AA01F8" w:rsidRPr="005362AF">
        <w:rPr>
          <w:color w:val="auto"/>
          <w:sz w:val="20"/>
          <w:szCs w:val="20"/>
          <w:lang w:val="el-GR"/>
        </w:rPr>
        <w:t xml:space="preserve">συμπεριληφθεί πρόνοια για αναβάθμιση των υπηρεσιών από εταιρεία που μεταφέρει τα μετρητά έτσι ώστε να συμπεριλαμβάνει και την </w:t>
      </w:r>
      <w:r w:rsidR="00B938E6" w:rsidRPr="005362AF">
        <w:rPr>
          <w:color w:val="auto"/>
          <w:sz w:val="20"/>
          <w:szCs w:val="20"/>
          <w:lang w:val="el-GR"/>
        </w:rPr>
        <w:t>Ασφαλή Διακίνηση και Διαλογή των Μετρητών</w:t>
      </w:r>
      <w:r w:rsidR="00117A64" w:rsidRPr="005362AF">
        <w:rPr>
          <w:color w:val="auto"/>
          <w:sz w:val="20"/>
          <w:szCs w:val="20"/>
          <w:lang w:val="el-GR"/>
        </w:rPr>
        <w:t xml:space="preserve">. </w:t>
      </w:r>
    </w:p>
    <w:p w:rsidR="0057089A" w:rsidRPr="00FD5C26" w:rsidRDefault="0057089A" w:rsidP="000915DB">
      <w:pPr>
        <w:spacing w:after="0" w:line="240" w:lineRule="auto"/>
        <w:ind w:left="-10"/>
        <w:jc w:val="both"/>
        <w:rPr>
          <w:rFonts w:ascii="Arial" w:hAnsi="Arial" w:cs="Arial"/>
          <w:sz w:val="20"/>
          <w:szCs w:val="20"/>
        </w:rPr>
      </w:pPr>
    </w:p>
    <w:p w:rsidR="0057089A" w:rsidRDefault="0057089A" w:rsidP="000915DB">
      <w:pPr>
        <w:spacing w:after="0" w:line="240" w:lineRule="auto"/>
        <w:ind w:left="-10"/>
        <w:jc w:val="both"/>
        <w:rPr>
          <w:rFonts w:ascii="Arial" w:eastAsia="Times New Roman" w:hAnsi="Arial" w:cs="Arial"/>
          <w:bCs/>
          <w:sz w:val="20"/>
          <w:szCs w:val="20"/>
          <w:lang w:eastAsia="en-GB"/>
        </w:rPr>
      </w:pPr>
    </w:p>
    <w:p w:rsidR="00EC4858" w:rsidRPr="003F3683" w:rsidRDefault="00EC4858" w:rsidP="00EC4858">
      <w:pPr>
        <w:jc w:val="both"/>
        <w:rPr>
          <w:rFonts w:ascii="Arial" w:hAnsi="Arial" w:cs="Arial"/>
          <w:b/>
          <w:sz w:val="20"/>
          <w:szCs w:val="20"/>
          <w:u w:val="single"/>
        </w:rPr>
      </w:pPr>
      <w:r>
        <w:rPr>
          <w:rFonts w:ascii="Arial" w:hAnsi="Arial" w:cs="Arial"/>
          <w:b/>
          <w:sz w:val="20"/>
          <w:szCs w:val="20"/>
          <w:u w:val="single"/>
        </w:rPr>
        <w:t>Άρθρο 03076</w:t>
      </w:r>
      <w:r w:rsidRPr="00CE6659">
        <w:rPr>
          <w:rFonts w:ascii="Arial" w:hAnsi="Arial" w:cs="Arial"/>
          <w:b/>
          <w:sz w:val="20"/>
          <w:szCs w:val="20"/>
          <w:u w:val="single"/>
        </w:rPr>
        <w:t xml:space="preserve"> «</w:t>
      </w:r>
      <w:r w:rsidR="00693EF7">
        <w:rPr>
          <w:rFonts w:ascii="Arial" w:hAnsi="Arial" w:cs="Arial"/>
          <w:b/>
          <w:sz w:val="20"/>
          <w:szCs w:val="20"/>
          <w:u w:val="single"/>
        </w:rPr>
        <w:t>Σχέδιο Εστία</w:t>
      </w:r>
      <w:r w:rsidRPr="00CE6659">
        <w:rPr>
          <w:rFonts w:ascii="Arial" w:hAnsi="Arial" w:cs="Arial"/>
          <w:b/>
          <w:sz w:val="20"/>
          <w:szCs w:val="20"/>
          <w:u w:val="single"/>
        </w:rPr>
        <w:t>»</w:t>
      </w:r>
      <w:r w:rsidRPr="00CE6659">
        <w:rPr>
          <w:rFonts w:ascii="Arial" w:hAnsi="Arial" w:cs="Arial"/>
          <w:b/>
          <w:sz w:val="20"/>
          <w:szCs w:val="20"/>
          <w:u w:val="single"/>
        </w:rPr>
        <w:tab/>
        <w:t>€</w:t>
      </w:r>
      <w:r w:rsidR="005E708F">
        <w:rPr>
          <w:rFonts w:ascii="Arial" w:hAnsi="Arial" w:cs="Arial"/>
          <w:b/>
          <w:sz w:val="20"/>
          <w:szCs w:val="20"/>
          <w:u w:val="single"/>
        </w:rPr>
        <w:t>45.000</w:t>
      </w:r>
    </w:p>
    <w:p w:rsidR="00CA4370" w:rsidRPr="00FD5C26" w:rsidRDefault="00693EF7" w:rsidP="00FD5C26">
      <w:pPr>
        <w:jc w:val="both"/>
        <w:rPr>
          <w:rFonts w:ascii="Arial" w:hAnsi="Arial" w:cs="Arial"/>
          <w:sz w:val="20"/>
          <w:szCs w:val="20"/>
        </w:rPr>
      </w:pPr>
      <w:r w:rsidRPr="00FD5C26">
        <w:rPr>
          <w:rFonts w:ascii="Arial" w:hAnsi="Arial" w:cs="Arial"/>
          <w:sz w:val="20"/>
          <w:szCs w:val="20"/>
        </w:rPr>
        <w:t>Η προτεινόμενη π</w:t>
      </w:r>
      <w:r w:rsidR="0057089A" w:rsidRPr="00FD5C26">
        <w:rPr>
          <w:rFonts w:ascii="Arial" w:hAnsi="Arial" w:cs="Arial"/>
          <w:sz w:val="20"/>
          <w:szCs w:val="20"/>
        </w:rPr>
        <w:t>ρόνοια προορίζεται να καλύψει</w:t>
      </w:r>
      <w:r w:rsidR="000F18D0" w:rsidRPr="00FD5C26">
        <w:rPr>
          <w:rFonts w:ascii="Arial" w:hAnsi="Arial" w:cs="Arial"/>
          <w:sz w:val="20"/>
          <w:szCs w:val="20"/>
        </w:rPr>
        <w:t xml:space="preserve"> </w:t>
      </w:r>
      <w:r w:rsidR="00692A95">
        <w:rPr>
          <w:rFonts w:ascii="Arial" w:hAnsi="Arial" w:cs="Arial"/>
          <w:sz w:val="20"/>
          <w:szCs w:val="20"/>
        </w:rPr>
        <w:t>δαπάνες για τη</w:t>
      </w:r>
      <w:r w:rsidR="00893AB7">
        <w:rPr>
          <w:rFonts w:ascii="Arial" w:hAnsi="Arial" w:cs="Arial"/>
          <w:sz w:val="20"/>
          <w:szCs w:val="20"/>
        </w:rPr>
        <w:t xml:space="preserve"> διατήρηση </w:t>
      </w:r>
      <w:r w:rsidR="00692A95">
        <w:rPr>
          <w:rFonts w:ascii="Arial" w:hAnsi="Arial" w:cs="Arial"/>
          <w:sz w:val="20"/>
          <w:szCs w:val="20"/>
        </w:rPr>
        <w:t>της πλατφόρμας και</w:t>
      </w:r>
      <w:r w:rsidR="00893AB7">
        <w:rPr>
          <w:rFonts w:ascii="Arial" w:hAnsi="Arial" w:cs="Arial"/>
          <w:sz w:val="20"/>
          <w:szCs w:val="20"/>
        </w:rPr>
        <w:t xml:space="preserve"> τυχόν αναγκαίας αναβάθμισης της. Η συγκεκριμένη δαπάνη προκύπτει από την υλοποίηση του Σχεδίου Εστία.</w:t>
      </w:r>
    </w:p>
    <w:p w:rsidR="00AA01F8" w:rsidRDefault="00AA01F8" w:rsidP="000915DB">
      <w:pPr>
        <w:spacing w:after="0" w:line="240" w:lineRule="auto"/>
        <w:ind w:left="-10"/>
        <w:jc w:val="both"/>
        <w:rPr>
          <w:rFonts w:ascii="Arial" w:hAnsi="Arial" w:cs="Arial"/>
          <w:sz w:val="20"/>
          <w:szCs w:val="20"/>
        </w:rPr>
      </w:pPr>
    </w:p>
    <w:p w:rsidR="00CA4370" w:rsidRPr="003F3683" w:rsidRDefault="00CA4370" w:rsidP="00CA4370">
      <w:pPr>
        <w:jc w:val="both"/>
        <w:rPr>
          <w:rFonts w:ascii="Arial" w:hAnsi="Arial" w:cs="Arial"/>
          <w:b/>
          <w:sz w:val="20"/>
          <w:szCs w:val="20"/>
          <w:u w:val="single"/>
        </w:rPr>
      </w:pPr>
      <w:r>
        <w:rPr>
          <w:rFonts w:ascii="Arial" w:hAnsi="Arial" w:cs="Arial"/>
          <w:b/>
          <w:sz w:val="20"/>
          <w:szCs w:val="20"/>
          <w:u w:val="single"/>
        </w:rPr>
        <w:t>Άρθρο 03077</w:t>
      </w:r>
      <w:r w:rsidRPr="00CE6659">
        <w:rPr>
          <w:rFonts w:ascii="Arial" w:hAnsi="Arial" w:cs="Arial"/>
          <w:b/>
          <w:sz w:val="20"/>
          <w:szCs w:val="20"/>
          <w:u w:val="single"/>
        </w:rPr>
        <w:t xml:space="preserve"> «</w:t>
      </w:r>
      <w:r>
        <w:rPr>
          <w:rFonts w:ascii="Arial" w:hAnsi="Arial" w:cs="Arial"/>
          <w:b/>
          <w:sz w:val="20"/>
          <w:szCs w:val="20"/>
          <w:u w:val="single"/>
        </w:rPr>
        <w:t>Κόστος Εκτιμήσεων</w:t>
      </w:r>
      <w:r w:rsidRPr="00CE6659">
        <w:rPr>
          <w:rFonts w:ascii="Arial" w:hAnsi="Arial" w:cs="Arial"/>
          <w:b/>
          <w:sz w:val="20"/>
          <w:szCs w:val="20"/>
          <w:u w:val="single"/>
        </w:rPr>
        <w:t>»</w:t>
      </w:r>
      <w:r w:rsidRPr="00CE6659">
        <w:rPr>
          <w:rFonts w:ascii="Arial" w:hAnsi="Arial" w:cs="Arial"/>
          <w:b/>
          <w:sz w:val="20"/>
          <w:szCs w:val="20"/>
          <w:u w:val="single"/>
        </w:rPr>
        <w:tab/>
        <w:t>€</w:t>
      </w:r>
      <w:r w:rsidR="005E708F">
        <w:rPr>
          <w:rFonts w:ascii="Arial" w:hAnsi="Arial" w:cs="Arial"/>
          <w:b/>
          <w:sz w:val="20"/>
          <w:szCs w:val="20"/>
          <w:u w:val="single"/>
        </w:rPr>
        <w:t>90.117</w:t>
      </w:r>
    </w:p>
    <w:p w:rsidR="00CA4370" w:rsidRPr="00B603E5" w:rsidRDefault="00CA4370" w:rsidP="0057089A">
      <w:pPr>
        <w:jc w:val="both"/>
        <w:rPr>
          <w:rFonts w:eastAsia="Calibri"/>
          <w:bCs/>
        </w:rPr>
      </w:pPr>
      <w:r>
        <w:rPr>
          <w:rFonts w:ascii="Arial" w:hAnsi="Arial" w:cs="Arial"/>
          <w:sz w:val="20"/>
          <w:szCs w:val="20"/>
        </w:rPr>
        <w:t>Η προτεινόμενη πρόνοια προορίζεται να καλύψει το κόστος επανεκτίμησης στ</w:t>
      </w:r>
      <w:r w:rsidR="00E725E3">
        <w:rPr>
          <w:rFonts w:ascii="Arial" w:hAnsi="Arial" w:cs="Arial"/>
          <w:sz w:val="20"/>
          <w:szCs w:val="20"/>
        </w:rPr>
        <w:t>α</w:t>
      </w:r>
      <w:r>
        <w:rPr>
          <w:rFonts w:ascii="Arial" w:hAnsi="Arial" w:cs="Arial"/>
          <w:sz w:val="20"/>
          <w:szCs w:val="20"/>
        </w:rPr>
        <w:t xml:space="preserve"> πλαίσι</w:t>
      </w:r>
      <w:r w:rsidR="00E725E3">
        <w:rPr>
          <w:rFonts w:ascii="Arial" w:hAnsi="Arial" w:cs="Arial"/>
          <w:sz w:val="20"/>
          <w:szCs w:val="20"/>
        </w:rPr>
        <w:t>α της εφαρμογής του Σχεδίου ΟΙΚΙΑ</w:t>
      </w:r>
      <w:r w:rsidR="00E725E3" w:rsidRPr="00E725E3">
        <w:t xml:space="preserve"> </w:t>
      </w:r>
      <w:r w:rsidR="00E725E3">
        <w:rPr>
          <w:rFonts w:ascii="Arial" w:hAnsi="Arial" w:cs="Arial"/>
          <w:sz w:val="20"/>
          <w:szCs w:val="20"/>
        </w:rPr>
        <w:t>βασισμένη</w:t>
      </w:r>
      <w:r w:rsidR="00E725E3" w:rsidRPr="00E725E3">
        <w:rPr>
          <w:rFonts w:ascii="Arial" w:hAnsi="Arial" w:cs="Arial"/>
          <w:sz w:val="20"/>
          <w:szCs w:val="20"/>
        </w:rPr>
        <w:t xml:space="preserve"> στα επιλέξιμα δάνεια σύμφωνα με τους προκαταρκτικούς υπολογισμούς</w:t>
      </w:r>
      <w:r w:rsidR="00E725E3">
        <w:rPr>
          <w:rFonts w:ascii="Arial" w:hAnsi="Arial" w:cs="Arial"/>
          <w:sz w:val="20"/>
          <w:szCs w:val="20"/>
        </w:rPr>
        <w:t>. Επιπρόσ</w:t>
      </w:r>
      <w:r w:rsidR="00893AB7">
        <w:rPr>
          <w:rFonts w:ascii="Arial" w:hAnsi="Arial" w:cs="Arial"/>
          <w:sz w:val="20"/>
          <w:szCs w:val="20"/>
        </w:rPr>
        <w:t>θετα περιλαμβάνει και το κόστος</w:t>
      </w:r>
      <w:r>
        <w:rPr>
          <w:rFonts w:ascii="Arial" w:hAnsi="Arial" w:cs="Arial"/>
          <w:sz w:val="20"/>
          <w:szCs w:val="20"/>
        </w:rPr>
        <w:t xml:space="preserve"> εκτιμήσεων για όλο το χαρτοφυλάκιο του </w:t>
      </w:r>
      <w:r w:rsidR="00C827E0">
        <w:rPr>
          <w:rFonts w:ascii="Arial" w:hAnsi="Arial" w:cs="Arial"/>
          <w:sz w:val="20"/>
          <w:szCs w:val="20"/>
        </w:rPr>
        <w:t xml:space="preserve">Οργανισμού </w:t>
      </w:r>
      <w:r>
        <w:rPr>
          <w:rFonts w:ascii="Arial" w:hAnsi="Arial" w:cs="Arial"/>
          <w:sz w:val="20"/>
          <w:szCs w:val="20"/>
        </w:rPr>
        <w:t>στα πλαίσια</w:t>
      </w:r>
      <w:r w:rsidR="008F41DF">
        <w:rPr>
          <w:rFonts w:ascii="Arial" w:hAnsi="Arial" w:cs="Arial"/>
          <w:sz w:val="20"/>
          <w:szCs w:val="20"/>
        </w:rPr>
        <w:t xml:space="preserve"> της εφαρμογής</w:t>
      </w:r>
      <w:r>
        <w:rPr>
          <w:rFonts w:ascii="Arial" w:hAnsi="Arial" w:cs="Arial"/>
          <w:sz w:val="20"/>
          <w:szCs w:val="20"/>
        </w:rPr>
        <w:t xml:space="preserve"> επικαιροποιήσεων των βάσεων δεδομένων του όσον αφορά</w:t>
      </w:r>
      <w:r w:rsidR="0057089A">
        <w:rPr>
          <w:rFonts w:ascii="Arial" w:hAnsi="Arial" w:cs="Arial"/>
          <w:sz w:val="20"/>
          <w:szCs w:val="20"/>
        </w:rPr>
        <w:t xml:space="preserve"> την αξία των διασφαλίσεων του. Η προτεινόμενη</w:t>
      </w:r>
      <w:r w:rsidR="00634E9A">
        <w:rPr>
          <w:rFonts w:ascii="Arial" w:hAnsi="Arial" w:cs="Arial"/>
          <w:sz w:val="20"/>
          <w:szCs w:val="20"/>
        </w:rPr>
        <w:t xml:space="preserve"> </w:t>
      </w:r>
      <w:r w:rsidR="00634E9A" w:rsidRPr="005362AF">
        <w:rPr>
          <w:rFonts w:ascii="Arial" w:hAnsi="Arial" w:cs="Arial"/>
          <w:sz w:val="20"/>
          <w:szCs w:val="20"/>
        </w:rPr>
        <w:t>συνολική</w:t>
      </w:r>
      <w:r w:rsidR="0057089A">
        <w:rPr>
          <w:rFonts w:ascii="Arial" w:hAnsi="Arial" w:cs="Arial"/>
          <w:sz w:val="20"/>
          <w:szCs w:val="20"/>
        </w:rPr>
        <w:t xml:space="preserve"> πρόνοια </w:t>
      </w:r>
      <w:r w:rsidR="000F18D0">
        <w:rPr>
          <w:rFonts w:ascii="Arial" w:hAnsi="Arial" w:cs="Arial"/>
          <w:sz w:val="20"/>
          <w:szCs w:val="20"/>
        </w:rPr>
        <w:t xml:space="preserve">είναι </w:t>
      </w:r>
      <w:r w:rsidR="001B78D9">
        <w:rPr>
          <w:rFonts w:ascii="Arial" w:hAnsi="Arial" w:cs="Arial"/>
          <w:sz w:val="20"/>
          <w:szCs w:val="20"/>
        </w:rPr>
        <w:t xml:space="preserve">περίπου στο μισό του </w:t>
      </w:r>
      <w:r w:rsidR="000F18D0">
        <w:rPr>
          <w:rFonts w:ascii="Arial" w:hAnsi="Arial" w:cs="Arial"/>
          <w:sz w:val="20"/>
          <w:szCs w:val="20"/>
        </w:rPr>
        <w:t>ποσ</w:t>
      </w:r>
      <w:r w:rsidR="001B78D9">
        <w:rPr>
          <w:rFonts w:ascii="Arial" w:hAnsi="Arial" w:cs="Arial"/>
          <w:sz w:val="20"/>
          <w:szCs w:val="20"/>
        </w:rPr>
        <w:t>ού</w:t>
      </w:r>
      <w:r w:rsidR="000F18D0">
        <w:rPr>
          <w:rFonts w:ascii="Arial" w:hAnsi="Arial" w:cs="Arial"/>
          <w:sz w:val="20"/>
          <w:szCs w:val="20"/>
        </w:rPr>
        <w:t xml:space="preserve"> πρόνοιας για το έτος 202</w:t>
      </w:r>
      <w:r w:rsidR="001B78D9">
        <w:rPr>
          <w:rFonts w:ascii="Arial" w:hAnsi="Arial" w:cs="Arial"/>
          <w:sz w:val="20"/>
          <w:szCs w:val="20"/>
        </w:rPr>
        <w:t>1</w:t>
      </w:r>
      <w:r w:rsidR="000F18D0">
        <w:rPr>
          <w:rFonts w:ascii="Arial" w:hAnsi="Arial" w:cs="Arial"/>
          <w:sz w:val="20"/>
          <w:szCs w:val="20"/>
        </w:rPr>
        <w:t xml:space="preserve"> </w:t>
      </w:r>
      <w:r w:rsidR="000F18D0" w:rsidRPr="00FD5C26">
        <w:rPr>
          <w:rFonts w:ascii="Arial" w:hAnsi="Arial" w:cs="Arial"/>
          <w:sz w:val="20"/>
          <w:szCs w:val="20"/>
        </w:rPr>
        <w:t>ενώ για τα επόμενα έτη έχει συμπεριληφθεί χαμηλότερο ποσό πρόνοιας καθώς τα πλείστα δάνεια θα έχουν ανεξάρτητη εκτίμηση του υποθηκευμένου ή/και χρηματοδοτούμενου ακινήτου και τυχόν έξοδα εκτιμήσεων θα αφορούν ακίνητα τα οποία θα πρέπει να επανεκτιμηθούν για σκοπούς επικαιροποίησης των βάσεων δεδομένων</w:t>
      </w:r>
      <w:r w:rsidR="0057089A">
        <w:rPr>
          <w:rFonts w:ascii="Arial" w:hAnsi="Arial" w:cs="Arial"/>
          <w:sz w:val="20"/>
          <w:szCs w:val="20"/>
        </w:rPr>
        <w:t xml:space="preserve">. </w:t>
      </w:r>
      <w:r w:rsidRPr="00CA4370">
        <w:rPr>
          <w:rFonts w:ascii="Arial" w:hAnsi="Arial" w:cs="Arial"/>
          <w:sz w:val="20"/>
          <w:szCs w:val="20"/>
        </w:rPr>
        <w:t>Το κόστος θα πρέπει να το επωμιστεί ο Οργανισμός όσον αφορά την εξωτερική εκτίμηση και ανέρχεται στα €80</w:t>
      </w:r>
      <w:r w:rsidR="001B78D9">
        <w:rPr>
          <w:rFonts w:ascii="Arial" w:hAnsi="Arial" w:cs="Arial"/>
          <w:sz w:val="20"/>
          <w:szCs w:val="20"/>
        </w:rPr>
        <w:t xml:space="preserve"> </w:t>
      </w:r>
      <w:r w:rsidRPr="00CA4370">
        <w:rPr>
          <w:rFonts w:ascii="Arial" w:hAnsi="Arial" w:cs="Arial"/>
          <w:sz w:val="20"/>
          <w:szCs w:val="20"/>
        </w:rPr>
        <w:t>+ ΦΠΑ. Το συγκεκριμένο έργο είναι σημαντικό να ολοκληρωθεί καθώς θα μειώσει σημαντικά τον πιστωτικό κίνδυνο του Οργανισμού αφού πλέον θα μπορεί να τεκμηριώσει στις Εποπτικές Αρχές την επάρκεια των εξασφαλίσεων του δανειακού χαρτοφυλακίου του. Επιπρόσθετα, θα μειώσει σημαντικά τον λειτουργικό κίνδυνο. Σημειώνεται, ότι τόσο ο πιστωτικός όσο και ο λειτουργικός κίνδυνος αποτελούν συνιστώσες στον καθορισμό των κεφαλαιακών απαιτήσεων του Οργανισμού που επιβάλει η Εποπτική Αρχή</w:t>
      </w:r>
      <w:r>
        <w:rPr>
          <w:rFonts w:ascii="Arial" w:hAnsi="Arial" w:cs="Arial"/>
          <w:sz w:val="20"/>
          <w:szCs w:val="20"/>
        </w:rPr>
        <w:t>.</w:t>
      </w:r>
    </w:p>
    <w:p w:rsidR="003E689C" w:rsidRDefault="003E689C" w:rsidP="000915DB">
      <w:pPr>
        <w:spacing w:after="0" w:line="240" w:lineRule="auto"/>
        <w:ind w:left="-10"/>
        <w:jc w:val="both"/>
        <w:rPr>
          <w:rFonts w:ascii="Arial" w:hAnsi="Arial" w:cs="Arial"/>
          <w:sz w:val="20"/>
          <w:szCs w:val="20"/>
        </w:rPr>
      </w:pPr>
    </w:p>
    <w:p w:rsidR="00B938E6" w:rsidRPr="003F3683" w:rsidRDefault="00B938E6" w:rsidP="00B938E6">
      <w:pPr>
        <w:jc w:val="both"/>
        <w:rPr>
          <w:rFonts w:ascii="Arial" w:hAnsi="Arial" w:cs="Arial"/>
          <w:b/>
          <w:sz w:val="20"/>
          <w:szCs w:val="20"/>
          <w:u w:val="single"/>
        </w:rPr>
      </w:pPr>
      <w:r>
        <w:rPr>
          <w:rFonts w:ascii="Arial" w:hAnsi="Arial" w:cs="Arial"/>
          <w:b/>
          <w:sz w:val="20"/>
          <w:szCs w:val="20"/>
          <w:u w:val="single"/>
        </w:rPr>
        <w:lastRenderedPageBreak/>
        <w:t>Άρθρο 03078</w:t>
      </w:r>
      <w:r w:rsidRPr="00CE6659">
        <w:rPr>
          <w:rFonts w:ascii="Arial" w:hAnsi="Arial" w:cs="Arial"/>
          <w:b/>
          <w:sz w:val="20"/>
          <w:szCs w:val="20"/>
          <w:u w:val="single"/>
        </w:rPr>
        <w:t xml:space="preserve"> «</w:t>
      </w:r>
      <w:r>
        <w:rPr>
          <w:rFonts w:ascii="Arial" w:hAnsi="Arial" w:cs="Arial"/>
          <w:b/>
          <w:sz w:val="20"/>
          <w:szCs w:val="20"/>
          <w:u w:val="single"/>
        </w:rPr>
        <w:t>Διαχείριση Μη Εξυπηρετούμενων Δανείων</w:t>
      </w:r>
      <w:r w:rsidRPr="00CE6659">
        <w:rPr>
          <w:rFonts w:ascii="Arial" w:hAnsi="Arial" w:cs="Arial"/>
          <w:b/>
          <w:sz w:val="20"/>
          <w:szCs w:val="20"/>
          <w:u w:val="single"/>
        </w:rPr>
        <w:t>»</w:t>
      </w:r>
      <w:r w:rsidRPr="00CE6659">
        <w:rPr>
          <w:rFonts w:ascii="Arial" w:hAnsi="Arial" w:cs="Arial"/>
          <w:b/>
          <w:sz w:val="20"/>
          <w:szCs w:val="20"/>
          <w:u w:val="single"/>
        </w:rPr>
        <w:tab/>
        <w:t>€</w:t>
      </w:r>
      <w:r w:rsidR="004E7BC4">
        <w:rPr>
          <w:rFonts w:ascii="Arial" w:hAnsi="Arial" w:cs="Arial"/>
          <w:b/>
          <w:sz w:val="20"/>
          <w:szCs w:val="20"/>
          <w:u w:val="single"/>
        </w:rPr>
        <w:t>1.25</w:t>
      </w:r>
      <w:r>
        <w:rPr>
          <w:rFonts w:ascii="Arial" w:hAnsi="Arial" w:cs="Arial"/>
          <w:b/>
          <w:sz w:val="20"/>
          <w:szCs w:val="20"/>
          <w:u w:val="single"/>
        </w:rPr>
        <w:t>0.000</w:t>
      </w:r>
    </w:p>
    <w:p w:rsidR="000F18D0" w:rsidRPr="00B603E5" w:rsidRDefault="00B938E6" w:rsidP="000F18D0">
      <w:pPr>
        <w:jc w:val="both"/>
        <w:rPr>
          <w:rFonts w:ascii="Arial" w:hAnsi="Arial" w:cs="Arial"/>
          <w:sz w:val="20"/>
          <w:szCs w:val="20"/>
        </w:rPr>
      </w:pPr>
      <w:r w:rsidRPr="003E689C">
        <w:rPr>
          <w:rFonts w:ascii="Arial" w:hAnsi="Arial" w:cs="Arial"/>
          <w:sz w:val="20"/>
          <w:szCs w:val="20"/>
        </w:rPr>
        <w:t>Η προτεινόμενη πρόνοια προορίζεται για να καλύψει τ</w:t>
      </w:r>
      <w:r w:rsidR="000F18D0" w:rsidRPr="00FD5C26">
        <w:rPr>
          <w:rFonts w:ascii="Arial" w:hAnsi="Arial" w:cs="Arial"/>
          <w:sz w:val="20"/>
          <w:szCs w:val="20"/>
        </w:rPr>
        <w:t xml:space="preserve">ην αμοιβή των Διαχειριστών των ΜΕΔ (βάσει ΕΑΤ) και προβληματικών δανειοληπτών. </w:t>
      </w:r>
      <w:r w:rsidR="000F18D0" w:rsidRPr="00C827E0">
        <w:rPr>
          <w:rFonts w:ascii="Arial" w:hAnsi="Arial" w:cs="Arial"/>
          <w:sz w:val="20"/>
          <w:szCs w:val="20"/>
        </w:rPr>
        <w:t>Αναμένεται ότι εντός του τελευταίου τριμήνου του 202</w:t>
      </w:r>
      <w:r w:rsidR="005F3CA5" w:rsidRPr="00C827E0">
        <w:rPr>
          <w:rFonts w:ascii="Arial" w:hAnsi="Arial" w:cs="Arial"/>
          <w:sz w:val="20"/>
          <w:szCs w:val="20"/>
        </w:rPr>
        <w:t>1</w:t>
      </w:r>
      <w:r w:rsidR="000F18D0" w:rsidRPr="00C827E0">
        <w:rPr>
          <w:rFonts w:ascii="Arial" w:hAnsi="Arial" w:cs="Arial"/>
          <w:sz w:val="20"/>
          <w:szCs w:val="20"/>
        </w:rPr>
        <w:t xml:space="preserve"> η ανάθεση της προσφοράς θα υλοποιηθεί και</w:t>
      </w:r>
      <w:r w:rsidR="000F18D0" w:rsidRPr="00FD5C26">
        <w:rPr>
          <w:rFonts w:ascii="Arial" w:hAnsi="Arial" w:cs="Arial"/>
          <w:sz w:val="20"/>
          <w:szCs w:val="20"/>
        </w:rPr>
        <w:t xml:space="preserve"> τα έξοδα σχετικά με την αμοιβή τους έχουν συμπεριληφθεί στα έτη 202</w:t>
      </w:r>
      <w:r w:rsidR="005F3CA5">
        <w:rPr>
          <w:rFonts w:ascii="Arial" w:hAnsi="Arial" w:cs="Arial"/>
          <w:sz w:val="20"/>
          <w:szCs w:val="20"/>
        </w:rPr>
        <w:t>2</w:t>
      </w:r>
      <w:r w:rsidR="000F18D0" w:rsidRPr="00FD5C26">
        <w:rPr>
          <w:rFonts w:ascii="Arial" w:hAnsi="Arial" w:cs="Arial"/>
          <w:sz w:val="20"/>
          <w:szCs w:val="20"/>
        </w:rPr>
        <w:t>-202</w:t>
      </w:r>
      <w:r w:rsidR="005F3CA5">
        <w:rPr>
          <w:rFonts w:ascii="Arial" w:hAnsi="Arial" w:cs="Arial"/>
          <w:sz w:val="20"/>
          <w:szCs w:val="20"/>
        </w:rPr>
        <w:t>4</w:t>
      </w:r>
      <w:r w:rsidR="000F18D0" w:rsidRPr="00FD5C26">
        <w:rPr>
          <w:rFonts w:ascii="Arial" w:hAnsi="Arial" w:cs="Arial"/>
          <w:sz w:val="20"/>
          <w:szCs w:val="20"/>
        </w:rPr>
        <w:t xml:space="preserve">. Σημειώνεται ότι η προσφορά έχει συνολική αξία €5 εκατ. και η αμοιβή αποτελείται από δύο μέρη: ένα σταθερό ποσό ανά πελάτη όπου θα δίνεται με την παραλαβή και μελέτη ενός πελάτη και ποσοστό ανάλογα με το είδος ρύθμισης/επίλυσης του προβληματικού δανειολήπτη. </w:t>
      </w:r>
    </w:p>
    <w:p w:rsidR="003E689C" w:rsidRPr="00FD5C26" w:rsidRDefault="00B938E6" w:rsidP="003E689C">
      <w:pPr>
        <w:jc w:val="both"/>
        <w:rPr>
          <w:rFonts w:ascii="Arial" w:hAnsi="Arial" w:cs="Arial"/>
          <w:b/>
          <w:sz w:val="20"/>
          <w:szCs w:val="20"/>
          <w:u w:val="single"/>
        </w:rPr>
      </w:pPr>
      <w:r w:rsidRPr="00FD5C26">
        <w:rPr>
          <w:rFonts w:ascii="Arial" w:hAnsi="Arial" w:cs="Arial"/>
          <w:b/>
          <w:sz w:val="20"/>
          <w:szCs w:val="20"/>
          <w:u w:val="single"/>
        </w:rPr>
        <w:t xml:space="preserve"> </w:t>
      </w:r>
      <w:r w:rsidR="003E689C" w:rsidRPr="00FD5C26">
        <w:rPr>
          <w:rFonts w:ascii="Arial" w:hAnsi="Arial" w:cs="Arial"/>
          <w:b/>
          <w:sz w:val="20"/>
          <w:szCs w:val="20"/>
          <w:u w:val="single"/>
        </w:rPr>
        <w:t xml:space="preserve">Άρθρο 03104 «Αντιμισθία Προέδρου και Μελών Επιτροπής» </w:t>
      </w:r>
      <w:r w:rsidR="005F3CA5">
        <w:rPr>
          <w:rFonts w:ascii="Arial" w:hAnsi="Arial" w:cs="Arial"/>
          <w:b/>
          <w:sz w:val="20"/>
          <w:szCs w:val="20"/>
          <w:u w:val="single"/>
        </w:rPr>
        <w:tab/>
      </w:r>
      <w:r w:rsidR="003E689C" w:rsidRPr="00FD5C26">
        <w:rPr>
          <w:rFonts w:ascii="Arial" w:hAnsi="Arial" w:cs="Arial"/>
          <w:b/>
          <w:sz w:val="20"/>
          <w:szCs w:val="20"/>
          <w:u w:val="single"/>
        </w:rPr>
        <w:t>€</w:t>
      </w:r>
      <w:r w:rsidR="005F3CA5">
        <w:rPr>
          <w:rFonts w:ascii="Arial" w:hAnsi="Arial" w:cs="Arial"/>
          <w:b/>
          <w:sz w:val="20"/>
          <w:szCs w:val="20"/>
          <w:u w:val="single"/>
        </w:rPr>
        <w:t>5</w:t>
      </w:r>
      <w:r w:rsidR="003E689C" w:rsidRPr="00FD5C26">
        <w:rPr>
          <w:rFonts w:ascii="Arial" w:hAnsi="Arial" w:cs="Arial"/>
          <w:b/>
          <w:sz w:val="20"/>
          <w:szCs w:val="20"/>
          <w:u w:val="single"/>
        </w:rPr>
        <w:t>0.000</w:t>
      </w:r>
    </w:p>
    <w:p w:rsidR="003E689C" w:rsidRDefault="003E689C" w:rsidP="003E689C">
      <w:pPr>
        <w:jc w:val="both"/>
        <w:rPr>
          <w:rFonts w:ascii="Arial" w:hAnsi="Arial" w:cs="Arial"/>
          <w:sz w:val="20"/>
          <w:szCs w:val="20"/>
        </w:rPr>
      </w:pPr>
      <w:r w:rsidRPr="003E689C">
        <w:rPr>
          <w:rFonts w:ascii="Arial" w:hAnsi="Arial" w:cs="Arial"/>
          <w:sz w:val="20"/>
          <w:szCs w:val="20"/>
        </w:rPr>
        <w:t xml:space="preserve">Η προτεινόμενη πρόνοια προορίζεται για να καλύψει την αμοιβή του Προέδρου και των Μελών </w:t>
      </w:r>
      <w:r>
        <w:rPr>
          <w:rFonts w:ascii="Arial" w:hAnsi="Arial" w:cs="Arial"/>
          <w:sz w:val="20"/>
          <w:szCs w:val="20"/>
        </w:rPr>
        <w:t xml:space="preserve">του </w:t>
      </w:r>
      <w:r w:rsidR="00ED7845">
        <w:rPr>
          <w:rFonts w:ascii="Arial" w:hAnsi="Arial" w:cs="Arial"/>
          <w:sz w:val="20"/>
          <w:szCs w:val="20"/>
        </w:rPr>
        <w:t xml:space="preserve">Διοικητικού </w:t>
      </w:r>
      <w:r>
        <w:rPr>
          <w:rFonts w:ascii="Arial" w:hAnsi="Arial" w:cs="Arial"/>
          <w:sz w:val="20"/>
          <w:szCs w:val="20"/>
        </w:rPr>
        <w:t>Συμβουλίου</w:t>
      </w:r>
      <w:r w:rsidR="00ED7845">
        <w:rPr>
          <w:rFonts w:ascii="Arial" w:hAnsi="Arial" w:cs="Arial"/>
          <w:sz w:val="20"/>
          <w:szCs w:val="20"/>
        </w:rPr>
        <w:t xml:space="preserve"> (ΔΣ)</w:t>
      </w:r>
      <w:r>
        <w:rPr>
          <w:rFonts w:ascii="Arial" w:hAnsi="Arial" w:cs="Arial"/>
          <w:sz w:val="20"/>
          <w:szCs w:val="20"/>
        </w:rPr>
        <w:t xml:space="preserve"> προς €</w:t>
      </w:r>
      <w:r w:rsidR="005F3CA5">
        <w:rPr>
          <w:rFonts w:ascii="Arial" w:hAnsi="Arial" w:cs="Arial"/>
          <w:sz w:val="20"/>
          <w:szCs w:val="20"/>
        </w:rPr>
        <w:t>20</w:t>
      </w:r>
      <w:r>
        <w:rPr>
          <w:rFonts w:ascii="Arial" w:hAnsi="Arial" w:cs="Arial"/>
          <w:sz w:val="20"/>
          <w:szCs w:val="20"/>
        </w:rPr>
        <w:t xml:space="preserve">0,00 για </w:t>
      </w:r>
      <w:r w:rsidR="00893AB7">
        <w:rPr>
          <w:rFonts w:ascii="Arial" w:hAnsi="Arial" w:cs="Arial"/>
          <w:sz w:val="20"/>
          <w:szCs w:val="20"/>
        </w:rPr>
        <w:t>7</w:t>
      </w:r>
      <w:r w:rsidRPr="003E689C">
        <w:rPr>
          <w:rFonts w:ascii="Arial" w:hAnsi="Arial" w:cs="Arial"/>
          <w:sz w:val="20"/>
          <w:szCs w:val="20"/>
        </w:rPr>
        <w:t xml:space="preserve"> Μέλη</w:t>
      </w:r>
      <w:r w:rsidR="00893AB7">
        <w:rPr>
          <w:rFonts w:ascii="Arial" w:hAnsi="Arial" w:cs="Arial"/>
          <w:sz w:val="20"/>
          <w:szCs w:val="20"/>
        </w:rPr>
        <w:t xml:space="preserve"> για τις πρώτες τέσσερις συνεδρίες κάθε μήνα και στα €50,00 ανά συνεδρία για τις επιπλέον συνεδρίες του μήνα, </w:t>
      </w:r>
      <w:r w:rsidRPr="003E689C">
        <w:rPr>
          <w:rFonts w:ascii="Arial" w:hAnsi="Arial" w:cs="Arial"/>
          <w:sz w:val="20"/>
          <w:szCs w:val="20"/>
        </w:rPr>
        <w:t xml:space="preserve">του </w:t>
      </w:r>
      <w:r w:rsidR="00ED7845">
        <w:rPr>
          <w:rFonts w:ascii="Arial" w:hAnsi="Arial" w:cs="Arial"/>
          <w:sz w:val="20"/>
          <w:szCs w:val="20"/>
        </w:rPr>
        <w:t>ΔΣ και των Επιτροπών του ΔΣ</w:t>
      </w:r>
      <w:r w:rsidRPr="003E689C">
        <w:rPr>
          <w:rFonts w:ascii="Arial" w:hAnsi="Arial" w:cs="Arial"/>
          <w:sz w:val="20"/>
          <w:szCs w:val="20"/>
        </w:rPr>
        <w:t>.</w:t>
      </w:r>
      <w:r w:rsidR="00ED7845">
        <w:rPr>
          <w:rFonts w:ascii="Arial" w:hAnsi="Arial" w:cs="Arial"/>
          <w:sz w:val="20"/>
          <w:szCs w:val="20"/>
        </w:rPr>
        <w:t xml:space="preserve"> Συμπεριλαμβάνει την αντιμισθία του Προέδρου του Διοικητικού Συμβουλίου </w:t>
      </w:r>
      <w:r w:rsidR="00ED7845" w:rsidRPr="005362AF">
        <w:rPr>
          <w:rFonts w:ascii="Arial" w:hAnsi="Arial" w:cs="Arial"/>
          <w:sz w:val="20"/>
          <w:szCs w:val="20"/>
        </w:rPr>
        <w:t>ύψους €1.282.</w:t>
      </w:r>
    </w:p>
    <w:p w:rsidR="003E689C" w:rsidRDefault="003E689C" w:rsidP="003E689C">
      <w:pPr>
        <w:jc w:val="both"/>
        <w:rPr>
          <w:rFonts w:ascii="Arial" w:hAnsi="Arial" w:cs="Arial"/>
          <w:b/>
          <w:sz w:val="20"/>
          <w:szCs w:val="20"/>
          <w:u w:val="single"/>
        </w:rPr>
      </w:pPr>
      <w:r w:rsidRPr="00CE6659">
        <w:rPr>
          <w:rFonts w:ascii="Arial" w:hAnsi="Arial" w:cs="Arial"/>
          <w:b/>
          <w:sz w:val="20"/>
          <w:szCs w:val="20"/>
          <w:u w:val="single"/>
        </w:rPr>
        <w:t>Άρθρο 0</w:t>
      </w:r>
      <w:r w:rsidR="00ED7845">
        <w:rPr>
          <w:rFonts w:ascii="Arial" w:hAnsi="Arial" w:cs="Arial"/>
          <w:b/>
          <w:sz w:val="20"/>
          <w:szCs w:val="20"/>
          <w:u w:val="single"/>
        </w:rPr>
        <w:t>3105</w:t>
      </w:r>
      <w:r w:rsidRPr="00CE6659">
        <w:rPr>
          <w:rFonts w:ascii="Arial" w:hAnsi="Arial" w:cs="Arial"/>
          <w:b/>
          <w:sz w:val="20"/>
          <w:szCs w:val="20"/>
          <w:u w:val="single"/>
        </w:rPr>
        <w:t xml:space="preserve"> «</w:t>
      </w:r>
      <w:r w:rsidR="00ED7845">
        <w:rPr>
          <w:rFonts w:ascii="Arial" w:hAnsi="Arial" w:cs="Arial"/>
          <w:b/>
          <w:sz w:val="20"/>
          <w:szCs w:val="20"/>
          <w:u w:val="single"/>
        </w:rPr>
        <w:t>Έξοδα Διοικητικού Συμβουλίου</w:t>
      </w:r>
      <w:r>
        <w:rPr>
          <w:rFonts w:ascii="Arial" w:hAnsi="Arial" w:cs="Arial"/>
          <w:b/>
          <w:sz w:val="20"/>
          <w:szCs w:val="20"/>
          <w:u w:val="single"/>
        </w:rPr>
        <w:t xml:space="preserve">» </w:t>
      </w:r>
      <w:r>
        <w:rPr>
          <w:rFonts w:ascii="Arial" w:hAnsi="Arial" w:cs="Arial"/>
          <w:b/>
          <w:sz w:val="20"/>
          <w:szCs w:val="20"/>
          <w:u w:val="single"/>
        </w:rPr>
        <w:tab/>
      </w:r>
      <w:r w:rsidRPr="00CE6659">
        <w:rPr>
          <w:rFonts w:ascii="Arial" w:hAnsi="Arial" w:cs="Arial"/>
          <w:b/>
          <w:sz w:val="20"/>
          <w:szCs w:val="20"/>
          <w:u w:val="single"/>
        </w:rPr>
        <w:t>€</w:t>
      </w:r>
      <w:r w:rsidR="00AA01F8">
        <w:rPr>
          <w:rFonts w:ascii="Arial" w:hAnsi="Arial" w:cs="Arial"/>
          <w:b/>
          <w:sz w:val="20"/>
          <w:szCs w:val="20"/>
          <w:u w:val="single"/>
        </w:rPr>
        <w:t>10.000</w:t>
      </w:r>
    </w:p>
    <w:p w:rsidR="00ED7845" w:rsidRDefault="008D5A74" w:rsidP="003E689C">
      <w:pPr>
        <w:jc w:val="both"/>
        <w:rPr>
          <w:rFonts w:ascii="Arial" w:hAnsi="Arial" w:cs="Arial"/>
          <w:sz w:val="20"/>
          <w:szCs w:val="20"/>
        </w:rPr>
      </w:pPr>
      <w:r w:rsidRPr="008D5A74">
        <w:rPr>
          <w:rFonts w:ascii="Arial" w:hAnsi="Arial" w:cs="Arial"/>
          <w:sz w:val="20"/>
          <w:szCs w:val="20"/>
        </w:rPr>
        <w:t xml:space="preserve">Η προτεινόμενη πρόνοια προορίζεται για την κάλυψη των εξόδων φιλοξενίας για ολοήμερες συναντήσεις και συνεδρίες του </w:t>
      </w:r>
      <w:r w:rsidR="00ED7845">
        <w:rPr>
          <w:rFonts w:ascii="Arial" w:hAnsi="Arial" w:cs="Arial"/>
          <w:sz w:val="20"/>
          <w:szCs w:val="20"/>
        </w:rPr>
        <w:t xml:space="preserve">ΔΣ καθώς και τα οδοιπορικά για Μέλη του ΔΣ όπου η μόνιμη κατοικία τους είναι εκτός Λευκωσίας </w:t>
      </w:r>
      <w:r w:rsidR="00ED7845" w:rsidRPr="005362AF">
        <w:rPr>
          <w:rFonts w:ascii="Arial" w:hAnsi="Arial" w:cs="Arial"/>
          <w:sz w:val="20"/>
          <w:szCs w:val="20"/>
        </w:rPr>
        <w:t>(€0,14/χιλιόμετρο</w:t>
      </w:r>
      <w:r w:rsidR="00ED7845">
        <w:rPr>
          <w:rFonts w:ascii="Arial" w:hAnsi="Arial" w:cs="Arial"/>
          <w:sz w:val="20"/>
          <w:szCs w:val="20"/>
        </w:rPr>
        <w:t>)</w:t>
      </w:r>
      <w:r w:rsidR="000F18D0">
        <w:rPr>
          <w:rFonts w:ascii="Arial" w:hAnsi="Arial" w:cs="Arial"/>
          <w:sz w:val="20"/>
          <w:szCs w:val="20"/>
        </w:rPr>
        <w:t xml:space="preserve">, καθώς επίσης και το κόστος εκπαίδευσης των Μελών του ΔΣ. </w:t>
      </w:r>
    </w:p>
    <w:p w:rsidR="003E689C" w:rsidRDefault="003E689C" w:rsidP="003E689C">
      <w:pPr>
        <w:jc w:val="both"/>
        <w:rPr>
          <w:rFonts w:ascii="Arial" w:hAnsi="Arial" w:cs="Arial"/>
          <w:b/>
          <w:sz w:val="20"/>
          <w:szCs w:val="20"/>
          <w:u w:val="single"/>
        </w:rPr>
      </w:pPr>
      <w:r w:rsidRPr="00CE6659">
        <w:rPr>
          <w:rFonts w:ascii="Arial" w:hAnsi="Arial" w:cs="Arial"/>
          <w:b/>
          <w:sz w:val="20"/>
          <w:szCs w:val="20"/>
          <w:u w:val="single"/>
        </w:rPr>
        <w:t>Άρθρο 0</w:t>
      </w:r>
      <w:r>
        <w:rPr>
          <w:rFonts w:ascii="Arial" w:hAnsi="Arial" w:cs="Arial"/>
          <w:b/>
          <w:sz w:val="20"/>
          <w:szCs w:val="20"/>
          <w:u w:val="single"/>
        </w:rPr>
        <w:t>3144</w:t>
      </w:r>
      <w:r w:rsidRPr="00CE6659">
        <w:rPr>
          <w:rFonts w:ascii="Arial" w:hAnsi="Arial" w:cs="Arial"/>
          <w:b/>
          <w:sz w:val="20"/>
          <w:szCs w:val="20"/>
          <w:u w:val="single"/>
        </w:rPr>
        <w:t xml:space="preserve"> «</w:t>
      </w:r>
      <w:r>
        <w:rPr>
          <w:rFonts w:ascii="Arial" w:hAnsi="Arial" w:cs="Arial"/>
          <w:b/>
          <w:sz w:val="20"/>
          <w:szCs w:val="20"/>
          <w:u w:val="single"/>
        </w:rPr>
        <w:t xml:space="preserve">Φιλοξενία» </w:t>
      </w:r>
      <w:r>
        <w:rPr>
          <w:rFonts w:ascii="Arial" w:hAnsi="Arial" w:cs="Arial"/>
          <w:b/>
          <w:sz w:val="20"/>
          <w:szCs w:val="20"/>
          <w:u w:val="single"/>
        </w:rPr>
        <w:tab/>
      </w:r>
      <w:r w:rsidRPr="00CE6659">
        <w:rPr>
          <w:rFonts w:ascii="Arial" w:hAnsi="Arial" w:cs="Arial"/>
          <w:b/>
          <w:sz w:val="20"/>
          <w:szCs w:val="20"/>
          <w:u w:val="single"/>
        </w:rPr>
        <w:t>€</w:t>
      </w:r>
      <w:r w:rsidR="00AA01F8">
        <w:rPr>
          <w:rFonts w:ascii="Arial" w:hAnsi="Arial" w:cs="Arial"/>
          <w:b/>
          <w:sz w:val="20"/>
          <w:szCs w:val="20"/>
          <w:u w:val="single"/>
        </w:rPr>
        <w:t>10.000</w:t>
      </w:r>
    </w:p>
    <w:p w:rsidR="008D5A74" w:rsidRPr="008D5A74" w:rsidRDefault="008D5A74" w:rsidP="008D5A74">
      <w:pPr>
        <w:jc w:val="both"/>
        <w:rPr>
          <w:rFonts w:ascii="Arial" w:hAnsi="Arial" w:cs="Arial"/>
          <w:sz w:val="20"/>
          <w:szCs w:val="20"/>
        </w:rPr>
      </w:pPr>
      <w:r w:rsidRPr="008D5A74">
        <w:rPr>
          <w:rFonts w:ascii="Arial" w:hAnsi="Arial" w:cs="Arial"/>
          <w:sz w:val="20"/>
          <w:szCs w:val="20"/>
        </w:rPr>
        <w:t xml:space="preserve">Η προτεινόμενη πρόνοια προορίζεται για </w:t>
      </w:r>
      <w:r>
        <w:rPr>
          <w:rFonts w:ascii="Arial" w:hAnsi="Arial" w:cs="Arial"/>
          <w:sz w:val="20"/>
          <w:szCs w:val="20"/>
        </w:rPr>
        <w:t xml:space="preserve">σχετικές δαπάνες όπου και εάν απαιτούνται για προσκεκλημένους του Οργανισμού είτε αυτοί είναι συνεργάτες ή υπάλληλοι οι οποίοι παρακολουθούν </w:t>
      </w:r>
      <w:r w:rsidR="00ED7845">
        <w:rPr>
          <w:rFonts w:ascii="Arial" w:hAnsi="Arial" w:cs="Arial"/>
          <w:sz w:val="20"/>
          <w:szCs w:val="20"/>
        </w:rPr>
        <w:t xml:space="preserve">ολοήμερα </w:t>
      </w:r>
      <w:r>
        <w:rPr>
          <w:rFonts w:ascii="Arial" w:hAnsi="Arial" w:cs="Arial"/>
          <w:sz w:val="20"/>
          <w:szCs w:val="20"/>
        </w:rPr>
        <w:t xml:space="preserve">σεμινάρια που διεξάγονται στα Κεντρικά κτίρια του Οργανισμού. </w:t>
      </w:r>
    </w:p>
    <w:p w:rsidR="002D22C6" w:rsidRPr="0077198E" w:rsidRDefault="002D22C6" w:rsidP="008D5A74">
      <w:pPr>
        <w:jc w:val="both"/>
        <w:rPr>
          <w:rFonts w:ascii="Arial" w:hAnsi="Arial" w:cs="Arial"/>
          <w:b/>
          <w:sz w:val="20"/>
          <w:szCs w:val="20"/>
          <w:u w:val="single"/>
        </w:rPr>
      </w:pPr>
      <w:r w:rsidRPr="00CE6659">
        <w:rPr>
          <w:rFonts w:ascii="Arial" w:hAnsi="Arial" w:cs="Arial"/>
          <w:b/>
          <w:sz w:val="20"/>
          <w:szCs w:val="20"/>
          <w:u w:val="single"/>
        </w:rPr>
        <w:t>Άρθρο 0</w:t>
      </w:r>
      <w:r>
        <w:rPr>
          <w:rFonts w:ascii="Arial" w:hAnsi="Arial" w:cs="Arial"/>
          <w:b/>
          <w:sz w:val="20"/>
          <w:szCs w:val="20"/>
          <w:u w:val="single"/>
        </w:rPr>
        <w:t>3155</w:t>
      </w:r>
      <w:r w:rsidRPr="00CE6659">
        <w:rPr>
          <w:rFonts w:ascii="Arial" w:hAnsi="Arial" w:cs="Arial"/>
          <w:b/>
          <w:sz w:val="20"/>
          <w:szCs w:val="20"/>
          <w:u w:val="single"/>
        </w:rPr>
        <w:t xml:space="preserve"> «</w:t>
      </w:r>
      <w:r>
        <w:rPr>
          <w:rFonts w:ascii="Arial" w:hAnsi="Arial" w:cs="Arial"/>
          <w:b/>
          <w:sz w:val="20"/>
          <w:szCs w:val="20"/>
          <w:u w:val="single"/>
        </w:rPr>
        <w:t>Γραφική ύλη και Εκτυπωτικά</w:t>
      </w:r>
      <w:r w:rsidRPr="00CE6659">
        <w:rPr>
          <w:rFonts w:ascii="Arial" w:hAnsi="Arial" w:cs="Arial"/>
          <w:b/>
          <w:sz w:val="20"/>
          <w:szCs w:val="20"/>
          <w:u w:val="single"/>
        </w:rPr>
        <w:t xml:space="preserve">» </w:t>
      </w:r>
      <w:r w:rsidRPr="00CE6659">
        <w:rPr>
          <w:rFonts w:ascii="Arial" w:hAnsi="Arial" w:cs="Arial"/>
          <w:b/>
          <w:sz w:val="20"/>
          <w:szCs w:val="20"/>
          <w:u w:val="single"/>
        </w:rPr>
        <w:tab/>
        <w:t>€</w:t>
      </w:r>
      <w:r w:rsidR="009A7411">
        <w:rPr>
          <w:rFonts w:ascii="Arial" w:hAnsi="Arial" w:cs="Arial"/>
          <w:b/>
          <w:sz w:val="20"/>
          <w:szCs w:val="20"/>
          <w:u w:val="single"/>
        </w:rPr>
        <w:t>335.893</w:t>
      </w:r>
    </w:p>
    <w:p w:rsidR="002D22C6" w:rsidRDefault="002D22C6" w:rsidP="002D22C6">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w:t>
      </w:r>
      <w:r>
        <w:rPr>
          <w:rFonts w:ascii="Arial" w:hAnsi="Arial" w:cs="Arial"/>
          <w:sz w:val="20"/>
          <w:szCs w:val="20"/>
        </w:rPr>
        <w:t>για τις ανάγκες του Οργανισμού για γραφική ύλη και εκτυπωτικά</w:t>
      </w:r>
      <w:r w:rsidR="00395A2A">
        <w:rPr>
          <w:rFonts w:ascii="Arial" w:hAnsi="Arial" w:cs="Arial"/>
          <w:sz w:val="20"/>
          <w:szCs w:val="20"/>
        </w:rPr>
        <w:t xml:space="preserve"> για</w:t>
      </w:r>
      <w:r>
        <w:rPr>
          <w:rFonts w:ascii="Arial" w:hAnsi="Arial" w:cs="Arial"/>
          <w:sz w:val="20"/>
          <w:szCs w:val="20"/>
        </w:rPr>
        <w:t xml:space="preserve"> καταστάσεις λογαριασμών καθώς και </w:t>
      </w:r>
      <w:r w:rsidR="00395A2A">
        <w:rPr>
          <w:rFonts w:ascii="Arial" w:hAnsi="Arial" w:cs="Arial"/>
          <w:sz w:val="20"/>
          <w:szCs w:val="20"/>
        </w:rPr>
        <w:t xml:space="preserve">σειράς </w:t>
      </w:r>
      <w:r>
        <w:rPr>
          <w:rFonts w:ascii="Arial" w:hAnsi="Arial" w:cs="Arial"/>
          <w:sz w:val="20"/>
          <w:szCs w:val="20"/>
        </w:rPr>
        <w:t>ενημερωτικ</w:t>
      </w:r>
      <w:r w:rsidR="00395A2A">
        <w:rPr>
          <w:rFonts w:ascii="Arial" w:hAnsi="Arial" w:cs="Arial"/>
          <w:sz w:val="20"/>
          <w:szCs w:val="20"/>
        </w:rPr>
        <w:t>ών</w:t>
      </w:r>
      <w:r>
        <w:rPr>
          <w:rFonts w:ascii="Arial" w:hAnsi="Arial" w:cs="Arial"/>
          <w:sz w:val="20"/>
          <w:szCs w:val="20"/>
        </w:rPr>
        <w:t xml:space="preserve"> </w:t>
      </w:r>
      <w:r w:rsidR="00395A2A">
        <w:rPr>
          <w:rFonts w:ascii="Arial" w:hAnsi="Arial" w:cs="Arial"/>
          <w:sz w:val="20"/>
          <w:szCs w:val="20"/>
        </w:rPr>
        <w:t>φυλλαδίων/ επιστολών  που αποστέλλονται στους πελάτες του ΟΧΣ.</w:t>
      </w:r>
    </w:p>
    <w:p w:rsidR="00384310" w:rsidRPr="0077198E" w:rsidRDefault="00384310" w:rsidP="000915DB">
      <w:pPr>
        <w:jc w:val="both"/>
        <w:rPr>
          <w:rFonts w:ascii="Arial" w:hAnsi="Arial" w:cs="Arial"/>
          <w:b/>
          <w:sz w:val="20"/>
          <w:szCs w:val="20"/>
          <w:u w:val="single"/>
        </w:rPr>
      </w:pPr>
      <w:r w:rsidRPr="00CE6659">
        <w:rPr>
          <w:rFonts w:ascii="Arial" w:hAnsi="Arial" w:cs="Arial"/>
          <w:b/>
          <w:sz w:val="20"/>
          <w:szCs w:val="20"/>
          <w:u w:val="single"/>
        </w:rPr>
        <w:t>Άρθρο 03552 «Νομικά έξοδα»</w:t>
      </w:r>
      <w:r w:rsidR="005C0728" w:rsidRPr="00CE6659">
        <w:rPr>
          <w:rFonts w:ascii="Arial" w:hAnsi="Arial" w:cs="Arial"/>
          <w:b/>
          <w:sz w:val="20"/>
          <w:szCs w:val="20"/>
          <w:u w:val="single"/>
        </w:rPr>
        <w:t xml:space="preserve"> </w:t>
      </w:r>
      <w:r w:rsidR="005C0728" w:rsidRPr="00CE6659">
        <w:rPr>
          <w:rFonts w:ascii="Arial" w:hAnsi="Arial" w:cs="Arial"/>
          <w:b/>
          <w:sz w:val="20"/>
          <w:szCs w:val="20"/>
          <w:u w:val="single"/>
        </w:rPr>
        <w:tab/>
      </w:r>
      <w:r w:rsidR="005C0728" w:rsidRPr="00CE6659">
        <w:rPr>
          <w:rFonts w:ascii="Arial" w:hAnsi="Arial" w:cs="Arial"/>
          <w:b/>
          <w:sz w:val="20"/>
          <w:szCs w:val="20"/>
          <w:u w:val="single"/>
        </w:rPr>
        <w:tab/>
        <w:t>€</w:t>
      </w:r>
      <w:r w:rsidR="004830F5">
        <w:rPr>
          <w:rFonts w:ascii="Arial" w:hAnsi="Arial" w:cs="Arial"/>
          <w:b/>
          <w:sz w:val="20"/>
          <w:szCs w:val="20"/>
          <w:u w:val="single"/>
        </w:rPr>
        <w:t>6</w:t>
      </w:r>
      <w:r w:rsidR="009A7411">
        <w:rPr>
          <w:rFonts w:ascii="Arial" w:hAnsi="Arial" w:cs="Arial"/>
          <w:b/>
          <w:sz w:val="20"/>
          <w:szCs w:val="20"/>
          <w:u w:val="single"/>
        </w:rPr>
        <w:t>3</w:t>
      </w:r>
      <w:r w:rsidR="00161BD8">
        <w:rPr>
          <w:rFonts w:ascii="Arial" w:hAnsi="Arial" w:cs="Arial"/>
          <w:b/>
          <w:sz w:val="20"/>
          <w:szCs w:val="20"/>
          <w:u w:val="single"/>
        </w:rPr>
        <w:t>.559</w:t>
      </w:r>
    </w:p>
    <w:p w:rsidR="008D14B8" w:rsidRDefault="00384310" w:rsidP="000915DB">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για την ετήσια αμοιβή των νομικών συμβούλων του Οργανισμού. </w:t>
      </w:r>
      <w:r w:rsidR="004830F5" w:rsidRPr="004830F5">
        <w:rPr>
          <w:rFonts w:ascii="Arial" w:hAnsi="Arial" w:cs="Arial"/>
          <w:sz w:val="20"/>
          <w:szCs w:val="20"/>
        </w:rPr>
        <w:t>Εντός του 2020 ο Οργανισμός έχε</w:t>
      </w:r>
      <w:r w:rsidR="00161BD8">
        <w:rPr>
          <w:rFonts w:ascii="Arial" w:hAnsi="Arial" w:cs="Arial"/>
          <w:sz w:val="20"/>
          <w:szCs w:val="20"/>
        </w:rPr>
        <w:t>ι</w:t>
      </w:r>
      <w:r w:rsidR="004830F5" w:rsidRPr="004830F5">
        <w:rPr>
          <w:rFonts w:ascii="Arial" w:hAnsi="Arial" w:cs="Arial"/>
          <w:sz w:val="20"/>
          <w:szCs w:val="20"/>
        </w:rPr>
        <w:t xml:space="preserve"> συνάψει τρεις διαφορετικές συμβάσεις</w:t>
      </w:r>
      <w:r w:rsidR="004830F5">
        <w:rPr>
          <w:rFonts w:ascii="Arial" w:hAnsi="Arial" w:cs="Arial"/>
          <w:sz w:val="20"/>
          <w:szCs w:val="20"/>
        </w:rPr>
        <w:t xml:space="preserve"> </w:t>
      </w:r>
      <w:r w:rsidR="004830F5" w:rsidRPr="004830F5">
        <w:rPr>
          <w:rFonts w:ascii="Arial" w:hAnsi="Arial" w:cs="Arial"/>
          <w:sz w:val="20"/>
          <w:szCs w:val="20"/>
        </w:rPr>
        <w:t>με νομικούς</w:t>
      </w:r>
      <w:r w:rsidR="00161BD8">
        <w:rPr>
          <w:rFonts w:ascii="Arial" w:hAnsi="Arial" w:cs="Arial"/>
          <w:sz w:val="20"/>
          <w:szCs w:val="20"/>
        </w:rPr>
        <w:t>,</w:t>
      </w:r>
      <w:r w:rsidR="004830F5" w:rsidRPr="004830F5">
        <w:rPr>
          <w:rFonts w:ascii="Arial" w:hAnsi="Arial" w:cs="Arial"/>
          <w:sz w:val="20"/>
          <w:szCs w:val="20"/>
        </w:rPr>
        <w:t xml:space="preserve"> με σκοπό να επιτευχθεί η συνεργασία με νομικά γραφεία που έχουν την εξειδίκευση σε κάθε τομέα ξεχωριστά. Συγκεκριμένα έχει συνάψει τις ακόλουθες συμφωνίες</w:t>
      </w:r>
      <w:r w:rsidR="00FD5C26" w:rsidRPr="00FD5C26">
        <w:rPr>
          <w:rFonts w:ascii="Arial" w:hAnsi="Arial" w:cs="Arial"/>
          <w:sz w:val="20"/>
          <w:szCs w:val="20"/>
        </w:rPr>
        <w:t>:</w:t>
      </w:r>
      <w:r w:rsidR="004830F5" w:rsidRPr="004830F5">
        <w:rPr>
          <w:rFonts w:ascii="Arial" w:hAnsi="Arial" w:cs="Arial"/>
          <w:sz w:val="20"/>
          <w:szCs w:val="20"/>
        </w:rPr>
        <w:t xml:space="preserve"> Νομικές υπηρεσίες για τραπεζικά θέματα, Νομικές Υπηρεσίες για θέματα δημοσίων προσφορών, και Νομικές υπηρεσίες για θέματα προσωπικού. Έχει προϋπολογιστεί το κόστος σύμφωνα με την προσφορά τους €22</w:t>
      </w:r>
      <w:r w:rsidR="00161BD8">
        <w:rPr>
          <w:rFonts w:ascii="Arial" w:hAnsi="Arial" w:cs="Arial"/>
          <w:sz w:val="20"/>
          <w:szCs w:val="20"/>
        </w:rPr>
        <w:t xml:space="preserve"> </w:t>
      </w:r>
      <w:r w:rsidR="004830F5" w:rsidRPr="004830F5">
        <w:rPr>
          <w:rFonts w:ascii="Arial" w:hAnsi="Arial" w:cs="Arial"/>
          <w:sz w:val="20"/>
          <w:szCs w:val="20"/>
        </w:rPr>
        <w:t>χιλ. καθώς επίσης και πρόσθετες νομικές συμβουλές από άλλους νομικούς συμβούλους αξίας €40 χιλ.</w:t>
      </w:r>
    </w:p>
    <w:p w:rsidR="00384310" w:rsidRPr="00CE6659" w:rsidRDefault="00604095" w:rsidP="000915DB">
      <w:pPr>
        <w:jc w:val="both"/>
        <w:rPr>
          <w:rFonts w:ascii="Arial" w:hAnsi="Arial" w:cs="Arial"/>
          <w:b/>
          <w:sz w:val="20"/>
          <w:szCs w:val="20"/>
          <w:u w:val="single"/>
        </w:rPr>
      </w:pPr>
      <w:r w:rsidRPr="00CE6659">
        <w:rPr>
          <w:rFonts w:ascii="Arial" w:hAnsi="Arial" w:cs="Arial"/>
          <w:b/>
          <w:sz w:val="20"/>
          <w:szCs w:val="20"/>
          <w:u w:val="single"/>
        </w:rPr>
        <w:t>Άρθρο 03554</w:t>
      </w:r>
      <w:r w:rsidR="00384310" w:rsidRPr="00CE6659">
        <w:rPr>
          <w:rFonts w:ascii="Arial" w:hAnsi="Arial" w:cs="Arial"/>
          <w:b/>
          <w:sz w:val="20"/>
          <w:szCs w:val="20"/>
          <w:u w:val="single"/>
        </w:rPr>
        <w:t xml:space="preserve"> «Δικαιώματα Εμπειρογνωμόνων Ετοιμασία Μελετών»</w:t>
      </w:r>
      <w:r w:rsidR="00981F6A" w:rsidRPr="00CE6659">
        <w:rPr>
          <w:rFonts w:ascii="Arial" w:hAnsi="Arial" w:cs="Arial"/>
          <w:b/>
          <w:sz w:val="20"/>
          <w:szCs w:val="20"/>
          <w:u w:val="single"/>
        </w:rPr>
        <w:tab/>
      </w:r>
      <w:r w:rsidR="00981F6A" w:rsidRPr="00CE6659">
        <w:rPr>
          <w:rFonts w:ascii="Arial" w:hAnsi="Arial" w:cs="Arial"/>
          <w:b/>
          <w:sz w:val="20"/>
          <w:szCs w:val="20"/>
          <w:u w:val="single"/>
        </w:rPr>
        <w:tab/>
        <w:t>€</w:t>
      </w:r>
      <w:r w:rsidR="00161BD8">
        <w:rPr>
          <w:rFonts w:ascii="Arial" w:hAnsi="Arial" w:cs="Arial"/>
          <w:b/>
          <w:sz w:val="20"/>
          <w:szCs w:val="20"/>
          <w:u w:val="single"/>
        </w:rPr>
        <w:t>1.961.048</w:t>
      </w:r>
      <w:r w:rsidR="00384310" w:rsidRPr="00CE6659">
        <w:rPr>
          <w:rFonts w:ascii="Arial" w:hAnsi="Arial" w:cs="Arial"/>
          <w:b/>
          <w:sz w:val="20"/>
          <w:szCs w:val="20"/>
          <w:u w:val="single"/>
        </w:rPr>
        <w:t xml:space="preserve"> </w:t>
      </w:r>
    </w:p>
    <w:p w:rsidR="00203A35" w:rsidRPr="00203A35" w:rsidRDefault="00384310" w:rsidP="000915DB">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για την παροχή συμβουλευτικών υπηρεσιών </w:t>
      </w:r>
      <w:r w:rsidR="00203A35">
        <w:rPr>
          <w:rFonts w:ascii="Arial" w:hAnsi="Arial" w:cs="Arial"/>
          <w:sz w:val="20"/>
          <w:szCs w:val="20"/>
        </w:rPr>
        <w:t>προς τον Οργανισμό. Ο</w:t>
      </w:r>
      <w:r w:rsidR="00FD5C26">
        <w:rPr>
          <w:rFonts w:ascii="Arial" w:hAnsi="Arial" w:cs="Arial"/>
          <w:sz w:val="20"/>
          <w:szCs w:val="20"/>
        </w:rPr>
        <w:t>ι</w:t>
      </w:r>
      <w:r w:rsidR="00203A35">
        <w:rPr>
          <w:rFonts w:ascii="Arial" w:hAnsi="Arial" w:cs="Arial"/>
          <w:sz w:val="20"/>
          <w:szCs w:val="20"/>
        </w:rPr>
        <w:t xml:space="preserve"> σημαντικότερες συμβουλευτικές υπηρεσίες που έχουν συμπεριληφθεί είναι οι ακόλουθες</w:t>
      </w:r>
      <w:r w:rsidR="00203A35" w:rsidRPr="00B603E5">
        <w:rPr>
          <w:rFonts w:ascii="Arial" w:hAnsi="Arial" w:cs="Arial"/>
          <w:sz w:val="20"/>
          <w:szCs w:val="20"/>
        </w:rPr>
        <w:t xml:space="preserve">: </w:t>
      </w:r>
    </w:p>
    <w:p w:rsidR="00203A35" w:rsidRPr="00B603E5" w:rsidRDefault="00203A35" w:rsidP="00203A35">
      <w:pPr>
        <w:pStyle w:val="ListParagraph"/>
        <w:numPr>
          <w:ilvl w:val="0"/>
          <w:numId w:val="15"/>
        </w:numPr>
        <w:jc w:val="both"/>
        <w:rPr>
          <w:rFonts w:ascii="Arial" w:hAnsi="Arial" w:cs="Arial"/>
          <w:sz w:val="20"/>
          <w:szCs w:val="20"/>
        </w:rPr>
      </w:pPr>
      <w:r w:rsidRPr="00FD5C26">
        <w:rPr>
          <w:rFonts w:ascii="Arial" w:hAnsi="Arial" w:cs="Arial"/>
          <w:sz w:val="20"/>
          <w:szCs w:val="20"/>
        </w:rPr>
        <w:t>Υπηρεσίες προς τα Τμήματα Μονάδων Ελέγχου</w:t>
      </w:r>
      <w:r w:rsidR="008C04F5">
        <w:rPr>
          <w:rFonts w:ascii="Arial" w:hAnsi="Arial" w:cs="Arial"/>
          <w:sz w:val="20"/>
          <w:szCs w:val="20"/>
        </w:rPr>
        <w:t xml:space="preserve"> για την ετοιμασία μελετών που διέπεται από τις εκάστοτε Οδηγίες και Εγκυκλίους της εποπτικής αρχής</w:t>
      </w:r>
      <w:r w:rsidRPr="00FD5C26">
        <w:rPr>
          <w:rFonts w:ascii="Arial" w:hAnsi="Arial" w:cs="Arial"/>
          <w:sz w:val="20"/>
          <w:szCs w:val="20"/>
        </w:rPr>
        <w:t xml:space="preserve"> (Διαχείριση Κινδύνων</w:t>
      </w:r>
      <w:r w:rsidR="00161BD8">
        <w:rPr>
          <w:rFonts w:ascii="Arial" w:hAnsi="Arial" w:cs="Arial"/>
          <w:sz w:val="20"/>
          <w:szCs w:val="20"/>
        </w:rPr>
        <w:t>,</w:t>
      </w:r>
      <w:r w:rsidRPr="00FD5C26">
        <w:rPr>
          <w:rFonts w:ascii="Arial" w:hAnsi="Arial" w:cs="Arial"/>
          <w:sz w:val="20"/>
          <w:szCs w:val="20"/>
        </w:rPr>
        <w:t xml:space="preserve"> Εσωτερικής Επιθεώρησης</w:t>
      </w:r>
      <w:r w:rsidR="00161BD8">
        <w:rPr>
          <w:rFonts w:ascii="Arial" w:hAnsi="Arial" w:cs="Arial"/>
          <w:sz w:val="20"/>
          <w:szCs w:val="20"/>
        </w:rPr>
        <w:t xml:space="preserve"> και </w:t>
      </w:r>
      <w:r w:rsidR="00161BD8" w:rsidRPr="00C827E0">
        <w:rPr>
          <w:rFonts w:ascii="Arial" w:hAnsi="Arial" w:cs="Arial"/>
          <w:sz w:val="20"/>
          <w:szCs w:val="20"/>
        </w:rPr>
        <w:t>Κανονιστικής Συμμόρφωσης</w:t>
      </w:r>
      <w:r w:rsidRPr="00C827E0">
        <w:rPr>
          <w:rFonts w:ascii="Arial" w:hAnsi="Arial" w:cs="Arial"/>
          <w:sz w:val="20"/>
          <w:szCs w:val="20"/>
        </w:rPr>
        <w:t>).</w:t>
      </w:r>
    </w:p>
    <w:p w:rsidR="00203A35" w:rsidRDefault="008C04F5" w:rsidP="00203A35">
      <w:pPr>
        <w:pStyle w:val="ListParagraph"/>
        <w:numPr>
          <w:ilvl w:val="0"/>
          <w:numId w:val="15"/>
        </w:numPr>
        <w:jc w:val="both"/>
        <w:rPr>
          <w:rFonts w:ascii="Arial" w:hAnsi="Arial" w:cs="Arial"/>
          <w:sz w:val="20"/>
          <w:szCs w:val="20"/>
        </w:rPr>
      </w:pPr>
      <w:r>
        <w:rPr>
          <w:rFonts w:ascii="Arial" w:hAnsi="Arial" w:cs="Arial"/>
          <w:sz w:val="20"/>
          <w:szCs w:val="20"/>
        </w:rPr>
        <w:t xml:space="preserve">Δικαιώματα εμπειρογνωμόνων σε σχέση με την παρακολούθηση του έργου </w:t>
      </w:r>
      <w:r w:rsidR="00203A35">
        <w:rPr>
          <w:rFonts w:ascii="Arial" w:hAnsi="Arial" w:cs="Arial"/>
          <w:sz w:val="20"/>
          <w:szCs w:val="20"/>
        </w:rPr>
        <w:t>εγκατάσταση</w:t>
      </w:r>
      <w:r>
        <w:rPr>
          <w:rFonts w:ascii="Arial" w:hAnsi="Arial" w:cs="Arial"/>
          <w:sz w:val="20"/>
          <w:szCs w:val="20"/>
        </w:rPr>
        <w:t>ς</w:t>
      </w:r>
      <w:r w:rsidR="00203A35">
        <w:rPr>
          <w:rFonts w:ascii="Arial" w:hAnsi="Arial" w:cs="Arial"/>
          <w:sz w:val="20"/>
          <w:szCs w:val="20"/>
        </w:rPr>
        <w:t xml:space="preserve"> </w:t>
      </w:r>
      <w:r w:rsidR="00446952" w:rsidRPr="00203A35">
        <w:rPr>
          <w:rFonts w:ascii="Arial" w:hAnsi="Arial" w:cs="Arial"/>
          <w:sz w:val="20"/>
          <w:szCs w:val="20"/>
        </w:rPr>
        <w:t xml:space="preserve">συστημάτων μηχανογράφησης. </w:t>
      </w:r>
      <w:r w:rsidR="00203A35">
        <w:rPr>
          <w:rFonts w:ascii="Arial" w:hAnsi="Arial" w:cs="Arial"/>
          <w:sz w:val="20"/>
          <w:szCs w:val="20"/>
        </w:rPr>
        <w:t xml:space="preserve">Οι υπηρεσίες είναι συνυφασμένες με </w:t>
      </w:r>
      <w:r w:rsidR="00384310" w:rsidRPr="00203A35">
        <w:rPr>
          <w:rFonts w:ascii="Arial" w:hAnsi="Arial" w:cs="Arial"/>
          <w:sz w:val="20"/>
          <w:szCs w:val="20"/>
        </w:rPr>
        <w:t xml:space="preserve">την τεχνολογική </w:t>
      </w:r>
      <w:r w:rsidR="00384310" w:rsidRPr="00203A35">
        <w:rPr>
          <w:rFonts w:ascii="Arial" w:hAnsi="Arial" w:cs="Arial"/>
          <w:sz w:val="20"/>
          <w:szCs w:val="20"/>
        </w:rPr>
        <w:lastRenderedPageBreak/>
        <w:t xml:space="preserve">αναβάθμιση του Οργανισμού και </w:t>
      </w:r>
      <w:r w:rsidR="00E06AF0" w:rsidRPr="00203A35">
        <w:rPr>
          <w:rFonts w:ascii="Arial" w:hAnsi="Arial" w:cs="Arial"/>
          <w:sz w:val="20"/>
          <w:szCs w:val="20"/>
        </w:rPr>
        <w:t xml:space="preserve">την </w:t>
      </w:r>
      <w:r w:rsidR="004825B3" w:rsidRPr="00203A35">
        <w:rPr>
          <w:rFonts w:ascii="Arial" w:hAnsi="Arial" w:cs="Arial"/>
          <w:sz w:val="20"/>
          <w:szCs w:val="20"/>
        </w:rPr>
        <w:t xml:space="preserve">τεχνολογική </w:t>
      </w:r>
      <w:r w:rsidR="00E06AF0" w:rsidRPr="00203A35">
        <w:rPr>
          <w:rFonts w:ascii="Arial" w:hAnsi="Arial" w:cs="Arial"/>
          <w:sz w:val="20"/>
          <w:szCs w:val="20"/>
        </w:rPr>
        <w:t>ανεξαρτητοποίηση από τη</w:t>
      </w:r>
      <w:r w:rsidR="00446952" w:rsidRPr="00203A35">
        <w:rPr>
          <w:rFonts w:ascii="Arial" w:hAnsi="Arial" w:cs="Arial"/>
          <w:sz w:val="20"/>
          <w:szCs w:val="20"/>
        </w:rPr>
        <w:t xml:space="preserve">ν ΚΕΔΙΠΕΣ </w:t>
      </w:r>
      <w:r w:rsidR="00384310" w:rsidRPr="00203A35">
        <w:rPr>
          <w:rFonts w:ascii="Arial" w:hAnsi="Arial" w:cs="Arial"/>
          <w:sz w:val="20"/>
          <w:szCs w:val="20"/>
        </w:rPr>
        <w:t>σε σχέση με την παροχή μηχανογραφικών υπηρεσιών.</w:t>
      </w:r>
    </w:p>
    <w:p w:rsidR="00203A35" w:rsidRDefault="008C04F5" w:rsidP="00F01D07">
      <w:pPr>
        <w:pStyle w:val="ListParagraph"/>
        <w:numPr>
          <w:ilvl w:val="0"/>
          <w:numId w:val="15"/>
        </w:numPr>
        <w:jc w:val="both"/>
        <w:rPr>
          <w:rFonts w:ascii="Arial" w:hAnsi="Arial" w:cs="Arial"/>
          <w:sz w:val="20"/>
          <w:szCs w:val="20"/>
        </w:rPr>
      </w:pPr>
      <w:r>
        <w:rPr>
          <w:rFonts w:ascii="Arial" w:hAnsi="Arial" w:cs="Arial"/>
          <w:sz w:val="20"/>
          <w:szCs w:val="20"/>
        </w:rPr>
        <w:t xml:space="preserve">Δικαιώματα εμπειρογνωμόνων για την </w:t>
      </w:r>
      <w:r w:rsidR="00AA01F8" w:rsidRPr="00203A35">
        <w:rPr>
          <w:rFonts w:ascii="Arial" w:hAnsi="Arial" w:cs="Arial"/>
          <w:sz w:val="20"/>
          <w:szCs w:val="20"/>
        </w:rPr>
        <w:t xml:space="preserve">καταγραφή των διαδικασιών </w:t>
      </w:r>
      <w:r w:rsidR="00203A35" w:rsidRPr="00203A35">
        <w:rPr>
          <w:rFonts w:ascii="Arial" w:hAnsi="Arial" w:cs="Arial"/>
          <w:sz w:val="20"/>
          <w:szCs w:val="20"/>
        </w:rPr>
        <w:t>του Οργανισμού</w:t>
      </w:r>
      <w:r>
        <w:rPr>
          <w:rFonts w:ascii="Arial" w:hAnsi="Arial" w:cs="Arial"/>
          <w:sz w:val="20"/>
          <w:szCs w:val="20"/>
        </w:rPr>
        <w:t xml:space="preserve"> και ετοιμασία </w:t>
      </w:r>
      <w:r w:rsidR="00B81BF1">
        <w:rPr>
          <w:rFonts w:ascii="Arial" w:hAnsi="Arial" w:cs="Arial"/>
          <w:sz w:val="20"/>
          <w:szCs w:val="20"/>
        </w:rPr>
        <w:t>μελέτης σε σχέση με την Λειτουργική Αναδιοργάνωση του ΟΧΣ</w:t>
      </w:r>
      <w:r w:rsidR="00203A35" w:rsidRPr="00203A35">
        <w:rPr>
          <w:rFonts w:ascii="Arial" w:hAnsi="Arial" w:cs="Arial"/>
          <w:sz w:val="20"/>
          <w:szCs w:val="20"/>
        </w:rPr>
        <w:t xml:space="preserve">. </w:t>
      </w:r>
    </w:p>
    <w:p w:rsidR="00161BD8" w:rsidRPr="00880E70" w:rsidRDefault="0005342D" w:rsidP="0003768A">
      <w:pPr>
        <w:pStyle w:val="ListParagraph"/>
        <w:numPr>
          <w:ilvl w:val="0"/>
          <w:numId w:val="15"/>
        </w:numPr>
        <w:jc w:val="both"/>
        <w:rPr>
          <w:rFonts w:ascii="Arial" w:hAnsi="Arial" w:cs="Arial"/>
          <w:sz w:val="20"/>
          <w:szCs w:val="20"/>
        </w:rPr>
      </w:pPr>
      <w:r>
        <w:rPr>
          <w:rFonts w:ascii="Arial" w:hAnsi="Arial" w:cs="Arial"/>
          <w:sz w:val="20"/>
          <w:szCs w:val="20"/>
        </w:rPr>
        <w:t>Υπηρεσίες</w:t>
      </w:r>
      <w:r w:rsidR="00B81BF1">
        <w:rPr>
          <w:rFonts w:ascii="Arial" w:hAnsi="Arial" w:cs="Arial"/>
          <w:sz w:val="20"/>
          <w:szCs w:val="20"/>
        </w:rPr>
        <w:t xml:space="preserve"> εμπειρογνωμόνων σε σχέση με την διαχείριση</w:t>
      </w:r>
      <w:r>
        <w:rPr>
          <w:rFonts w:ascii="Arial" w:hAnsi="Arial" w:cs="Arial"/>
          <w:sz w:val="20"/>
          <w:szCs w:val="20"/>
        </w:rPr>
        <w:t xml:space="preserve"> έργων (</w:t>
      </w:r>
      <w:r>
        <w:rPr>
          <w:rFonts w:ascii="Arial" w:hAnsi="Arial" w:cs="Arial"/>
          <w:sz w:val="20"/>
          <w:szCs w:val="20"/>
          <w:lang w:val="en-GB"/>
        </w:rPr>
        <w:t>Project</w:t>
      </w:r>
      <w:r w:rsidRPr="00880E70">
        <w:rPr>
          <w:rFonts w:ascii="Arial" w:hAnsi="Arial" w:cs="Arial"/>
          <w:sz w:val="20"/>
          <w:szCs w:val="20"/>
        </w:rPr>
        <w:t xml:space="preserve"> </w:t>
      </w:r>
      <w:r>
        <w:rPr>
          <w:rFonts w:ascii="Arial" w:hAnsi="Arial" w:cs="Arial"/>
          <w:sz w:val="20"/>
          <w:szCs w:val="20"/>
          <w:lang w:val="en-GB"/>
        </w:rPr>
        <w:t>Management</w:t>
      </w:r>
      <w:r>
        <w:rPr>
          <w:rFonts w:ascii="Arial" w:hAnsi="Arial" w:cs="Arial"/>
          <w:sz w:val="20"/>
          <w:szCs w:val="20"/>
        </w:rPr>
        <w:t>)</w:t>
      </w:r>
      <w:r w:rsidR="00634C74">
        <w:rPr>
          <w:rFonts w:ascii="Arial" w:hAnsi="Arial" w:cs="Arial"/>
          <w:sz w:val="20"/>
          <w:szCs w:val="20"/>
        </w:rPr>
        <w:t xml:space="preserve"> και την ετοιμασία αναφορών σε σχέση με την πρόοδο, εξέλιξη των έργων και αξιολόγηση των αναδόχων. </w:t>
      </w:r>
    </w:p>
    <w:p w:rsidR="00384310" w:rsidRPr="00203A35" w:rsidRDefault="00384310">
      <w:pPr>
        <w:jc w:val="both"/>
        <w:rPr>
          <w:rFonts w:ascii="Arial" w:hAnsi="Arial" w:cs="Arial"/>
          <w:b/>
          <w:sz w:val="20"/>
          <w:szCs w:val="20"/>
          <w:u w:val="single"/>
        </w:rPr>
      </w:pPr>
      <w:r w:rsidRPr="00203A35">
        <w:rPr>
          <w:rFonts w:ascii="Arial" w:hAnsi="Arial" w:cs="Arial"/>
          <w:b/>
          <w:sz w:val="20"/>
          <w:szCs w:val="20"/>
          <w:u w:val="single"/>
        </w:rPr>
        <w:t>Άρθρο 03568 «Ελεγκτικά και Εποπτικά Δικαιώματα»</w:t>
      </w:r>
      <w:r w:rsidR="00981F6A" w:rsidRPr="00203A35">
        <w:rPr>
          <w:rFonts w:ascii="Arial" w:hAnsi="Arial" w:cs="Arial"/>
          <w:b/>
          <w:sz w:val="20"/>
          <w:szCs w:val="20"/>
          <w:u w:val="single"/>
        </w:rPr>
        <w:tab/>
      </w:r>
      <w:r w:rsidR="00981F6A" w:rsidRPr="00203A35">
        <w:rPr>
          <w:rFonts w:ascii="Arial" w:hAnsi="Arial" w:cs="Arial"/>
          <w:b/>
          <w:sz w:val="20"/>
          <w:szCs w:val="20"/>
          <w:u w:val="single"/>
        </w:rPr>
        <w:tab/>
        <w:t>€</w:t>
      </w:r>
      <w:r w:rsidR="00B938E6" w:rsidRPr="00203A35">
        <w:rPr>
          <w:rFonts w:ascii="Arial" w:hAnsi="Arial" w:cs="Arial"/>
          <w:b/>
          <w:sz w:val="20"/>
          <w:szCs w:val="20"/>
          <w:u w:val="single"/>
        </w:rPr>
        <w:t>4</w:t>
      </w:r>
      <w:r w:rsidR="00002A0F" w:rsidRPr="00880E70">
        <w:rPr>
          <w:rFonts w:ascii="Arial" w:hAnsi="Arial" w:cs="Arial"/>
          <w:b/>
          <w:sz w:val="20"/>
          <w:szCs w:val="20"/>
          <w:u w:val="single"/>
        </w:rPr>
        <w:t>11.250</w:t>
      </w:r>
      <w:r w:rsidRPr="00203A35">
        <w:rPr>
          <w:rFonts w:ascii="Arial" w:hAnsi="Arial" w:cs="Arial"/>
          <w:b/>
          <w:sz w:val="20"/>
          <w:szCs w:val="20"/>
          <w:u w:val="single"/>
        </w:rPr>
        <w:t xml:space="preserve"> </w:t>
      </w:r>
    </w:p>
    <w:p w:rsidR="00384310" w:rsidRPr="00FD5C26" w:rsidRDefault="00384310" w:rsidP="00FD5C26">
      <w:pPr>
        <w:jc w:val="both"/>
        <w:rPr>
          <w:rFonts w:ascii="Arial" w:hAnsi="Arial" w:cs="Arial"/>
          <w:sz w:val="20"/>
          <w:szCs w:val="20"/>
        </w:rPr>
      </w:pPr>
      <w:r w:rsidRPr="00FD5C26">
        <w:rPr>
          <w:rFonts w:ascii="Arial" w:hAnsi="Arial" w:cs="Arial"/>
          <w:sz w:val="20"/>
          <w:szCs w:val="20"/>
        </w:rPr>
        <w:t xml:space="preserve">Η προτεινόμενη πρόνοια προορίζεται να καλύψει τη δαπάνη για τα έξοδα εποπτείας του Οργανισμού που επιβάλλει η Κεντρική Τράπεζα της Κύπρου καθώς και τα Ελεγκτικά δικαιώματα που καταβάλλονται </w:t>
      </w:r>
      <w:r w:rsidR="00090D38" w:rsidRPr="00FD5C26">
        <w:rPr>
          <w:rFonts w:ascii="Arial" w:hAnsi="Arial" w:cs="Arial"/>
          <w:sz w:val="20"/>
          <w:szCs w:val="20"/>
        </w:rPr>
        <w:t xml:space="preserve">στους Εξωτερικούς Ελεγκτές </w:t>
      </w:r>
      <w:r w:rsidR="004825B3" w:rsidRPr="00FD5C26">
        <w:rPr>
          <w:rFonts w:ascii="Arial" w:hAnsi="Arial" w:cs="Arial"/>
          <w:sz w:val="20"/>
          <w:szCs w:val="20"/>
        </w:rPr>
        <w:t xml:space="preserve">στους οποίους </w:t>
      </w:r>
      <w:r w:rsidR="00090D38" w:rsidRPr="00FD5C26">
        <w:rPr>
          <w:rFonts w:ascii="Arial" w:hAnsi="Arial" w:cs="Arial"/>
          <w:sz w:val="20"/>
          <w:szCs w:val="20"/>
        </w:rPr>
        <w:t>ανατίθεται ο Ετήσιος Έλεγχος από τον</w:t>
      </w:r>
      <w:r w:rsidRPr="00FD5C26">
        <w:rPr>
          <w:rFonts w:ascii="Arial" w:hAnsi="Arial" w:cs="Arial"/>
          <w:sz w:val="20"/>
          <w:szCs w:val="20"/>
        </w:rPr>
        <w:t xml:space="preserve"> Γενικό Ελεγκτή της Δημοκρατίας.</w:t>
      </w:r>
      <w:r w:rsidR="00090D38" w:rsidRPr="00FD5C26">
        <w:rPr>
          <w:rFonts w:ascii="Arial" w:hAnsi="Arial" w:cs="Arial"/>
          <w:sz w:val="20"/>
          <w:szCs w:val="20"/>
        </w:rPr>
        <w:t xml:space="preserve"> </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03583 «Αγορά Υπηρεσιών»</w:t>
      </w:r>
      <w:r w:rsidR="00981F6A" w:rsidRPr="00CE6659">
        <w:rPr>
          <w:rFonts w:ascii="Arial" w:hAnsi="Arial" w:cs="Arial"/>
          <w:b/>
          <w:sz w:val="20"/>
          <w:szCs w:val="20"/>
          <w:u w:val="single"/>
        </w:rPr>
        <w:tab/>
        <w:t>€</w:t>
      </w:r>
      <w:r w:rsidR="00002A0F" w:rsidRPr="00880E70">
        <w:rPr>
          <w:rFonts w:ascii="Arial" w:hAnsi="Arial" w:cs="Arial"/>
          <w:b/>
          <w:sz w:val="20"/>
          <w:szCs w:val="20"/>
          <w:u w:val="single"/>
        </w:rPr>
        <w:t>745.920</w:t>
      </w:r>
      <w:r w:rsidRPr="00CE6659">
        <w:rPr>
          <w:rFonts w:ascii="Arial" w:hAnsi="Arial" w:cs="Arial"/>
          <w:b/>
          <w:sz w:val="20"/>
          <w:szCs w:val="20"/>
          <w:u w:val="single"/>
        </w:rPr>
        <w:t xml:space="preserve"> </w:t>
      </w:r>
    </w:p>
    <w:p w:rsidR="00604095" w:rsidRPr="001B3CFD" w:rsidRDefault="00384310" w:rsidP="000915DB">
      <w:pPr>
        <w:jc w:val="both"/>
        <w:rPr>
          <w:rFonts w:ascii="Arial" w:hAnsi="Arial" w:cs="Arial"/>
          <w:sz w:val="20"/>
          <w:szCs w:val="20"/>
        </w:rPr>
      </w:pPr>
      <w:r w:rsidRPr="00D33B46">
        <w:rPr>
          <w:rFonts w:ascii="Arial" w:hAnsi="Arial" w:cs="Arial"/>
          <w:sz w:val="20"/>
          <w:szCs w:val="20"/>
        </w:rPr>
        <w:t xml:space="preserve">Η προτεινόμενη πρόνοια προορίζεται να καλύψει τη δαπάνη για την αγορά υπηρεσιών με σκοπό την </w:t>
      </w:r>
      <w:r w:rsidR="008B2A39" w:rsidRPr="00D33B46">
        <w:rPr>
          <w:rFonts w:ascii="Arial" w:hAnsi="Arial" w:cs="Arial"/>
          <w:sz w:val="20"/>
          <w:szCs w:val="20"/>
        </w:rPr>
        <w:t xml:space="preserve">ολοκλήρωση ειδικών έργων όπως την </w:t>
      </w:r>
      <w:r w:rsidRPr="00D33B46">
        <w:rPr>
          <w:rFonts w:ascii="Arial" w:hAnsi="Arial" w:cs="Arial"/>
          <w:sz w:val="20"/>
          <w:szCs w:val="20"/>
        </w:rPr>
        <w:t>ενίσχυση των προσπαθειών αποτελεσματικής εφαρμογής της Οδηγίας της Κεντρικής Τράπεζας</w:t>
      </w:r>
      <w:r w:rsidR="00E61B61" w:rsidRPr="00D33B46">
        <w:rPr>
          <w:rFonts w:ascii="Arial" w:hAnsi="Arial" w:cs="Arial"/>
          <w:sz w:val="20"/>
          <w:szCs w:val="20"/>
        </w:rPr>
        <w:t xml:space="preserve"> της Κύπρου</w:t>
      </w:r>
      <w:r w:rsidRPr="00D33B46">
        <w:rPr>
          <w:rFonts w:ascii="Arial" w:hAnsi="Arial" w:cs="Arial"/>
          <w:sz w:val="20"/>
          <w:szCs w:val="20"/>
        </w:rPr>
        <w:t xml:space="preserve"> που αφορά τη διαχείριση καθυστερήσεων, </w:t>
      </w:r>
      <w:r w:rsidR="00E06AF0" w:rsidRPr="00D33B46">
        <w:rPr>
          <w:rFonts w:ascii="Arial" w:hAnsi="Arial" w:cs="Arial"/>
          <w:sz w:val="20"/>
          <w:szCs w:val="20"/>
        </w:rPr>
        <w:t>σ</w:t>
      </w:r>
      <w:r w:rsidRPr="00D33B46">
        <w:rPr>
          <w:rFonts w:ascii="Arial" w:hAnsi="Arial" w:cs="Arial"/>
          <w:sz w:val="20"/>
          <w:szCs w:val="20"/>
        </w:rPr>
        <w:t>την επιτάχυνση των ρυθμίσεων των δανείων.</w:t>
      </w:r>
      <w:r w:rsidR="008B2A39" w:rsidRPr="00B603E5">
        <w:rPr>
          <w:rFonts w:ascii="Arial" w:hAnsi="Arial" w:cs="Arial"/>
          <w:sz w:val="20"/>
          <w:szCs w:val="20"/>
        </w:rPr>
        <w:t xml:space="preserve"> Επιπρόσθετα, η </w:t>
      </w:r>
      <w:r w:rsidR="00B938E6" w:rsidRPr="00D33B46">
        <w:rPr>
          <w:rFonts w:ascii="Arial" w:hAnsi="Arial" w:cs="Arial"/>
          <w:sz w:val="20"/>
          <w:szCs w:val="20"/>
        </w:rPr>
        <w:t>Αγορά Υπηρεσιών</w:t>
      </w:r>
      <w:r w:rsidR="001B3CFD" w:rsidRPr="00D33B46">
        <w:rPr>
          <w:rFonts w:ascii="Arial" w:hAnsi="Arial" w:cs="Arial"/>
          <w:sz w:val="20"/>
          <w:szCs w:val="20"/>
        </w:rPr>
        <w:t xml:space="preserve"> </w:t>
      </w:r>
      <w:r w:rsidR="004825B3" w:rsidRPr="00D33B46">
        <w:rPr>
          <w:rFonts w:ascii="Arial" w:hAnsi="Arial" w:cs="Arial"/>
          <w:sz w:val="20"/>
          <w:szCs w:val="20"/>
        </w:rPr>
        <w:t xml:space="preserve">θεωρείται </w:t>
      </w:r>
      <w:r w:rsidR="001B3CFD" w:rsidRPr="00D33B46">
        <w:rPr>
          <w:rFonts w:ascii="Arial" w:hAnsi="Arial" w:cs="Arial"/>
          <w:sz w:val="20"/>
          <w:szCs w:val="20"/>
        </w:rPr>
        <w:t xml:space="preserve">αναγκαία </w:t>
      </w:r>
      <w:r w:rsidR="008B2A39" w:rsidRPr="00B603E5">
        <w:rPr>
          <w:rFonts w:ascii="Arial" w:hAnsi="Arial" w:cs="Arial"/>
          <w:sz w:val="20"/>
          <w:szCs w:val="20"/>
        </w:rPr>
        <w:t xml:space="preserve">για την επικαιροποίηση/διόρθωση/συμπλήρωση </w:t>
      </w:r>
      <w:r w:rsidR="00AE627D" w:rsidRPr="00D33B46">
        <w:rPr>
          <w:rFonts w:ascii="Arial" w:hAnsi="Arial" w:cs="Arial"/>
          <w:sz w:val="20"/>
          <w:szCs w:val="20"/>
        </w:rPr>
        <w:t>έτσι ώστε να είναι επιτυχής η μετάπτωση στο νέο τραπεζικό σύστημα</w:t>
      </w:r>
      <w:r w:rsidR="001B3CFD" w:rsidRPr="00D33B46">
        <w:rPr>
          <w:rFonts w:ascii="Arial" w:hAnsi="Arial" w:cs="Arial"/>
          <w:sz w:val="20"/>
          <w:szCs w:val="20"/>
        </w:rPr>
        <w:t xml:space="preserve"> ενόψει της μηχανογραφικής απεξάρτησης.</w:t>
      </w:r>
      <w:r w:rsidR="0057089A" w:rsidRPr="00D33B46">
        <w:rPr>
          <w:rFonts w:ascii="Arial" w:hAnsi="Arial" w:cs="Arial"/>
          <w:sz w:val="20"/>
          <w:szCs w:val="20"/>
        </w:rPr>
        <w:t xml:space="preserve"> </w:t>
      </w:r>
      <w:r w:rsidR="00395A2A" w:rsidRPr="00D33B46">
        <w:rPr>
          <w:rFonts w:ascii="Arial" w:hAnsi="Arial" w:cs="Arial"/>
          <w:sz w:val="20"/>
          <w:szCs w:val="20"/>
        </w:rPr>
        <w:t>Μ</w:t>
      </w:r>
      <w:r w:rsidR="00685613" w:rsidRPr="00D33B46">
        <w:rPr>
          <w:rFonts w:ascii="Arial" w:hAnsi="Arial" w:cs="Arial"/>
          <w:sz w:val="20"/>
          <w:szCs w:val="20"/>
        </w:rPr>
        <w:t>ε την ολοκλήρωση των ειδικών έργων οι ανάδοχοι θα αποδεσμεύονται σταδιακά</w:t>
      </w:r>
      <w:r w:rsidR="008B2A39" w:rsidRPr="00D33B46">
        <w:rPr>
          <w:rFonts w:ascii="Arial" w:hAnsi="Arial" w:cs="Arial"/>
          <w:sz w:val="20"/>
          <w:szCs w:val="20"/>
        </w:rPr>
        <w:t>.</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06225 «Τραπεζικά τέλη»</w:t>
      </w:r>
      <w:r w:rsidR="00981F6A" w:rsidRPr="00CE6659">
        <w:rPr>
          <w:rFonts w:ascii="Arial" w:hAnsi="Arial" w:cs="Arial"/>
          <w:b/>
          <w:sz w:val="20"/>
          <w:szCs w:val="20"/>
          <w:u w:val="single"/>
        </w:rPr>
        <w:tab/>
        <w:t>€</w:t>
      </w:r>
      <w:r w:rsidR="00002A0F" w:rsidRPr="00880E70">
        <w:rPr>
          <w:rFonts w:ascii="Arial" w:hAnsi="Arial" w:cs="Arial"/>
          <w:b/>
          <w:sz w:val="20"/>
          <w:szCs w:val="20"/>
          <w:u w:val="single"/>
        </w:rPr>
        <w:t>227.766</w:t>
      </w:r>
      <w:r w:rsidRPr="00CE6659">
        <w:rPr>
          <w:rFonts w:ascii="Arial" w:hAnsi="Arial" w:cs="Arial"/>
          <w:b/>
          <w:sz w:val="20"/>
          <w:szCs w:val="20"/>
          <w:u w:val="single"/>
        </w:rPr>
        <w:t xml:space="preserve"> </w:t>
      </w:r>
    </w:p>
    <w:p w:rsidR="00384310" w:rsidRPr="00CE6659" w:rsidRDefault="00384310" w:rsidP="000915DB">
      <w:pPr>
        <w:jc w:val="both"/>
        <w:rPr>
          <w:rFonts w:ascii="Arial" w:hAnsi="Arial" w:cs="Arial"/>
          <w:sz w:val="20"/>
          <w:szCs w:val="20"/>
        </w:rPr>
      </w:pPr>
      <w:r w:rsidRPr="00CE6659">
        <w:rPr>
          <w:rFonts w:ascii="Arial" w:hAnsi="Arial" w:cs="Arial"/>
          <w:sz w:val="20"/>
          <w:szCs w:val="20"/>
        </w:rPr>
        <w:t>Η προτεινόμενη πρόνοια προορίζεται να καλύψει τη δαπάνη για τα έξοδα θεματοφυλακής και διαχείρισης του χαρτοφυλακίου των Επενδυτικών Τίτλων</w:t>
      </w:r>
      <w:r w:rsidR="00F01D07">
        <w:rPr>
          <w:rFonts w:ascii="Arial" w:hAnsi="Arial" w:cs="Arial"/>
          <w:sz w:val="20"/>
          <w:szCs w:val="20"/>
        </w:rPr>
        <w:t xml:space="preserve">, και υπολογίζεται σαν ποσοστό της ονομαστικής αξίας των επενδυτικών τίτλων που έχει ο Οργανισμός στην κατοχή του. </w:t>
      </w:r>
      <w:r w:rsidR="001B3CFD" w:rsidRPr="00086B9D">
        <w:rPr>
          <w:rFonts w:ascii="Arial" w:hAnsi="Arial" w:cs="Arial"/>
          <w:sz w:val="20"/>
          <w:szCs w:val="20"/>
        </w:rPr>
        <w:t xml:space="preserve">Αξίζει να σημειωθεί ότι εντός του </w:t>
      </w:r>
      <w:r w:rsidR="001B1CE2" w:rsidRPr="00880E70">
        <w:rPr>
          <w:rFonts w:ascii="Arial" w:hAnsi="Arial" w:cs="Arial"/>
          <w:sz w:val="20"/>
          <w:szCs w:val="20"/>
        </w:rPr>
        <w:t>δεύτερου</w:t>
      </w:r>
      <w:r w:rsidR="001B1CE2" w:rsidRPr="00086B9D">
        <w:rPr>
          <w:rFonts w:ascii="Arial" w:hAnsi="Arial" w:cs="Arial"/>
          <w:sz w:val="20"/>
          <w:szCs w:val="20"/>
        </w:rPr>
        <w:t xml:space="preserve"> </w:t>
      </w:r>
      <w:r w:rsidR="00B938E6" w:rsidRPr="00086B9D">
        <w:rPr>
          <w:rFonts w:ascii="Arial" w:hAnsi="Arial" w:cs="Arial"/>
          <w:sz w:val="20"/>
          <w:szCs w:val="20"/>
        </w:rPr>
        <w:t xml:space="preserve">τριμήνου του </w:t>
      </w:r>
      <w:r w:rsidR="001B3CFD" w:rsidRPr="00086B9D">
        <w:rPr>
          <w:rFonts w:ascii="Arial" w:hAnsi="Arial" w:cs="Arial"/>
          <w:sz w:val="20"/>
          <w:szCs w:val="20"/>
        </w:rPr>
        <w:t>20</w:t>
      </w:r>
      <w:r w:rsidR="00F01D07" w:rsidRPr="00086B9D">
        <w:rPr>
          <w:rFonts w:ascii="Arial" w:hAnsi="Arial" w:cs="Arial"/>
          <w:sz w:val="20"/>
          <w:szCs w:val="20"/>
        </w:rPr>
        <w:t>2</w:t>
      </w:r>
      <w:r w:rsidR="001B1CE2" w:rsidRPr="00880E70">
        <w:rPr>
          <w:rFonts w:ascii="Arial" w:hAnsi="Arial" w:cs="Arial"/>
          <w:sz w:val="20"/>
          <w:szCs w:val="20"/>
        </w:rPr>
        <w:t>1</w:t>
      </w:r>
      <w:r w:rsidR="001B3CFD" w:rsidRPr="00086B9D">
        <w:rPr>
          <w:rFonts w:ascii="Arial" w:hAnsi="Arial" w:cs="Arial"/>
          <w:sz w:val="20"/>
          <w:szCs w:val="20"/>
        </w:rPr>
        <w:t xml:space="preserve"> ο Οργανισμός </w:t>
      </w:r>
      <w:r w:rsidR="001B1CE2" w:rsidRPr="00880E70">
        <w:rPr>
          <w:rFonts w:ascii="Arial" w:hAnsi="Arial" w:cs="Arial"/>
          <w:sz w:val="20"/>
          <w:szCs w:val="20"/>
        </w:rPr>
        <w:t xml:space="preserve">κατακύρωσε </w:t>
      </w:r>
      <w:r w:rsidR="00664F3F" w:rsidRPr="00086B9D">
        <w:rPr>
          <w:rFonts w:ascii="Arial" w:hAnsi="Arial" w:cs="Arial"/>
          <w:sz w:val="20"/>
          <w:szCs w:val="20"/>
        </w:rPr>
        <w:t>προσφορ</w:t>
      </w:r>
      <w:r w:rsidR="00F01D07" w:rsidRPr="00086B9D">
        <w:rPr>
          <w:rFonts w:ascii="Arial" w:hAnsi="Arial" w:cs="Arial"/>
          <w:sz w:val="20"/>
          <w:szCs w:val="20"/>
        </w:rPr>
        <w:t>ά</w:t>
      </w:r>
      <w:r w:rsidR="001B1CE2" w:rsidRPr="00880E70">
        <w:rPr>
          <w:rFonts w:ascii="Arial" w:hAnsi="Arial" w:cs="Arial"/>
          <w:sz w:val="20"/>
          <w:szCs w:val="20"/>
        </w:rPr>
        <w:t xml:space="preserve"> σε σχέση </w:t>
      </w:r>
      <w:r w:rsidR="00F01D07" w:rsidRPr="00086B9D">
        <w:rPr>
          <w:rFonts w:ascii="Arial" w:hAnsi="Arial" w:cs="Arial"/>
          <w:sz w:val="20"/>
          <w:szCs w:val="20"/>
        </w:rPr>
        <w:t xml:space="preserve">με την Παροχή Συμβουλευτικών Υπηρεσιών Διαχείρισης Ρευστών Διαθεσίμων </w:t>
      </w:r>
      <w:r w:rsidR="001B1CE2" w:rsidRPr="00880E70">
        <w:rPr>
          <w:rFonts w:ascii="Arial" w:hAnsi="Arial" w:cs="Arial"/>
          <w:sz w:val="20"/>
          <w:szCs w:val="20"/>
        </w:rPr>
        <w:t xml:space="preserve">και ο </w:t>
      </w:r>
      <w:r w:rsidR="00F01D07" w:rsidRPr="00086B9D">
        <w:rPr>
          <w:rFonts w:ascii="Arial" w:hAnsi="Arial" w:cs="Arial"/>
          <w:sz w:val="20"/>
          <w:szCs w:val="20"/>
        </w:rPr>
        <w:t xml:space="preserve">Οργανισμός </w:t>
      </w:r>
      <w:r w:rsidR="001B1CE2" w:rsidRPr="00880E70">
        <w:rPr>
          <w:rFonts w:ascii="Arial" w:hAnsi="Arial" w:cs="Arial"/>
          <w:sz w:val="20"/>
          <w:szCs w:val="20"/>
        </w:rPr>
        <w:t xml:space="preserve">αναμένεται να </w:t>
      </w:r>
      <w:r w:rsidR="00F01D07" w:rsidRPr="00086B9D">
        <w:rPr>
          <w:rFonts w:ascii="Arial" w:hAnsi="Arial" w:cs="Arial"/>
          <w:sz w:val="20"/>
          <w:szCs w:val="20"/>
        </w:rPr>
        <w:t xml:space="preserve">προκηρύξει πρόσθετο διαγωνισμό για τις υπηρεσίες Διαχειριστών Κεφαλαίων και </w:t>
      </w:r>
      <w:r w:rsidR="00664F3F" w:rsidRPr="00086B9D">
        <w:rPr>
          <w:rFonts w:ascii="Arial" w:hAnsi="Arial" w:cs="Arial"/>
          <w:sz w:val="20"/>
          <w:szCs w:val="20"/>
        </w:rPr>
        <w:t>υπηρεσίες Θεματοφυλακής του χαρτοφυλακίου.</w:t>
      </w:r>
      <w:r w:rsidR="00664F3F">
        <w:rPr>
          <w:rFonts w:ascii="Arial" w:hAnsi="Arial" w:cs="Arial"/>
          <w:sz w:val="20"/>
          <w:szCs w:val="20"/>
        </w:rPr>
        <w:t xml:space="preserve"> </w:t>
      </w:r>
    </w:p>
    <w:p w:rsidR="00384310" w:rsidRPr="00CE6659" w:rsidRDefault="00384310" w:rsidP="000915DB">
      <w:pPr>
        <w:jc w:val="both"/>
        <w:rPr>
          <w:rFonts w:ascii="Arial" w:hAnsi="Arial" w:cs="Arial"/>
          <w:b/>
          <w:sz w:val="20"/>
          <w:szCs w:val="20"/>
          <w:u w:val="single"/>
        </w:rPr>
      </w:pPr>
      <w:r w:rsidRPr="00CE6659">
        <w:rPr>
          <w:rFonts w:ascii="Arial" w:hAnsi="Arial" w:cs="Arial"/>
          <w:b/>
          <w:sz w:val="20"/>
          <w:szCs w:val="20"/>
          <w:u w:val="single"/>
        </w:rPr>
        <w:t>Άρθρο 07653 «Αγορά ηλεκτρονικού εξοπλισμού»</w:t>
      </w:r>
      <w:r w:rsidR="00981F6A" w:rsidRPr="00CE6659">
        <w:rPr>
          <w:rFonts w:ascii="Arial" w:hAnsi="Arial" w:cs="Arial"/>
          <w:b/>
          <w:sz w:val="20"/>
          <w:szCs w:val="20"/>
          <w:u w:val="single"/>
        </w:rPr>
        <w:tab/>
        <w:t>€</w:t>
      </w:r>
      <w:r w:rsidR="00E35041" w:rsidRPr="00880E70">
        <w:rPr>
          <w:rFonts w:ascii="Arial" w:hAnsi="Arial" w:cs="Arial"/>
          <w:b/>
          <w:sz w:val="20"/>
          <w:szCs w:val="20"/>
          <w:u w:val="single"/>
        </w:rPr>
        <w:t>8</w:t>
      </w:r>
      <w:r w:rsidR="009831C6">
        <w:rPr>
          <w:rFonts w:ascii="Arial" w:hAnsi="Arial" w:cs="Arial"/>
          <w:b/>
          <w:sz w:val="20"/>
          <w:szCs w:val="20"/>
          <w:u w:val="single"/>
        </w:rPr>
        <w:t>0</w:t>
      </w:r>
      <w:r w:rsidR="00B938E6">
        <w:rPr>
          <w:rFonts w:ascii="Arial" w:hAnsi="Arial" w:cs="Arial"/>
          <w:b/>
          <w:sz w:val="20"/>
          <w:szCs w:val="20"/>
          <w:u w:val="single"/>
        </w:rPr>
        <w:t>.000</w:t>
      </w:r>
      <w:r w:rsidRPr="00CE6659">
        <w:rPr>
          <w:rFonts w:ascii="Arial" w:hAnsi="Arial" w:cs="Arial"/>
          <w:b/>
          <w:sz w:val="20"/>
          <w:szCs w:val="20"/>
          <w:u w:val="single"/>
        </w:rPr>
        <w:t xml:space="preserve"> </w:t>
      </w:r>
    </w:p>
    <w:p w:rsidR="00384310" w:rsidRPr="00CE6659" w:rsidRDefault="00384310" w:rsidP="000915DB">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για αγορά ηλεκτρονικού εξοπλισμού λόγω </w:t>
      </w:r>
      <w:r w:rsidR="009831C6">
        <w:rPr>
          <w:rFonts w:ascii="Arial" w:hAnsi="Arial" w:cs="Arial"/>
          <w:sz w:val="20"/>
          <w:szCs w:val="20"/>
        </w:rPr>
        <w:t xml:space="preserve">της </w:t>
      </w:r>
      <w:r w:rsidR="009831C6" w:rsidRPr="00CE6659">
        <w:rPr>
          <w:rFonts w:ascii="Arial" w:hAnsi="Arial" w:cs="Arial"/>
          <w:sz w:val="20"/>
          <w:szCs w:val="20"/>
        </w:rPr>
        <w:t>αντικατάσταση</w:t>
      </w:r>
      <w:r w:rsidR="009831C6">
        <w:rPr>
          <w:rFonts w:ascii="Arial" w:hAnsi="Arial" w:cs="Arial"/>
          <w:sz w:val="20"/>
          <w:szCs w:val="20"/>
        </w:rPr>
        <w:t>ς</w:t>
      </w:r>
      <w:r w:rsidRPr="00CE6659">
        <w:rPr>
          <w:rFonts w:ascii="Arial" w:hAnsi="Arial" w:cs="Arial"/>
          <w:sz w:val="20"/>
          <w:szCs w:val="20"/>
        </w:rPr>
        <w:t xml:space="preserve"> πεπαλαιωμένου εξοπλισμού που χρήζει ανάγκη αντικατάστασης</w:t>
      </w:r>
      <w:r w:rsidR="00664F3F">
        <w:rPr>
          <w:rFonts w:ascii="Arial" w:hAnsi="Arial" w:cs="Arial"/>
          <w:sz w:val="20"/>
          <w:szCs w:val="20"/>
        </w:rPr>
        <w:t xml:space="preserve"> εξαιτίας της τεχνολογικής αναβάθμισης που </w:t>
      </w:r>
      <w:r w:rsidR="004825B3">
        <w:rPr>
          <w:rFonts w:ascii="Arial" w:hAnsi="Arial" w:cs="Arial"/>
          <w:sz w:val="20"/>
          <w:szCs w:val="20"/>
        </w:rPr>
        <w:t xml:space="preserve">θα </w:t>
      </w:r>
      <w:r w:rsidR="00664F3F">
        <w:rPr>
          <w:rFonts w:ascii="Arial" w:hAnsi="Arial" w:cs="Arial"/>
          <w:sz w:val="20"/>
          <w:szCs w:val="20"/>
        </w:rPr>
        <w:t>προβεί ο Οργανισμός</w:t>
      </w:r>
      <w:r w:rsidRPr="00CE6659">
        <w:rPr>
          <w:rFonts w:ascii="Arial" w:hAnsi="Arial" w:cs="Arial"/>
          <w:sz w:val="20"/>
          <w:szCs w:val="20"/>
        </w:rPr>
        <w:t>.</w:t>
      </w:r>
    </w:p>
    <w:p w:rsidR="00384310" w:rsidRPr="0077198E" w:rsidRDefault="00384310" w:rsidP="000915DB">
      <w:pPr>
        <w:jc w:val="both"/>
        <w:rPr>
          <w:rFonts w:ascii="Arial" w:hAnsi="Arial" w:cs="Arial"/>
          <w:b/>
          <w:sz w:val="20"/>
          <w:szCs w:val="20"/>
          <w:u w:val="single"/>
        </w:rPr>
      </w:pPr>
      <w:r w:rsidRPr="00CE6659">
        <w:rPr>
          <w:rFonts w:ascii="Arial" w:hAnsi="Arial" w:cs="Arial"/>
          <w:b/>
          <w:sz w:val="20"/>
          <w:szCs w:val="20"/>
          <w:u w:val="single"/>
        </w:rPr>
        <w:t>Άρθρο 07654 «Αγορά Εξοπλισμού Γραφείων»</w:t>
      </w:r>
      <w:r w:rsidR="00981F6A" w:rsidRPr="00CE6659">
        <w:rPr>
          <w:rFonts w:ascii="Arial" w:hAnsi="Arial" w:cs="Arial"/>
          <w:b/>
          <w:sz w:val="20"/>
          <w:szCs w:val="20"/>
          <w:u w:val="single"/>
        </w:rPr>
        <w:tab/>
        <w:t>€</w:t>
      </w:r>
      <w:r w:rsidR="00E35041" w:rsidRPr="00880E70">
        <w:rPr>
          <w:rFonts w:ascii="Arial" w:hAnsi="Arial" w:cs="Arial"/>
          <w:b/>
          <w:sz w:val="20"/>
          <w:szCs w:val="20"/>
          <w:u w:val="single"/>
        </w:rPr>
        <w:t>458</w:t>
      </w:r>
      <w:r w:rsidR="00664F3F">
        <w:rPr>
          <w:rFonts w:ascii="Arial" w:hAnsi="Arial" w:cs="Arial"/>
          <w:b/>
          <w:sz w:val="20"/>
          <w:szCs w:val="20"/>
          <w:u w:val="single"/>
        </w:rPr>
        <w:t>.000</w:t>
      </w:r>
    </w:p>
    <w:p w:rsidR="00384310" w:rsidRDefault="00384310" w:rsidP="000915DB">
      <w:pPr>
        <w:jc w:val="both"/>
        <w:rPr>
          <w:rFonts w:ascii="Arial" w:hAnsi="Arial" w:cs="Arial"/>
          <w:sz w:val="20"/>
          <w:szCs w:val="20"/>
        </w:rPr>
      </w:pPr>
      <w:r w:rsidRPr="00CE6659">
        <w:rPr>
          <w:rFonts w:ascii="Arial" w:hAnsi="Arial" w:cs="Arial"/>
          <w:sz w:val="20"/>
          <w:szCs w:val="20"/>
        </w:rPr>
        <w:t xml:space="preserve">Η προτεινόμενη πρόνοια προορίζεται να καλύψει τη δαπάνη </w:t>
      </w:r>
      <w:r w:rsidR="009831C6">
        <w:rPr>
          <w:rFonts w:ascii="Arial" w:hAnsi="Arial" w:cs="Arial"/>
          <w:sz w:val="20"/>
          <w:szCs w:val="20"/>
        </w:rPr>
        <w:t xml:space="preserve">για την </w:t>
      </w:r>
      <w:r w:rsidR="00664F3F">
        <w:rPr>
          <w:rFonts w:ascii="Arial" w:hAnsi="Arial" w:cs="Arial"/>
          <w:sz w:val="20"/>
          <w:szCs w:val="20"/>
        </w:rPr>
        <w:t>ανακαίνιση των καταστημάτων του Οργανισμού (Λάρνακα και Παραλίμνι). Αξίζει να σημειωθεί ότι εντός του 20</w:t>
      </w:r>
      <w:r w:rsidR="009831C6">
        <w:rPr>
          <w:rFonts w:ascii="Arial" w:hAnsi="Arial" w:cs="Arial"/>
          <w:sz w:val="20"/>
          <w:szCs w:val="20"/>
        </w:rPr>
        <w:t>20</w:t>
      </w:r>
      <w:r w:rsidR="00664F3F">
        <w:rPr>
          <w:rFonts w:ascii="Arial" w:hAnsi="Arial" w:cs="Arial"/>
          <w:sz w:val="20"/>
          <w:szCs w:val="20"/>
        </w:rPr>
        <w:t xml:space="preserve"> ο Οργανισμός υπόγραψε νέα συμφωνία μίσθωσης για το κατάστημα </w:t>
      </w:r>
      <w:r w:rsidR="009831C6">
        <w:rPr>
          <w:rFonts w:ascii="Arial" w:hAnsi="Arial" w:cs="Arial"/>
          <w:sz w:val="20"/>
          <w:szCs w:val="20"/>
        </w:rPr>
        <w:t xml:space="preserve">Λάρνακα και Παραλίμνι. Με την ολοκλήρωση της ανακαίνισης των καταστημάτων θα </w:t>
      </w:r>
      <w:r w:rsidR="007B696A">
        <w:rPr>
          <w:rFonts w:ascii="Arial" w:hAnsi="Arial" w:cs="Arial"/>
          <w:sz w:val="20"/>
          <w:szCs w:val="20"/>
        </w:rPr>
        <w:t xml:space="preserve">έχουν </w:t>
      </w:r>
      <w:r w:rsidR="009831C6">
        <w:rPr>
          <w:rFonts w:ascii="Arial" w:hAnsi="Arial" w:cs="Arial"/>
          <w:sz w:val="20"/>
          <w:szCs w:val="20"/>
        </w:rPr>
        <w:t>ανανεωθ</w:t>
      </w:r>
      <w:r w:rsidR="007B696A">
        <w:rPr>
          <w:rFonts w:ascii="Arial" w:hAnsi="Arial" w:cs="Arial"/>
          <w:sz w:val="20"/>
          <w:szCs w:val="20"/>
        </w:rPr>
        <w:t>εί</w:t>
      </w:r>
      <w:r w:rsidR="009831C6">
        <w:rPr>
          <w:rFonts w:ascii="Arial" w:hAnsi="Arial" w:cs="Arial"/>
          <w:sz w:val="20"/>
          <w:szCs w:val="20"/>
        </w:rPr>
        <w:t xml:space="preserve"> όλοι οι χώροι που δέχονται κοινό και θα συνάδει </w:t>
      </w:r>
      <w:r w:rsidR="00B56DF1">
        <w:rPr>
          <w:rFonts w:ascii="Arial" w:hAnsi="Arial" w:cs="Arial"/>
          <w:sz w:val="20"/>
          <w:szCs w:val="20"/>
        </w:rPr>
        <w:t xml:space="preserve">με τη </w:t>
      </w:r>
      <w:r w:rsidR="00395A2A">
        <w:rPr>
          <w:rFonts w:ascii="Arial" w:hAnsi="Arial" w:cs="Arial"/>
          <w:sz w:val="20"/>
          <w:szCs w:val="20"/>
        </w:rPr>
        <w:t xml:space="preserve">σύγχρονη </w:t>
      </w:r>
      <w:r w:rsidR="00B56DF1">
        <w:rPr>
          <w:rFonts w:ascii="Arial" w:hAnsi="Arial" w:cs="Arial"/>
          <w:sz w:val="20"/>
          <w:szCs w:val="20"/>
        </w:rPr>
        <w:t xml:space="preserve">εικόνα του Οργανισμού. </w:t>
      </w:r>
    </w:p>
    <w:p w:rsidR="00384310" w:rsidRPr="0077198E" w:rsidRDefault="00384310" w:rsidP="000915DB">
      <w:pPr>
        <w:jc w:val="both"/>
        <w:rPr>
          <w:rFonts w:ascii="Arial" w:hAnsi="Arial" w:cs="Arial"/>
          <w:b/>
          <w:sz w:val="20"/>
          <w:szCs w:val="20"/>
          <w:u w:val="single"/>
        </w:rPr>
      </w:pPr>
      <w:r w:rsidRPr="00CE6659">
        <w:rPr>
          <w:rFonts w:ascii="Arial" w:hAnsi="Arial" w:cs="Arial"/>
          <w:b/>
          <w:sz w:val="20"/>
          <w:szCs w:val="20"/>
          <w:u w:val="single"/>
        </w:rPr>
        <w:t>Άρθρο 07752 «Αγορά Λογισμικών Προγραμμάτων»</w:t>
      </w:r>
      <w:r w:rsidR="00981F6A" w:rsidRPr="00CE6659">
        <w:rPr>
          <w:rFonts w:ascii="Arial" w:hAnsi="Arial" w:cs="Arial"/>
          <w:b/>
          <w:sz w:val="20"/>
          <w:szCs w:val="20"/>
          <w:u w:val="single"/>
        </w:rPr>
        <w:tab/>
        <w:t>€</w:t>
      </w:r>
      <w:r w:rsidR="00E35041">
        <w:rPr>
          <w:rFonts w:ascii="Arial" w:hAnsi="Arial" w:cs="Arial"/>
          <w:b/>
          <w:sz w:val="20"/>
          <w:szCs w:val="20"/>
          <w:u w:val="single"/>
        </w:rPr>
        <w:t>3.048.006</w:t>
      </w:r>
    </w:p>
    <w:p w:rsidR="008738B3" w:rsidRPr="00880E70" w:rsidRDefault="00384310" w:rsidP="000915DB">
      <w:pPr>
        <w:jc w:val="both"/>
        <w:rPr>
          <w:rFonts w:ascii="Arial" w:hAnsi="Arial" w:cs="Arial"/>
          <w:sz w:val="20"/>
          <w:szCs w:val="20"/>
        </w:rPr>
      </w:pPr>
      <w:r w:rsidRPr="00CE6659">
        <w:rPr>
          <w:rFonts w:ascii="Arial" w:hAnsi="Arial" w:cs="Arial"/>
          <w:sz w:val="20"/>
          <w:szCs w:val="20"/>
        </w:rPr>
        <w:t>Η προτεινόμενη πρόνοια προορίζεται να καλύψει τη δαπάνη για την αγορά λογισμικών προγραμμάτων συνέπεια της εποπτικής απαίτησ</w:t>
      </w:r>
      <w:r w:rsidR="00E06AF0" w:rsidRPr="00CE6659">
        <w:rPr>
          <w:rFonts w:ascii="Arial" w:hAnsi="Arial" w:cs="Arial"/>
          <w:sz w:val="20"/>
          <w:szCs w:val="20"/>
        </w:rPr>
        <w:t>ης για ανεξαρτητοποίηση από τη</w:t>
      </w:r>
      <w:r w:rsidR="00E35041">
        <w:rPr>
          <w:rFonts w:ascii="Arial" w:hAnsi="Arial" w:cs="Arial"/>
          <w:sz w:val="20"/>
          <w:szCs w:val="20"/>
        </w:rPr>
        <w:t>ν</w:t>
      </w:r>
      <w:r w:rsidRPr="00CE6659">
        <w:rPr>
          <w:rFonts w:ascii="Arial" w:hAnsi="Arial" w:cs="Arial"/>
          <w:sz w:val="20"/>
          <w:szCs w:val="20"/>
        </w:rPr>
        <w:t xml:space="preserve"> </w:t>
      </w:r>
      <w:r w:rsidR="00B56DF1">
        <w:rPr>
          <w:rFonts w:ascii="Arial" w:hAnsi="Arial" w:cs="Arial"/>
          <w:sz w:val="20"/>
          <w:szCs w:val="20"/>
        </w:rPr>
        <w:t>ΚΕΔΙΠΕΣ</w:t>
      </w:r>
      <w:r w:rsidRPr="00CE6659">
        <w:rPr>
          <w:rFonts w:ascii="Arial" w:hAnsi="Arial" w:cs="Arial"/>
          <w:sz w:val="20"/>
          <w:szCs w:val="20"/>
        </w:rPr>
        <w:t xml:space="preserve"> όσον αφορά την παροχή μηχανογραφικών υπηρεσιών</w:t>
      </w:r>
      <w:r w:rsidRPr="00086B9D">
        <w:rPr>
          <w:rFonts w:ascii="Arial" w:hAnsi="Arial" w:cs="Arial"/>
          <w:sz w:val="20"/>
          <w:szCs w:val="20"/>
        </w:rPr>
        <w:t xml:space="preserve">. </w:t>
      </w:r>
      <w:r w:rsidR="00B56DF1" w:rsidRPr="00086B9D">
        <w:rPr>
          <w:rFonts w:ascii="Arial" w:hAnsi="Arial" w:cs="Arial"/>
          <w:sz w:val="20"/>
          <w:szCs w:val="20"/>
        </w:rPr>
        <w:t xml:space="preserve">Το έργο της μηχανογραφικής ανεξαρτητοποίησης και αναβάθμισης των υπηρεσιών του Οργανισμού έχει αρχίσει από το δεύτερο τρίμηνο του 2017 με τη διενέργεια μελέτης </w:t>
      </w:r>
      <w:r w:rsidR="00B56DF1" w:rsidRPr="00086B9D">
        <w:rPr>
          <w:rFonts w:ascii="Arial" w:hAnsi="Arial" w:cs="Arial"/>
          <w:sz w:val="20"/>
          <w:szCs w:val="20"/>
        </w:rPr>
        <w:lastRenderedPageBreak/>
        <w:t>όσον αφορά τις Επιλογές Τεχνολογική Αναβάθ</w:t>
      </w:r>
      <w:r w:rsidR="004825B3" w:rsidRPr="00086B9D">
        <w:rPr>
          <w:rFonts w:ascii="Arial" w:hAnsi="Arial" w:cs="Arial"/>
          <w:sz w:val="20"/>
          <w:szCs w:val="20"/>
        </w:rPr>
        <w:t>μιση του ΟΧΣ συμπεριλαμβανομένης</w:t>
      </w:r>
      <w:r w:rsidR="00B56DF1" w:rsidRPr="00086B9D">
        <w:rPr>
          <w:rFonts w:ascii="Arial" w:hAnsi="Arial" w:cs="Arial"/>
          <w:sz w:val="20"/>
          <w:szCs w:val="20"/>
        </w:rPr>
        <w:t xml:space="preserve"> και μελέτης της τεχνολογικής υποδομής</w:t>
      </w:r>
      <w:r w:rsidR="00B5061E">
        <w:rPr>
          <w:rFonts w:ascii="Arial" w:hAnsi="Arial" w:cs="Arial"/>
          <w:sz w:val="20"/>
          <w:szCs w:val="20"/>
        </w:rPr>
        <w:t xml:space="preserve"> και σ</w:t>
      </w:r>
      <w:r w:rsidR="00E418A3" w:rsidRPr="00086B9D">
        <w:rPr>
          <w:rFonts w:ascii="Arial" w:hAnsi="Arial" w:cs="Arial"/>
          <w:sz w:val="20"/>
          <w:szCs w:val="20"/>
        </w:rPr>
        <w:t xml:space="preserve">τις 25 Ιανουαρίου 2019, ο Οργανισμός έχει προχωρήσει σε υπογραφή συμφωνίας με την IBM-Italia Spa για την παροχή, υλοποίηση και τη συντήρηση τραπεζικού συστήματος καθώς και περιφερειακών συστημάτων με συνολικό κόστος €10.245.000. </w:t>
      </w:r>
      <w:r w:rsidR="008160C6" w:rsidRPr="00086B9D">
        <w:rPr>
          <w:rFonts w:ascii="Arial" w:hAnsi="Arial" w:cs="Arial"/>
          <w:sz w:val="20"/>
          <w:szCs w:val="20"/>
        </w:rPr>
        <w:t>Το συνολικό κόστος συμπεριλαμβάνει το κόστος αγοράς</w:t>
      </w:r>
      <w:r w:rsidR="00395A2A" w:rsidRPr="00086B9D">
        <w:rPr>
          <w:rFonts w:ascii="Arial" w:hAnsi="Arial" w:cs="Arial"/>
          <w:sz w:val="20"/>
          <w:szCs w:val="20"/>
        </w:rPr>
        <w:t>, εγκατάστασης, λειτουργίας</w:t>
      </w:r>
      <w:r w:rsidR="003905FB" w:rsidRPr="00086B9D">
        <w:rPr>
          <w:rFonts w:ascii="Arial" w:hAnsi="Arial" w:cs="Arial"/>
          <w:sz w:val="20"/>
          <w:szCs w:val="20"/>
        </w:rPr>
        <w:t xml:space="preserve"> που ανέρχεται σε €4.523.482</w:t>
      </w:r>
      <w:r w:rsidR="00395A2A" w:rsidRPr="00086B9D">
        <w:rPr>
          <w:rFonts w:ascii="Arial" w:hAnsi="Arial" w:cs="Arial"/>
          <w:sz w:val="20"/>
          <w:szCs w:val="20"/>
        </w:rPr>
        <w:t xml:space="preserve"> </w:t>
      </w:r>
      <w:r w:rsidR="008160C6" w:rsidRPr="00086B9D">
        <w:rPr>
          <w:rFonts w:ascii="Arial" w:hAnsi="Arial" w:cs="Arial"/>
          <w:sz w:val="20"/>
          <w:szCs w:val="20"/>
        </w:rPr>
        <w:t>καθώς και συντήρησης για 5 χρόνια</w:t>
      </w:r>
      <w:r w:rsidR="003905FB" w:rsidRPr="00086B9D">
        <w:rPr>
          <w:rFonts w:ascii="Arial" w:hAnsi="Arial" w:cs="Arial"/>
          <w:sz w:val="20"/>
          <w:szCs w:val="20"/>
        </w:rPr>
        <w:t xml:space="preserve"> με κόστος €5.722.318</w:t>
      </w:r>
      <w:r w:rsidR="008160C6" w:rsidRPr="00086B9D">
        <w:rPr>
          <w:rFonts w:ascii="Arial" w:hAnsi="Arial" w:cs="Arial"/>
          <w:sz w:val="20"/>
          <w:szCs w:val="20"/>
        </w:rPr>
        <w:t xml:space="preserve">. </w:t>
      </w:r>
    </w:p>
    <w:p w:rsidR="008738B3" w:rsidRPr="00C827E0" w:rsidRDefault="008738B3" w:rsidP="000915DB">
      <w:pPr>
        <w:jc w:val="both"/>
        <w:rPr>
          <w:rFonts w:ascii="Arial" w:hAnsi="Arial" w:cs="Arial"/>
          <w:sz w:val="20"/>
          <w:szCs w:val="20"/>
          <w:highlight w:val="yellow"/>
        </w:rPr>
      </w:pPr>
      <w:r w:rsidRPr="008738B3">
        <w:rPr>
          <w:rFonts w:ascii="Arial" w:hAnsi="Arial" w:cs="Arial"/>
          <w:sz w:val="20"/>
          <w:szCs w:val="20"/>
        </w:rPr>
        <w:t>Στις 14 Απριλίου 2021 το Διοικητικό Συμβούλιο του Οργανισμού αποφάσισε όπως ζητήσει τον τερματισμό της εμπλοκής συγκεκριμένου υπεργολάβου στο έργο τεχνολογικής αναβάθμισης και προς τούτο το έργο έχει μερικώς παγοποιηθεί μέχρι να καταστεί δυνατό ο Ανάδοχος του έργου IBM Italia Spa, να υποβάλει πρόταση για αντικατάσταση του συγκεκριμένου υπεργολάβου με προοπτική υλοποίησης του έργου με τα καλύτερα δυνατά αποτελέσματα.</w:t>
      </w:r>
      <w:r w:rsidR="001132F9" w:rsidRPr="001132F9">
        <w:rPr>
          <w:rFonts w:ascii="Arial" w:hAnsi="Arial" w:cs="Arial"/>
          <w:sz w:val="20"/>
          <w:szCs w:val="20"/>
        </w:rPr>
        <w:t>.</w:t>
      </w:r>
    </w:p>
    <w:p w:rsidR="008738B3" w:rsidRDefault="008160C6" w:rsidP="000915DB">
      <w:pPr>
        <w:jc w:val="both"/>
        <w:rPr>
          <w:rFonts w:ascii="Arial" w:hAnsi="Arial" w:cs="Arial"/>
          <w:sz w:val="20"/>
          <w:szCs w:val="20"/>
        </w:rPr>
      </w:pPr>
      <w:bookmarkStart w:id="1" w:name="_GoBack"/>
      <w:r w:rsidRPr="00086B9D">
        <w:rPr>
          <w:rFonts w:ascii="Arial" w:hAnsi="Arial" w:cs="Arial"/>
          <w:sz w:val="20"/>
          <w:szCs w:val="20"/>
        </w:rPr>
        <w:t>Επιπρόσθετα, η πιο πάνω πρόνοια συμπεριλαμβάνει και την αγορά πρόσθετων λογισμικών</w:t>
      </w:r>
      <w:r w:rsidR="009831C6" w:rsidRPr="00086B9D">
        <w:rPr>
          <w:rFonts w:ascii="Arial" w:hAnsi="Arial" w:cs="Arial"/>
          <w:sz w:val="20"/>
          <w:szCs w:val="20"/>
        </w:rPr>
        <w:t xml:space="preserve"> που είναι αναγκαία για σκοπούς συμμόρφωσης του Οργανισμού π.χ. λογισμικό πρόγραμμα για ετοιμασία εποπτικών καταστάσεων, υπολογισμού προβλέψεων σύμφωνα με το Διεθνές Πρότυπο Χρηματοοικονομικής Αναφοράς 9</w:t>
      </w:r>
      <w:r w:rsidRPr="00086B9D">
        <w:rPr>
          <w:rFonts w:ascii="Arial" w:hAnsi="Arial" w:cs="Arial"/>
          <w:sz w:val="20"/>
          <w:szCs w:val="20"/>
        </w:rPr>
        <w:t xml:space="preserve">. </w:t>
      </w:r>
      <w:r w:rsidR="00B56DF1" w:rsidRPr="00086B9D">
        <w:rPr>
          <w:rFonts w:ascii="Arial" w:hAnsi="Arial" w:cs="Arial"/>
          <w:sz w:val="20"/>
          <w:szCs w:val="20"/>
        </w:rPr>
        <w:t xml:space="preserve">Ο πίνακας πιο κάτω συμπεριλαμβάνει αναλυτικά το κόστος αγοράς ανά λογισμικό </w:t>
      </w:r>
      <w:r w:rsidRPr="00086B9D">
        <w:rPr>
          <w:rFonts w:ascii="Arial" w:hAnsi="Arial" w:cs="Arial"/>
          <w:sz w:val="20"/>
          <w:szCs w:val="20"/>
        </w:rPr>
        <w:t>πρόγραμμα</w:t>
      </w:r>
      <w:r w:rsidR="00685613" w:rsidRPr="00086B9D">
        <w:rPr>
          <w:rFonts w:ascii="Arial" w:hAnsi="Arial" w:cs="Arial"/>
          <w:sz w:val="20"/>
          <w:szCs w:val="20"/>
        </w:rPr>
        <w:t xml:space="preserve"> ανά έτος σύμφωνα με το πλάνο υλοποίησης</w:t>
      </w:r>
      <w:r w:rsidRPr="00086B9D">
        <w:rPr>
          <w:rFonts w:ascii="Arial" w:hAnsi="Arial" w:cs="Arial"/>
          <w:sz w:val="20"/>
          <w:szCs w:val="20"/>
        </w:rPr>
        <w:t>.</w:t>
      </w:r>
      <w:r>
        <w:rPr>
          <w:rFonts w:ascii="Arial" w:hAnsi="Arial" w:cs="Arial"/>
          <w:sz w:val="20"/>
          <w:szCs w:val="20"/>
        </w:rPr>
        <w:t xml:space="preserve"> </w:t>
      </w:r>
    </w:p>
    <w:bookmarkEnd w:id="1"/>
    <w:p w:rsidR="002A3F8F" w:rsidRDefault="002A3F8F" w:rsidP="000915DB">
      <w:pPr>
        <w:jc w:val="both"/>
        <w:rPr>
          <w:rFonts w:ascii="Arial" w:hAnsi="Arial" w:cs="Arial"/>
          <w:sz w:val="20"/>
          <w:szCs w:val="20"/>
        </w:rPr>
      </w:pPr>
    </w:p>
    <w:tbl>
      <w:tblPr>
        <w:tblW w:w="9326" w:type="dxa"/>
        <w:jc w:val="center"/>
        <w:tblLayout w:type="fixed"/>
        <w:tblLook w:val="04A0" w:firstRow="1" w:lastRow="0" w:firstColumn="1" w:lastColumn="0" w:noHBand="0" w:noVBand="1"/>
      </w:tblPr>
      <w:tblGrid>
        <w:gridCol w:w="4832"/>
        <w:gridCol w:w="460"/>
        <w:gridCol w:w="1344"/>
        <w:gridCol w:w="1345"/>
        <w:gridCol w:w="1345"/>
      </w:tblGrid>
      <w:tr w:rsidR="003B53B4" w:rsidRPr="003905FB" w:rsidTr="00880E70">
        <w:trPr>
          <w:trHeight w:val="326"/>
          <w:jc w:val="center"/>
        </w:trPr>
        <w:tc>
          <w:tcPr>
            <w:tcW w:w="4832" w:type="dxa"/>
            <w:tcBorders>
              <w:top w:val="nil"/>
              <w:left w:val="nil"/>
              <w:bottom w:val="nil"/>
              <w:right w:val="nil"/>
            </w:tcBorders>
            <w:shd w:val="clear" w:color="auto" w:fill="auto"/>
            <w:noWrap/>
            <w:vAlign w:val="bottom"/>
          </w:tcPr>
          <w:p w:rsidR="00E418A3" w:rsidRPr="003905FB" w:rsidRDefault="00E418A3" w:rsidP="00E418A3">
            <w:pPr>
              <w:spacing w:after="0" w:line="240" w:lineRule="auto"/>
              <w:rPr>
                <w:rFonts w:ascii="Arial" w:eastAsia="Times New Roman" w:hAnsi="Arial" w:cs="Arial"/>
                <w:b/>
                <w:bCs/>
                <w:sz w:val="18"/>
                <w:u w:val="single"/>
              </w:rPr>
            </w:pPr>
          </w:p>
        </w:tc>
        <w:tc>
          <w:tcPr>
            <w:tcW w:w="460" w:type="dxa"/>
            <w:tcBorders>
              <w:top w:val="nil"/>
              <w:left w:val="nil"/>
              <w:bottom w:val="nil"/>
              <w:right w:val="nil"/>
            </w:tcBorders>
            <w:shd w:val="clear" w:color="auto" w:fill="auto"/>
            <w:noWrap/>
            <w:vAlign w:val="bottom"/>
          </w:tcPr>
          <w:p w:rsidR="00E418A3" w:rsidRPr="003905FB" w:rsidRDefault="00E418A3" w:rsidP="00E418A3">
            <w:pPr>
              <w:spacing w:after="0" w:line="240" w:lineRule="auto"/>
              <w:rPr>
                <w:rFonts w:ascii="Arial" w:eastAsia="Times New Roman" w:hAnsi="Arial" w:cs="Arial"/>
                <w:b/>
                <w:bCs/>
                <w:sz w:val="18"/>
                <w:u w:val="single"/>
              </w:rPr>
            </w:pPr>
          </w:p>
        </w:tc>
        <w:tc>
          <w:tcPr>
            <w:tcW w:w="1344" w:type="dxa"/>
            <w:tcBorders>
              <w:top w:val="nil"/>
              <w:left w:val="nil"/>
              <w:bottom w:val="nil"/>
              <w:right w:val="nil"/>
            </w:tcBorders>
            <w:shd w:val="clear" w:color="auto" w:fill="auto"/>
            <w:noWrap/>
            <w:vAlign w:val="bottom"/>
          </w:tcPr>
          <w:p w:rsidR="00E418A3" w:rsidRPr="003905FB" w:rsidRDefault="00E418A3" w:rsidP="00E418A3">
            <w:pPr>
              <w:spacing w:after="0" w:line="240" w:lineRule="auto"/>
              <w:jc w:val="center"/>
              <w:rPr>
                <w:rFonts w:ascii="Arial" w:eastAsia="Times New Roman" w:hAnsi="Arial" w:cs="Arial"/>
                <w:b/>
                <w:sz w:val="18"/>
                <w:szCs w:val="20"/>
              </w:rPr>
            </w:pPr>
            <w:r w:rsidRPr="003905FB">
              <w:rPr>
                <w:rFonts w:ascii="Arial" w:eastAsia="Times New Roman" w:hAnsi="Arial" w:cs="Arial"/>
                <w:b/>
                <w:sz w:val="18"/>
                <w:szCs w:val="20"/>
              </w:rPr>
              <w:t>202</w:t>
            </w:r>
            <w:r w:rsidR="00E35041">
              <w:rPr>
                <w:rFonts w:ascii="Arial" w:eastAsia="Times New Roman" w:hAnsi="Arial" w:cs="Arial"/>
                <w:b/>
                <w:sz w:val="18"/>
                <w:szCs w:val="20"/>
              </w:rPr>
              <w:t>2</w:t>
            </w:r>
          </w:p>
        </w:tc>
        <w:tc>
          <w:tcPr>
            <w:tcW w:w="1345" w:type="dxa"/>
            <w:tcBorders>
              <w:top w:val="nil"/>
              <w:left w:val="nil"/>
              <w:bottom w:val="nil"/>
              <w:right w:val="nil"/>
            </w:tcBorders>
            <w:shd w:val="clear" w:color="auto" w:fill="auto"/>
            <w:noWrap/>
            <w:vAlign w:val="bottom"/>
          </w:tcPr>
          <w:p w:rsidR="00E418A3" w:rsidRPr="003905FB" w:rsidRDefault="00E418A3" w:rsidP="00E418A3">
            <w:pPr>
              <w:spacing w:after="0" w:line="240" w:lineRule="auto"/>
              <w:jc w:val="center"/>
              <w:rPr>
                <w:rFonts w:ascii="Arial" w:eastAsia="Times New Roman" w:hAnsi="Arial" w:cs="Arial"/>
                <w:b/>
                <w:sz w:val="18"/>
                <w:szCs w:val="20"/>
              </w:rPr>
            </w:pPr>
            <w:r w:rsidRPr="003905FB">
              <w:rPr>
                <w:rFonts w:ascii="Arial" w:eastAsia="Times New Roman" w:hAnsi="Arial" w:cs="Arial"/>
                <w:b/>
                <w:sz w:val="18"/>
                <w:szCs w:val="20"/>
              </w:rPr>
              <w:t>202</w:t>
            </w:r>
            <w:r w:rsidR="00E35041">
              <w:rPr>
                <w:rFonts w:ascii="Arial" w:eastAsia="Times New Roman" w:hAnsi="Arial" w:cs="Arial"/>
                <w:b/>
                <w:sz w:val="18"/>
                <w:szCs w:val="20"/>
              </w:rPr>
              <w:t>3</w:t>
            </w:r>
          </w:p>
        </w:tc>
        <w:tc>
          <w:tcPr>
            <w:tcW w:w="1345" w:type="dxa"/>
            <w:tcBorders>
              <w:top w:val="nil"/>
              <w:left w:val="nil"/>
              <w:bottom w:val="nil"/>
              <w:right w:val="nil"/>
            </w:tcBorders>
            <w:shd w:val="clear" w:color="auto" w:fill="auto"/>
            <w:noWrap/>
            <w:vAlign w:val="bottom"/>
          </w:tcPr>
          <w:p w:rsidR="00E418A3" w:rsidRPr="003905FB" w:rsidRDefault="00E418A3" w:rsidP="00E418A3">
            <w:pPr>
              <w:spacing w:after="0" w:line="240" w:lineRule="auto"/>
              <w:jc w:val="center"/>
              <w:rPr>
                <w:rFonts w:ascii="Arial" w:eastAsia="Times New Roman" w:hAnsi="Arial" w:cs="Arial"/>
                <w:b/>
                <w:sz w:val="18"/>
                <w:szCs w:val="20"/>
              </w:rPr>
            </w:pPr>
            <w:r w:rsidRPr="003905FB">
              <w:rPr>
                <w:rFonts w:ascii="Arial" w:eastAsia="Times New Roman" w:hAnsi="Arial" w:cs="Arial"/>
                <w:b/>
                <w:sz w:val="18"/>
                <w:szCs w:val="20"/>
              </w:rPr>
              <w:t>202</w:t>
            </w:r>
            <w:r w:rsidR="00E35041">
              <w:rPr>
                <w:rFonts w:ascii="Arial" w:eastAsia="Times New Roman" w:hAnsi="Arial" w:cs="Arial"/>
                <w:b/>
                <w:sz w:val="18"/>
                <w:szCs w:val="20"/>
              </w:rPr>
              <w:t>4</w:t>
            </w:r>
          </w:p>
        </w:tc>
      </w:tr>
      <w:tr w:rsidR="003B53B4" w:rsidRPr="003905FB" w:rsidTr="00880E70">
        <w:trPr>
          <w:trHeight w:val="326"/>
          <w:jc w:val="center"/>
        </w:trPr>
        <w:tc>
          <w:tcPr>
            <w:tcW w:w="4832" w:type="dxa"/>
            <w:tcBorders>
              <w:top w:val="nil"/>
              <w:left w:val="nil"/>
              <w:bottom w:val="nil"/>
              <w:right w:val="nil"/>
            </w:tcBorders>
            <w:shd w:val="clear" w:color="auto" w:fill="auto"/>
            <w:noWrap/>
            <w:vAlign w:val="bottom"/>
          </w:tcPr>
          <w:p w:rsidR="00E418A3" w:rsidRPr="003905FB" w:rsidRDefault="00E418A3" w:rsidP="00E418A3">
            <w:pPr>
              <w:spacing w:after="0" w:line="240" w:lineRule="auto"/>
              <w:rPr>
                <w:rFonts w:ascii="Arial" w:eastAsia="Times New Roman" w:hAnsi="Arial" w:cs="Arial"/>
                <w:b/>
                <w:bCs/>
                <w:sz w:val="18"/>
                <w:u w:val="single"/>
                <w:lang w:val="en-US"/>
              </w:rPr>
            </w:pPr>
          </w:p>
        </w:tc>
        <w:tc>
          <w:tcPr>
            <w:tcW w:w="460" w:type="dxa"/>
            <w:tcBorders>
              <w:top w:val="nil"/>
              <w:left w:val="nil"/>
              <w:bottom w:val="nil"/>
              <w:right w:val="nil"/>
            </w:tcBorders>
            <w:shd w:val="clear" w:color="auto" w:fill="auto"/>
            <w:noWrap/>
            <w:vAlign w:val="bottom"/>
          </w:tcPr>
          <w:p w:rsidR="00E418A3" w:rsidRPr="003905FB" w:rsidRDefault="00E418A3" w:rsidP="00E418A3">
            <w:pPr>
              <w:spacing w:after="0" w:line="240" w:lineRule="auto"/>
              <w:rPr>
                <w:rFonts w:ascii="Arial" w:eastAsia="Times New Roman" w:hAnsi="Arial" w:cs="Arial"/>
                <w:b/>
                <w:bCs/>
                <w:sz w:val="18"/>
                <w:u w:val="single"/>
                <w:lang w:val="en-US"/>
              </w:rPr>
            </w:pPr>
          </w:p>
        </w:tc>
        <w:tc>
          <w:tcPr>
            <w:tcW w:w="1344" w:type="dxa"/>
            <w:tcBorders>
              <w:top w:val="nil"/>
              <w:left w:val="nil"/>
              <w:bottom w:val="nil"/>
              <w:right w:val="nil"/>
            </w:tcBorders>
            <w:shd w:val="clear" w:color="auto" w:fill="auto"/>
            <w:noWrap/>
            <w:vAlign w:val="bottom"/>
          </w:tcPr>
          <w:p w:rsidR="00E418A3" w:rsidRPr="003905FB" w:rsidRDefault="00E418A3" w:rsidP="00E418A3">
            <w:pPr>
              <w:spacing w:after="0" w:line="240" w:lineRule="auto"/>
              <w:jc w:val="center"/>
              <w:rPr>
                <w:rFonts w:ascii="Arial" w:eastAsia="Times New Roman" w:hAnsi="Arial" w:cs="Arial"/>
                <w:b/>
                <w:sz w:val="18"/>
                <w:szCs w:val="20"/>
              </w:rPr>
            </w:pPr>
            <w:r w:rsidRPr="003905FB">
              <w:rPr>
                <w:rFonts w:ascii="Arial" w:eastAsia="Times New Roman" w:hAnsi="Arial" w:cs="Arial"/>
                <w:b/>
                <w:sz w:val="18"/>
                <w:szCs w:val="20"/>
              </w:rPr>
              <w:t>€</w:t>
            </w:r>
          </w:p>
        </w:tc>
        <w:tc>
          <w:tcPr>
            <w:tcW w:w="1345" w:type="dxa"/>
            <w:tcBorders>
              <w:top w:val="nil"/>
              <w:left w:val="nil"/>
              <w:bottom w:val="nil"/>
              <w:right w:val="nil"/>
            </w:tcBorders>
            <w:shd w:val="clear" w:color="auto" w:fill="auto"/>
            <w:noWrap/>
            <w:vAlign w:val="bottom"/>
          </w:tcPr>
          <w:p w:rsidR="00E418A3" w:rsidRPr="003905FB" w:rsidRDefault="00E418A3" w:rsidP="00E418A3">
            <w:pPr>
              <w:spacing w:after="0" w:line="240" w:lineRule="auto"/>
              <w:jc w:val="center"/>
              <w:rPr>
                <w:rFonts w:ascii="Arial" w:eastAsia="Times New Roman" w:hAnsi="Arial" w:cs="Arial"/>
                <w:b/>
                <w:sz w:val="18"/>
                <w:szCs w:val="20"/>
              </w:rPr>
            </w:pPr>
            <w:r w:rsidRPr="003905FB">
              <w:rPr>
                <w:rFonts w:ascii="Arial" w:eastAsia="Times New Roman" w:hAnsi="Arial" w:cs="Arial"/>
                <w:b/>
                <w:sz w:val="18"/>
                <w:szCs w:val="20"/>
              </w:rPr>
              <w:t>€</w:t>
            </w:r>
          </w:p>
        </w:tc>
        <w:tc>
          <w:tcPr>
            <w:tcW w:w="1345" w:type="dxa"/>
            <w:tcBorders>
              <w:top w:val="nil"/>
              <w:left w:val="nil"/>
              <w:bottom w:val="nil"/>
              <w:right w:val="nil"/>
            </w:tcBorders>
            <w:shd w:val="clear" w:color="auto" w:fill="auto"/>
            <w:noWrap/>
            <w:vAlign w:val="bottom"/>
          </w:tcPr>
          <w:p w:rsidR="00E418A3" w:rsidRPr="003905FB" w:rsidRDefault="00E418A3" w:rsidP="00E418A3">
            <w:pPr>
              <w:spacing w:after="0" w:line="240" w:lineRule="auto"/>
              <w:jc w:val="center"/>
              <w:rPr>
                <w:rFonts w:ascii="Arial" w:eastAsia="Times New Roman" w:hAnsi="Arial" w:cs="Arial"/>
                <w:b/>
                <w:sz w:val="18"/>
                <w:szCs w:val="20"/>
              </w:rPr>
            </w:pPr>
            <w:r w:rsidRPr="003905FB">
              <w:rPr>
                <w:rFonts w:ascii="Arial" w:eastAsia="Times New Roman" w:hAnsi="Arial" w:cs="Arial"/>
                <w:b/>
                <w:sz w:val="18"/>
                <w:szCs w:val="20"/>
              </w:rPr>
              <w:t>€</w:t>
            </w:r>
          </w:p>
        </w:tc>
      </w:tr>
      <w:tr w:rsidR="00E35041" w:rsidRPr="003905FB" w:rsidTr="00880E70">
        <w:trPr>
          <w:trHeight w:val="326"/>
          <w:jc w:val="center"/>
        </w:trPr>
        <w:tc>
          <w:tcPr>
            <w:tcW w:w="4832" w:type="dxa"/>
            <w:tcBorders>
              <w:top w:val="nil"/>
              <w:left w:val="nil"/>
              <w:bottom w:val="nil"/>
              <w:right w:val="nil"/>
            </w:tcBorders>
            <w:shd w:val="clear" w:color="auto" w:fill="auto"/>
            <w:noWrap/>
            <w:vAlign w:val="bottom"/>
          </w:tcPr>
          <w:p w:rsidR="00E35041" w:rsidRPr="00880E70" w:rsidRDefault="00E35041" w:rsidP="0003768A">
            <w:pPr>
              <w:spacing w:after="0" w:line="240" w:lineRule="auto"/>
              <w:rPr>
                <w:rFonts w:ascii="Arial" w:eastAsia="Times New Roman" w:hAnsi="Arial" w:cs="Arial"/>
                <w:sz w:val="18"/>
                <w:lang w:val="en-US"/>
              </w:rPr>
            </w:pPr>
            <w:r w:rsidRPr="00880E70">
              <w:rPr>
                <w:rFonts w:ascii="Arial" w:eastAsia="Times New Roman" w:hAnsi="Arial" w:cs="Arial"/>
                <w:sz w:val="18"/>
                <w:lang w:val="en-US"/>
              </w:rPr>
              <w:t>Τραπεζικό σύστημα</w:t>
            </w:r>
          </w:p>
        </w:tc>
        <w:tc>
          <w:tcPr>
            <w:tcW w:w="460" w:type="dxa"/>
            <w:tcBorders>
              <w:top w:val="nil"/>
              <w:left w:val="nil"/>
              <w:bottom w:val="nil"/>
              <w:right w:val="nil"/>
            </w:tcBorders>
            <w:shd w:val="clear" w:color="auto" w:fill="auto"/>
            <w:noWrap/>
            <w:vAlign w:val="bottom"/>
          </w:tcPr>
          <w:p w:rsidR="00E35041" w:rsidRPr="003905FB" w:rsidRDefault="00E35041" w:rsidP="00E418A3">
            <w:pPr>
              <w:spacing w:after="0" w:line="240" w:lineRule="auto"/>
              <w:rPr>
                <w:rFonts w:ascii="Arial" w:eastAsia="Times New Roman" w:hAnsi="Arial" w:cs="Arial"/>
                <w:b/>
                <w:bCs/>
                <w:sz w:val="18"/>
                <w:u w:val="single"/>
                <w:lang w:val="en-US"/>
              </w:rPr>
            </w:pPr>
          </w:p>
        </w:tc>
        <w:tc>
          <w:tcPr>
            <w:tcW w:w="1344" w:type="dxa"/>
            <w:tcBorders>
              <w:top w:val="nil"/>
              <w:left w:val="nil"/>
              <w:bottom w:val="nil"/>
              <w:right w:val="nil"/>
            </w:tcBorders>
            <w:shd w:val="clear" w:color="auto" w:fill="auto"/>
            <w:noWrap/>
            <w:vAlign w:val="bottom"/>
          </w:tcPr>
          <w:p w:rsidR="00E35041" w:rsidRPr="00880E70" w:rsidRDefault="00E35041" w:rsidP="00880E70">
            <w:pPr>
              <w:spacing w:after="0" w:line="240" w:lineRule="auto"/>
              <w:jc w:val="right"/>
              <w:rPr>
                <w:rFonts w:ascii="Arial" w:eastAsia="Times New Roman" w:hAnsi="Arial" w:cs="Arial"/>
                <w:sz w:val="18"/>
                <w:szCs w:val="20"/>
              </w:rPr>
            </w:pPr>
            <w:r w:rsidRPr="00880E70">
              <w:rPr>
                <w:rFonts w:ascii="Arial" w:eastAsia="Times New Roman" w:hAnsi="Arial" w:cs="Arial"/>
                <w:sz w:val="18"/>
                <w:szCs w:val="20"/>
              </w:rPr>
              <w:t>2.500.000</w:t>
            </w:r>
          </w:p>
        </w:tc>
        <w:tc>
          <w:tcPr>
            <w:tcW w:w="1345" w:type="dxa"/>
            <w:tcBorders>
              <w:top w:val="nil"/>
              <w:left w:val="nil"/>
              <w:bottom w:val="nil"/>
              <w:right w:val="nil"/>
            </w:tcBorders>
            <w:shd w:val="clear" w:color="auto" w:fill="auto"/>
            <w:noWrap/>
            <w:vAlign w:val="bottom"/>
          </w:tcPr>
          <w:p w:rsidR="00E35041" w:rsidRPr="00880E70" w:rsidRDefault="002A3F8F" w:rsidP="00880E70">
            <w:pPr>
              <w:spacing w:after="0" w:line="240" w:lineRule="auto"/>
              <w:jc w:val="right"/>
              <w:rPr>
                <w:rFonts w:ascii="Arial" w:eastAsia="Times New Roman" w:hAnsi="Arial" w:cs="Arial"/>
                <w:sz w:val="18"/>
                <w:szCs w:val="20"/>
                <w:lang w:val="en-GB"/>
              </w:rPr>
            </w:pPr>
            <w:r>
              <w:rPr>
                <w:rFonts w:ascii="Arial" w:eastAsia="Times New Roman" w:hAnsi="Arial" w:cs="Arial"/>
                <w:sz w:val="18"/>
                <w:szCs w:val="20"/>
                <w:lang w:val="en-GB"/>
              </w:rPr>
              <w:t>0</w:t>
            </w:r>
          </w:p>
        </w:tc>
        <w:tc>
          <w:tcPr>
            <w:tcW w:w="1345" w:type="dxa"/>
            <w:tcBorders>
              <w:top w:val="nil"/>
              <w:left w:val="nil"/>
              <w:bottom w:val="nil"/>
              <w:right w:val="nil"/>
            </w:tcBorders>
            <w:shd w:val="clear" w:color="auto" w:fill="auto"/>
            <w:noWrap/>
            <w:vAlign w:val="bottom"/>
          </w:tcPr>
          <w:p w:rsidR="00E35041" w:rsidRPr="00880E70" w:rsidRDefault="002A3F8F" w:rsidP="00880E70">
            <w:pPr>
              <w:spacing w:after="0" w:line="240" w:lineRule="auto"/>
              <w:jc w:val="right"/>
              <w:rPr>
                <w:rFonts w:ascii="Arial" w:eastAsia="Times New Roman" w:hAnsi="Arial" w:cs="Arial"/>
                <w:b/>
                <w:sz w:val="18"/>
                <w:szCs w:val="20"/>
                <w:lang w:val="en-GB"/>
              </w:rPr>
            </w:pPr>
            <w:r>
              <w:rPr>
                <w:rFonts w:ascii="Arial" w:eastAsia="Times New Roman" w:hAnsi="Arial" w:cs="Arial"/>
                <w:sz w:val="18"/>
                <w:szCs w:val="20"/>
                <w:lang w:val="en-GB"/>
              </w:rPr>
              <w:t>0</w:t>
            </w:r>
          </w:p>
        </w:tc>
      </w:tr>
      <w:tr w:rsidR="003B53B4" w:rsidRPr="003905FB" w:rsidTr="00880E70">
        <w:trPr>
          <w:trHeight w:val="326"/>
          <w:jc w:val="center"/>
        </w:trPr>
        <w:tc>
          <w:tcPr>
            <w:tcW w:w="4832" w:type="dxa"/>
            <w:tcBorders>
              <w:top w:val="nil"/>
              <w:left w:val="nil"/>
              <w:bottom w:val="nil"/>
              <w:right w:val="nil"/>
            </w:tcBorders>
            <w:shd w:val="clear" w:color="auto" w:fill="auto"/>
            <w:noWrap/>
            <w:vAlign w:val="bottom"/>
            <w:hideMark/>
          </w:tcPr>
          <w:p w:rsidR="00E418A3" w:rsidRPr="0037655D" w:rsidRDefault="00E418A3" w:rsidP="0003768A">
            <w:pPr>
              <w:spacing w:after="0" w:line="240" w:lineRule="auto"/>
              <w:rPr>
                <w:rFonts w:ascii="Arial" w:eastAsia="Times New Roman" w:hAnsi="Arial" w:cs="Arial"/>
                <w:sz w:val="18"/>
              </w:rPr>
            </w:pPr>
            <w:r w:rsidRPr="0037655D">
              <w:rPr>
                <w:rFonts w:ascii="Arial" w:eastAsia="Times New Roman" w:hAnsi="Arial" w:cs="Arial"/>
                <w:sz w:val="18"/>
              </w:rPr>
              <w:t xml:space="preserve">Εγκατάσταση συστήματος καρτών και </w:t>
            </w:r>
            <w:r w:rsidRPr="003905FB">
              <w:rPr>
                <w:rFonts w:ascii="Arial" w:eastAsia="Times New Roman" w:hAnsi="Arial" w:cs="Arial"/>
                <w:sz w:val="18"/>
                <w:lang w:val="en-US"/>
              </w:rPr>
              <w:t>ATM</w:t>
            </w:r>
          </w:p>
        </w:tc>
        <w:tc>
          <w:tcPr>
            <w:tcW w:w="460" w:type="dxa"/>
            <w:tcBorders>
              <w:top w:val="nil"/>
              <w:left w:val="nil"/>
              <w:bottom w:val="nil"/>
              <w:right w:val="nil"/>
            </w:tcBorders>
            <w:shd w:val="clear" w:color="auto" w:fill="auto"/>
            <w:noWrap/>
            <w:vAlign w:val="bottom"/>
            <w:hideMark/>
          </w:tcPr>
          <w:p w:rsidR="00E418A3" w:rsidRPr="003905FB" w:rsidRDefault="00E418A3" w:rsidP="00E418A3">
            <w:pPr>
              <w:spacing w:after="0" w:line="240" w:lineRule="auto"/>
              <w:rPr>
                <w:rFonts w:ascii="Arial" w:eastAsia="Times New Roman" w:hAnsi="Arial" w:cs="Arial"/>
                <w:sz w:val="18"/>
              </w:rPr>
            </w:pPr>
          </w:p>
        </w:tc>
        <w:tc>
          <w:tcPr>
            <w:tcW w:w="1344" w:type="dxa"/>
            <w:tcBorders>
              <w:top w:val="nil"/>
              <w:left w:val="nil"/>
              <w:bottom w:val="nil"/>
              <w:right w:val="nil"/>
            </w:tcBorders>
            <w:shd w:val="clear" w:color="auto" w:fill="auto"/>
            <w:noWrap/>
            <w:vAlign w:val="bottom"/>
          </w:tcPr>
          <w:p w:rsidR="00E418A3" w:rsidRPr="003905FB" w:rsidRDefault="00E35041" w:rsidP="00E418A3">
            <w:pPr>
              <w:spacing w:after="0" w:line="240" w:lineRule="auto"/>
              <w:jc w:val="right"/>
              <w:rPr>
                <w:rFonts w:ascii="Arial" w:eastAsia="Times New Roman" w:hAnsi="Arial" w:cs="Arial"/>
                <w:sz w:val="18"/>
                <w:lang w:val="en-US"/>
              </w:rPr>
            </w:pPr>
            <w:r>
              <w:rPr>
                <w:rFonts w:ascii="Arial" w:eastAsia="Times New Roman" w:hAnsi="Arial" w:cs="Arial"/>
                <w:sz w:val="18"/>
              </w:rPr>
              <w:t>217.592</w:t>
            </w:r>
          </w:p>
        </w:tc>
        <w:tc>
          <w:tcPr>
            <w:tcW w:w="1345" w:type="dxa"/>
            <w:tcBorders>
              <w:top w:val="nil"/>
              <w:left w:val="nil"/>
              <w:bottom w:val="nil"/>
              <w:right w:val="nil"/>
            </w:tcBorders>
            <w:shd w:val="clear" w:color="auto" w:fill="auto"/>
            <w:noWrap/>
            <w:vAlign w:val="bottom"/>
          </w:tcPr>
          <w:p w:rsidR="00E418A3" w:rsidRPr="003905FB" w:rsidRDefault="00E35041" w:rsidP="00E418A3">
            <w:pPr>
              <w:spacing w:after="0" w:line="240" w:lineRule="auto"/>
              <w:jc w:val="right"/>
              <w:rPr>
                <w:rFonts w:ascii="Arial" w:eastAsia="Times New Roman" w:hAnsi="Arial" w:cs="Arial"/>
                <w:sz w:val="18"/>
                <w:lang w:val="en-US"/>
              </w:rPr>
            </w:pPr>
            <w:r>
              <w:rPr>
                <w:rFonts w:ascii="Arial" w:eastAsia="Times New Roman" w:hAnsi="Arial" w:cs="Arial"/>
                <w:sz w:val="18"/>
              </w:rPr>
              <w:t>0</w:t>
            </w:r>
          </w:p>
        </w:tc>
        <w:tc>
          <w:tcPr>
            <w:tcW w:w="1345" w:type="dxa"/>
            <w:tcBorders>
              <w:top w:val="nil"/>
              <w:left w:val="nil"/>
              <w:bottom w:val="nil"/>
              <w:right w:val="nil"/>
            </w:tcBorders>
            <w:shd w:val="clear" w:color="auto" w:fill="auto"/>
            <w:noWrap/>
            <w:vAlign w:val="bottom"/>
          </w:tcPr>
          <w:p w:rsidR="00E418A3" w:rsidRPr="003905FB" w:rsidRDefault="00E35041" w:rsidP="00E418A3">
            <w:pPr>
              <w:spacing w:after="0" w:line="240" w:lineRule="auto"/>
              <w:jc w:val="right"/>
              <w:rPr>
                <w:rFonts w:ascii="Arial" w:eastAsia="Times New Roman" w:hAnsi="Arial" w:cs="Arial"/>
                <w:sz w:val="18"/>
                <w:lang w:val="en-US"/>
              </w:rPr>
            </w:pPr>
            <w:r>
              <w:rPr>
                <w:rFonts w:ascii="Arial" w:eastAsia="Times New Roman" w:hAnsi="Arial" w:cs="Arial"/>
                <w:sz w:val="18"/>
              </w:rPr>
              <w:t>0</w:t>
            </w:r>
          </w:p>
        </w:tc>
      </w:tr>
      <w:tr w:rsidR="003B53B4" w:rsidRPr="003905FB" w:rsidTr="00880E70">
        <w:trPr>
          <w:trHeight w:val="326"/>
          <w:jc w:val="center"/>
        </w:trPr>
        <w:tc>
          <w:tcPr>
            <w:tcW w:w="4832" w:type="dxa"/>
            <w:tcBorders>
              <w:top w:val="nil"/>
              <w:left w:val="nil"/>
              <w:bottom w:val="nil"/>
              <w:right w:val="nil"/>
            </w:tcBorders>
            <w:shd w:val="clear" w:color="auto" w:fill="auto"/>
            <w:noWrap/>
            <w:vAlign w:val="bottom"/>
            <w:hideMark/>
          </w:tcPr>
          <w:p w:rsidR="00E418A3" w:rsidRPr="003905FB" w:rsidRDefault="00E418A3" w:rsidP="0003768A">
            <w:pPr>
              <w:spacing w:after="0" w:line="240" w:lineRule="auto"/>
              <w:rPr>
                <w:rFonts w:ascii="Arial" w:eastAsia="Times New Roman" w:hAnsi="Arial" w:cs="Arial"/>
                <w:sz w:val="18"/>
                <w:lang w:val="en-US"/>
              </w:rPr>
            </w:pPr>
            <w:r w:rsidRPr="003905FB">
              <w:rPr>
                <w:rFonts w:ascii="Arial" w:eastAsia="Times New Roman" w:hAnsi="Arial" w:cs="Arial"/>
                <w:sz w:val="18"/>
                <w:lang w:val="en-US"/>
              </w:rPr>
              <w:t xml:space="preserve">Μηχανογραφικό Σύστημα Εποπτικών Καταστάσεων </w:t>
            </w:r>
          </w:p>
        </w:tc>
        <w:tc>
          <w:tcPr>
            <w:tcW w:w="460" w:type="dxa"/>
            <w:tcBorders>
              <w:top w:val="nil"/>
              <w:left w:val="nil"/>
              <w:bottom w:val="nil"/>
              <w:right w:val="nil"/>
            </w:tcBorders>
            <w:shd w:val="clear" w:color="auto" w:fill="auto"/>
            <w:noWrap/>
            <w:vAlign w:val="bottom"/>
            <w:hideMark/>
          </w:tcPr>
          <w:p w:rsidR="00E418A3" w:rsidRPr="003905FB" w:rsidRDefault="00E418A3" w:rsidP="00E418A3">
            <w:pPr>
              <w:spacing w:after="0" w:line="240" w:lineRule="auto"/>
              <w:rPr>
                <w:rFonts w:ascii="Arial" w:eastAsia="Times New Roman" w:hAnsi="Arial" w:cs="Arial"/>
                <w:sz w:val="18"/>
                <w:lang w:val="en-US"/>
              </w:rPr>
            </w:pPr>
          </w:p>
        </w:tc>
        <w:tc>
          <w:tcPr>
            <w:tcW w:w="1344" w:type="dxa"/>
            <w:tcBorders>
              <w:top w:val="nil"/>
              <w:left w:val="nil"/>
              <w:bottom w:val="nil"/>
              <w:right w:val="nil"/>
            </w:tcBorders>
            <w:shd w:val="clear" w:color="auto" w:fill="auto"/>
            <w:noWrap/>
            <w:vAlign w:val="bottom"/>
            <w:hideMark/>
          </w:tcPr>
          <w:p w:rsidR="00E418A3" w:rsidRPr="00B603E5" w:rsidRDefault="00E35041" w:rsidP="00E418A3">
            <w:pPr>
              <w:spacing w:after="0" w:line="240" w:lineRule="auto"/>
              <w:jc w:val="right"/>
              <w:rPr>
                <w:rFonts w:ascii="Arial" w:eastAsia="Times New Roman" w:hAnsi="Arial" w:cs="Arial"/>
                <w:sz w:val="18"/>
              </w:rPr>
            </w:pPr>
            <w:r>
              <w:rPr>
                <w:rFonts w:ascii="Arial" w:eastAsia="Times New Roman" w:hAnsi="Arial" w:cs="Arial"/>
                <w:sz w:val="18"/>
              </w:rPr>
              <w:t>50.000</w:t>
            </w:r>
          </w:p>
        </w:tc>
        <w:tc>
          <w:tcPr>
            <w:tcW w:w="1345" w:type="dxa"/>
            <w:tcBorders>
              <w:top w:val="nil"/>
              <w:left w:val="nil"/>
              <w:bottom w:val="nil"/>
              <w:right w:val="nil"/>
            </w:tcBorders>
            <w:shd w:val="clear" w:color="auto" w:fill="auto"/>
            <w:noWrap/>
            <w:vAlign w:val="bottom"/>
            <w:hideMark/>
          </w:tcPr>
          <w:p w:rsidR="00E418A3" w:rsidRPr="00880E70" w:rsidRDefault="003B53B4" w:rsidP="00E418A3">
            <w:pPr>
              <w:spacing w:after="0" w:line="240" w:lineRule="auto"/>
              <w:jc w:val="right"/>
              <w:rPr>
                <w:rFonts w:ascii="Arial" w:eastAsia="Times New Roman" w:hAnsi="Arial" w:cs="Arial"/>
                <w:sz w:val="18"/>
              </w:rPr>
            </w:pPr>
            <w:r>
              <w:rPr>
                <w:rFonts w:ascii="Arial" w:eastAsia="Times New Roman" w:hAnsi="Arial" w:cs="Arial"/>
                <w:sz w:val="18"/>
              </w:rPr>
              <w:t>35.</w:t>
            </w:r>
            <w:r w:rsidR="00E35041">
              <w:rPr>
                <w:rFonts w:ascii="Arial" w:eastAsia="Times New Roman" w:hAnsi="Arial" w:cs="Arial"/>
                <w:sz w:val="18"/>
              </w:rPr>
              <w:t>0</w:t>
            </w:r>
            <w:r>
              <w:rPr>
                <w:rFonts w:ascii="Arial" w:eastAsia="Times New Roman" w:hAnsi="Arial" w:cs="Arial"/>
                <w:sz w:val="18"/>
              </w:rPr>
              <w:t>0</w:t>
            </w:r>
            <w:r w:rsidR="00E418A3" w:rsidRPr="00880E70">
              <w:rPr>
                <w:rFonts w:ascii="Arial" w:eastAsia="Times New Roman" w:hAnsi="Arial" w:cs="Arial"/>
                <w:sz w:val="18"/>
              </w:rPr>
              <w:t>0</w:t>
            </w:r>
          </w:p>
        </w:tc>
        <w:tc>
          <w:tcPr>
            <w:tcW w:w="1345" w:type="dxa"/>
            <w:tcBorders>
              <w:top w:val="nil"/>
              <w:left w:val="nil"/>
              <w:bottom w:val="nil"/>
              <w:right w:val="nil"/>
            </w:tcBorders>
            <w:shd w:val="clear" w:color="auto" w:fill="auto"/>
            <w:noWrap/>
            <w:vAlign w:val="bottom"/>
            <w:hideMark/>
          </w:tcPr>
          <w:p w:rsidR="00E418A3" w:rsidRPr="00880E70" w:rsidRDefault="003B53B4" w:rsidP="00E418A3">
            <w:pPr>
              <w:spacing w:after="0" w:line="240" w:lineRule="auto"/>
              <w:jc w:val="right"/>
              <w:rPr>
                <w:rFonts w:ascii="Arial" w:eastAsia="Times New Roman" w:hAnsi="Arial" w:cs="Arial"/>
                <w:sz w:val="18"/>
              </w:rPr>
            </w:pPr>
            <w:r>
              <w:rPr>
                <w:rFonts w:ascii="Arial" w:eastAsia="Times New Roman" w:hAnsi="Arial" w:cs="Arial"/>
                <w:sz w:val="18"/>
              </w:rPr>
              <w:t>35.</w:t>
            </w:r>
            <w:r w:rsidR="00E35041">
              <w:rPr>
                <w:rFonts w:ascii="Arial" w:eastAsia="Times New Roman" w:hAnsi="Arial" w:cs="Arial"/>
                <w:sz w:val="18"/>
              </w:rPr>
              <w:t>0</w:t>
            </w:r>
            <w:r>
              <w:rPr>
                <w:rFonts w:ascii="Arial" w:eastAsia="Times New Roman" w:hAnsi="Arial" w:cs="Arial"/>
                <w:sz w:val="18"/>
              </w:rPr>
              <w:t>0</w:t>
            </w:r>
            <w:r w:rsidR="00E418A3" w:rsidRPr="00880E70">
              <w:rPr>
                <w:rFonts w:ascii="Arial" w:eastAsia="Times New Roman" w:hAnsi="Arial" w:cs="Arial"/>
                <w:sz w:val="18"/>
              </w:rPr>
              <w:t>0</w:t>
            </w:r>
          </w:p>
        </w:tc>
      </w:tr>
      <w:tr w:rsidR="003B53B4" w:rsidRPr="003905FB" w:rsidTr="00880E70">
        <w:trPr>
          <w:trHeight w:val="326"/>
          <w:jc w:val="center"/>
        </w:trPr>
        <w:tc>
          <w:tcPr>
            <w:tcW w:w="4832" w:type="dxa"/>
            <w:tcBorders>
              <w:top w:val="nil"/>
              <w:left w:val="nil"/>
              <w:bottom w:val="nil"/>
              <w:right w:val="nil"/>
            </w:tcBorders>
            <w:shd w:val="clear" w:color="auto" w:fill="auto"/>
            <w:noWrap/>
            <w:vAlign w:val="bottom"/>
            <w:hideMark/>
          </w:tcPr>
          <w:p w:rsidR="00E418A3" w:rsidRPr="0037655D" w:rsidRDefault="00E418A3" w:rsidP="0003768A">
            <w:pPr>
              <w:spacing w:after="0" w:line="240" w:lineRule="auto"/>
              <w:rPr>
                <w:rFonts w:ascii="Arial" w:eastAsia="Times New Roman" w:hAnsi="Arial" w:cs="Arial"/>
                <w:sz w:val="18"/>
              </w:rPr>
            </w:pPr>
            <w:r w:rsidRPr="0037655D">
              <w:rPr>
                <w:rFonts w:ascii="Arial" w:eastAsia="Times New Roman" w:hAnsi="Arial" w:cs="Arial"/>
                <w:sz w:val="18"/>
              </w:rPr>
              <w:t xml:space="preserve">Μηχανογραφικό Σύστημα Διεθνές Πρότυπο Χρηματόοικονομικό Πρότυπο Χρηματοοικονομικής Αναφοράς 9 </w:t>
            </w:r>
          </w:p>
        </w:tc>
        <w:tc>
          <w:tcPr>
            <w:tcW w:w="460" w:type="dxa"/>
            <w:tcBorders>
              <w:top w:val="nil"/>
              <w:left w:val="nil"/>
              <w:bottom w:val="nil"/>
              <w:right w:val="nil"/>
            </w:tcBorders>
            <w:shd w:val="clear" w:color="auto" w:fill="auto"/>
            <w:noWrap/>
            <w:vAlign w:val="bottom"/>
            <w:hideMark/>
          </w:tcPr>
          <w:p w:rsidR="00E418A3" w:rsidRPr="003905FB" w:rsidRDefault="00E418A3" w:rsidP="00E418A3">
            <w:pPr>
              <w:spacing w:after="0" w:line="240" w:lineRule="auto"/>
              <w:rPr>
                <w:rFonts w:ascii="Arial" w:eastAsia="Times New Roman" w:hAnsi="Arial" w:cs="Arial"/>
                <w:sz w:val="18"/>
              </w:rPr>
            </w:pPr>
          </w:p>
        </w:tc>
        <w:tc>
          <w:tcPr>
            <w:tcW w:w="1344" w:type="dxa"/>
            <w:tcBorders>
              <w:top w:val="nil"/>
              <w:left w:val="nil"/>
              <w:bottom w:val="nil"/>
              <w:right w:val="nil"/>
            </w:tcBorders>
            <w:shd w:val="clear" w:color="auto" w:fill="auto"/>
            <w:noWrap/>
            <w:vAlign w:val="bottom"/>
            <w:hideMark/>
          </w:tcPr>
          <w:p w:rsidR="00E418A3" w:rsidRPr="00880E70" w:rsidRDefault="002A3F8F" w:rsidP="00E418A3">
            <w:pPr>
              <w:spacing w:after="0" w:line="240" w:lineRule="auto"/>
              <w:jc w:val="right"/>
              <w:rPr>
                <w:rFonts w:ascii="Arial" w:eastAsia="Times New Roman" w:hAnsi="Arial" w:cs="Arial"/>
                <w:sz w:val="18"/>
              </w:rPr>
            </w:pPr>
            <w:r>
              <w:rPr>
                <w:rFonts w:ascii="Arial" w:eastAsia="Times New Roman" w:hAnsi="Arial" w:cs="Arial"/>
                <w:sz w:val="18"/>
              </w:rPr>
              <w:t>82.864</w:t>
            </w:r>
          </w:p>
        </w:tc>
        <w:tc>
          <w:tcPr>
            <w:tcW w:w="1345" w:type="dxa"/>
            <w:tcBorders>
              <w:top w:val="nil"/>
              <w:left w:val="nil"/>
              <w:bottom w:val="nil"/>
              <w:right w:val="nil"/>
            </w:tcBorders>
            <w:shd w:val="clear" w:color="auto" w:fill="auto"/>
            <w:noWrap/>
            <w:vAlign w:val="bottom"/>
            <w:hideMark/>
          </w:tcPr>
          <w:p w:rsidR="00E418A3" w:rsidRPr="00880E70"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59.500</w:t>
            </w:r>
          </w:p>
        </w:tc>
        <w:tc>
          <w:tcPr>
            <w:tcW w:w="1345"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jc w:val="right"/>
              <w:rPr>
                <w:rFonts w:ascii="Arial" w:eastAsia="Times New Roman" w:hAnsi="Arial" w:cs="Arial"/>
                <w:sz w:val="18"/>
              </w:rPr>
            </w:pPr>
            <w:r w:rsidRPr="00880E70">
              <w:rPr>
                <w:rFonts w:ascii="Arial" w:eastAsia="Times New Roman" w:hAnsi="Arial" w:cs="Arial"/>
                <w:sz w:val="18"/>
              </w:rPr>
              <w:t>0</w:t>
            </w:r>
          </w:p>
        </w:tc>
      </w:tr>
      <w:tr w:rsidR="002A3F8F" w:rsidRPr="003905FB" w:rsidTr="00880E70">
        <w:trPr>
          <w:trHeight w:val="326"/>
          <w:jc w:val="center"/>
        </w:trPr>
        <w:tc>
          <w:tcPr>
            <w:tcW w:w="4832" w:type="dxa"/>
            <w:tcBorders>
              <w:top w:val="nil"/>
              <w:left w:val="nil"/>
              <w:bottom w:val="nil"/>
              <w:right w:val="nil"/>
            </w:tcBorders>
            <w:shd w:val="clear" w:color="auto" w:fill="auto"/>
            <w:noWrap/>
            <w:vAlign w:val="bottom"/>
          </w:tcPr>
          <w:p w:rsidR="002A3F8F" w:rsidRPr="0003768A" w:rsidRDefault="002A3F8F" w:rsidP="002A3F8F">
            <w:pPr>
              <w:spacing w:after="0" w:line="240" w:lineRule="auto"/>
              <w:rPr>
                <w:rFonts w:ascii="Arial" w:eastAsia="Times New Roman" w:hAnsi="Arial" w:cs="Arial"/>
                <w:sz w:val="18"/>
                <w:lang w:val="en-US"/>
              </w:rPr>
            </w:pPr>
            <w:r w:rsidRPr="002A3F8F">
              <w:rPr>
                <w:rFonts w:ascii="Arial" w:eastAsia="Times New Roman" w:hAnsi="Arial" w:cs="Arial"/>
                <w:sz w:val="18"/>
                <w:lang w:val="en-US"/>
              </w:rPr>
              <w:t>Swift CSCF</w:t>
            </w:r>
          </w:p>
        </w:tc>
        <w:tc>
          <w:tcPr>
            <w:tcW w:w="460" w:type="dxa"/>
            <w:tcBorders>
              <w:top w:val="nil"/>
              <w:left w:val="nil"/>
              <w:bottom w:val="nil"/>
              <w:right w:val="nil"/>
            </w:tcBorders>
            <w:shd w:val="clear" w:color="auto" w:fill="auto"/>
            <w:noWrap/>
            <w:vAlign w:val="bottom"/>
          </w:tcPr>
          <w:p w:rsidR="002A3F8F" w:rsidRPr="003905FB" w:rsidRDefault="002A3F8F" w:rsidP="00E418A3">
            <w:pPr>
              <w:spacing w:after="0" w:line="240" w:lineRule="auto"/>
              <w:rPr>
                <w:rFonts w:ascii="Arial" w:eastAsia="Times New Roman" w:hAnsi="Arial" w:cs="Arial"/>
                <w:sz w:val="18"/>
              </w:rPr>
            </w:pPr>
          </w:p>
        </w:tc>
        <w:tc>
          <w:tcPr>
            <w:tcW w:w="1344" w:type="dxa"/>
            <w:tcBorders>
              <w:top w:val="nil"/>
              <w:left w:val="nil"/>
              <w:bottom w:val="nil"/>
              <w:right w:val="nil"/>
            </w:tcBorders>
            <w:shd w:val="clear" w:color="auto" w:fill="auto"/>
            <w:noWrap/>
            <w:vAlign w:val="bottom"/>
          </w:tcPr>
          <w:p w:rsidR="002A3F8F"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80.000</w:t>
            </w:r>
          </w:p>
        </w:tc>
        <w:tc>
          <w:tcPr>
            <w:tcW w:w="1345" w:type="dxa"/>
            <w:tcBorders>
              <w:top w:val="nil"/>
              <w:left w:val="nil"/>
              <w:bottom w:val="nil"/>
              <w:right w:val="nil"/>
            </w:tcBorders>
            <w:shd w:val="clear" w:color="auto" w:fill="auto"/>
            <w:noWrap/>
            <w:vAlign w:val="bottom"/>
          </w:tcPr>
          <w:p w:rsidR="002A3F8F"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0</w:t>
            </w:r>
          </w:p>
        </w:tc>
        <w:tc>
          <w:tcPr>
            <w:tcW w:w="1345" w:type="dxa"/>
            <w:tcBorders>
              <w:top w:val="nil"/>
              <w:left w:val="nil"/>
              <w:bottom w:val="nil"/>
              <w:right w:val="nil"/>
            </w:tcBorders>
            <w:shd w:val="clear" w:color="auto" w:fill="auto"/>
            <w:noWrap/>
            <w:vAlign w:val="bottom"/>
          </w:tcPr>
          <w:p w:rsidR="002A3F8F"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0</w:t>
            </w:r>
          </w:p>
        </w:tc>
      </w:tr>
      <w:tr w:rsidR="002A3F8F" w:rsidRPr="003905FB" w:rsidTr="00880E70">
        <w:trPr>
          <w:trHeight w:val="326"/>
          <w:jc w:val="center"/>
        </w:trPr>
        <w:tc>
          <w:tcPr>
            <w:tcW w:w="4832" w:type="dxa"/>
            <w:tcBorders>
              <w:top w:val="nil"/>
              <w:left w:val="nil"/>
              <w:bottom w:val="nil"/>
              <w:right w:val="nil"/>
            </w:tcBorders>
            <w:shd w:val="clear" w:color="auto" w:fill="auto"/>
            <w:noWrap/>
            <w:vAlign w:val="bottom"/>
          </w:tcPr>
          <w:p w:rsidR="002A3F8F" w:rsidRPr="00880E70" w:rsidRDefault="002A3F8F" w:rsidP="0003768A">
            <w:pPr>
              <w:spacing w:after="0" w:line="240" w:lineRule="auto"/>
              <w:rPr>
                <w:rFonts w:ascii="Arial" w:eastAsia="Times New Roman" w:hAnsi="Arial" w:cs="Arial"/>
                <w:sz w:val="18"/>
                <w:lang w:val="en-US"/>
              </w:rPr>
            </w:pPr>
            <w:r w:rsidRPr="00880E70">
              <w:rPr>
                <w:rFonts w:ascii="Arial" w:eastAsia="Times New Roman" w:hAnsi="Arial" w:cs="Arial"/>
                <w:sz w:val="18"/>
                <w:lang w:val="en-US"/>
              </w:rPr>
              <w:t>Τηλεφωνία CISCO</w:t>
            </w:r>
          </w:p>
        </w:tc>
        <w:tc>
          <w:tcPr>
            <w:tcW w:w="460" w:type="dxa"/>
            <w:tcBorders>
              <w:top w:val="nil"/>
              <w:left w:val="nil"/>
              <w:bottom w:val="nil"/>
              <w:right w:val="nil"/>
            </w:tcBorders>
            <w:shd w:val="clear" w:color="auto" w:fill="auto"/>
            <w:noWrap/>
            <w:vAlign w:val="bottom"/>
          </w:tcPr>
          <w:p w:rsidR="002A3F8F" w:rsidRPr="003905FB" w:rsidRDefault="002A3F8F" w:rsidP="00E418A3">
            <w:pPr>
              <w:spacing w:after="0" w:line="240" w:lineRule="auto"/>
              <w:rPr>
                <w:rFonts w:ascii="Arial" w:eastAsia="Times New Roman" w:hAnsi="Arial" w:cs="Arial"/>
                <w:sz w:val="18"/>
              </w:rPr>
            </w:pPr>
          </w:p>
        </w:tc>
        <w:tc>
          <w:tcPr>
            <w:tcW w:w="1344" w:type="dxa"/>
            <w:tcBorders>
              <w:top w:val="nil"/>
              <w:left w:val="nil"/>
              <w:bottom w:val="nil"/>
              <w:right w:val="nil"/>
            </w:tcBorders>
            <w:shd w:val="clear" w:color="auto" w:fill="auto"/>
            <w:noWrap/>
            <w:vAlign w:val="bottom"/>
          </w:tcPr>
          <w:p w:rsidR="002A3F8F" w:rsidRPr="00880E70"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53.550</w:t>
            </w:r>
          </w:p>
        </w:tc>
        <w:tc>
          <w:tcPr>
            <w:tcW w:w="1345" w:type="dxa"/>
            <w:tcBorders>
              <w:top w:val="nil"/>
              <w:left w:val="nil"/>
              <w:bottom w:val="nil"/>
              <w:right w:val="nil"/>
            </w:tcBorders>
            <w:shd w:val="clear" w:color="auto" w:fill="auto"/>
            <w:noWrap/>
            <w:vAlign w:val="bottom"/>
          </w:tcPr>
          <w:p w:rsidR="002A3F8F" w:rsidRPr="00880E70" w:rsidDel="002A3F8F"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0</w:t>
            </w:r>
          </w:p>
        </w:tc>
        <w:tc>
          <w:tcPr>
            <w:tcW w:w="1345" w:type="dxa"/>
            <w:tcBorders>
              <w:top w:val="nil"/>
              <w:left w:val="nil"/>
              <w:bottom w:val="nil"/>
              <w:right w:val="nil"/>
            </w:tcBorders>
            <w:shd w:val="clear" w:color="auto" w:fill="auto"/>
            <w:noWrap/>
            <w:vAlign w:val="bottom"/>
          </w:tcPr>
          <w:p w:rsidR="002A3F8F" w:rsidRPr="00880E70"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0</w:t>
            </w:r>
          </w:p>
        </w:tc>
      </w:tr>
      <w:tr w:rsidR="002A3F8F" w:rsidRPr="003905FB" w:rsidTr="00880E70">
        <w:trPr>
          <w:trHeight w:val="326"/>
          <w:jc w:val="center"/>
        </w:trPr>
        <w:tc>
          <w:tcPr>
            <w:tcW w:w="4832" w:type="dxa"/>
            <w:tcBorders>
              <w:top w:val="nil"/>
              <w:left w:val="nil"/>
              <w:bottom w:val="nil"/>
              <w:right w:val="nil"/>
            </w:tcBorders>
            <w:shd w:val="clear" w:color="auto" w:fill="auto"/>
            <w:noWrap/>
            <w:vAlign w:val="bottom"/>
          </w:tcPr>
          <w:p w:rsidR="002A3F8F" w:rsidRPr="00880E70" w:rsidRDefault="002A3F8F" w:rsidP="00E418A3">
            <w:pPr>
              <w:spacing w:after="0" w:line="240" w:lineRule="auto"/>
              <w:rPr>
                <w:rFonts w:ascii="Arial" w:eastAsia="Times New Roman" w:hAnsi="Arial" w:cs="Arial"/>
                <w:sz w:val="18"/>
                <w:lang w:val="en-GB"/>
              </w:rPr>
            </w:pPr>
            <w:r>
              <w:rPr>
                <w:rFonts w:ascii="Arial" w:eastAsia="Times New Roman" w:hAnsi="Arial" w:cs="Arial"/>
                <w:sz w:val="18"/>
              </w:rPr>
              <w:t xml:space="preserve">Σύστημα </w:t>
            </w:r>
            <w:r>
              <w:rPr>
                <w:rFonts w:ascii="Arial" w:eastAsia="Times New Roman" w:hAnsi="Arial" w:cs="Arial"/>
                <w:sz w:val="18"/>
                <w:lang w:val="en-GB"/>
              </w:rPr>
              <w:t>Jenus</w:t>
            </w:r>
          </w:p>
        </w:tc>
        <w:tc>
          <w:tcPr>
            <w:tcW w:w="460" w:type="dxa"/>
            <w:tcBorders>
              <w:top w:val="nil"/>
              <w:left w:val="nil"/>
              <w:bottom w:val="nil"/>
              <w:right w:val="nil"/>
            </w:tcBorders>
            <w:shd w:val="clear" w:color="auto" w:fill="auto"/>
            <w:noWrap/>
            <w:vAlign w:val="bottom"/>
          </w:tcPr>
          <w:p w:rsidR="002A3F8F" w:rsidRPr="003905FB" w:rsidRDefault="002A3F8F" w:rsidP="00E418A3">
            <w:pPr>
              <w:spacing w:after="0" w:line="240" w:lineRule="auto"/>
              <w:rPr>
                <w:rFonts w:ascii="Arial" w:eastAsia="Times New Roman" w:hAnsi="Arial" w:cs="Arial"/>
                <w:sz w:val="18"/>
              </w:rPr>
            </w:pPr>
          </w:p>
        </w:tc>
        <w:tc>
          <w:tcPr>
            <w:tcW w:w="1344" w:type="dxa"/>
            <w:tcBorders>
              <w:top w:val="nil"/>
              <w:left w:val="nil"/>
              <w:bottom w:val="nil"/>
              <w:right w:val="nil"/>
            </w:tcBorders>
            <w:shd w:val="clear" w:color="auto" w:fill="auto"/>
            <w:noWrap/>
            <w:vAlign w:val="bottom"/>
          </w:tcPr>
          <w:p w:rsidR="002A3F8F" w:rsidRPr="00880E70"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34.000</w:t>
            </w:r>
          </w:p>
        </w:tc>
        <w:tc>
          <w:tcPr>
            <w:tcW w:w="1345" w:type="dxa"/>
            <w:tcBorders>
              <w:top w:val="nil"/>
              <w:left w:val="nil"/>
              <w:bottom w:val="nil"/>
              <w:right w:val="nil"/>
            </w:tcBorders>
            <w:shd w:val="clear" w:color="auto" w:fill="auto"/>
            <w:noWrap/>
            <w:vAlign w:val="bottom"/>
          </w:tcPr>
          <w:p w:rsidR="002A3F8F" w:rsidRPr="00880E70" w:rsidDel="002A3F8F"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14.000</w:t>
            </w:r>
          </w:p>
        </w:tc>
        <w:tc>
          <w:tcPr>
            <w:tcW w:w="1345" w:type="dxa"/>
            <w:tcBorders>
              <w:top w:val="nil"/>
              <w:left w:val="nil"/>
              <w:bottom w:val="nil"/>
              <w:right w:val="nil"/>
            </w:tcBorders>
            <w:shd w:val="clear" w:color="auto" w:fill="auto"/>
            <w:noWrap/>
            <w:vAlign w:val="bottom"/>
          </w:tcPr>
          <w:p w:rsidR="002A3F8F" w:rsidRPr="00880E70"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14.000</w:t>
            </w:r>
          </w:p>
        </w:tc>
      </w:tr>
      <w:tr w:rsidR="002A3F8F" w:rsidRPr="003905FB" w:rsidTr="00880E70">
        <w:trPr>
          <w:trHeight w:val="326"/>
          <w:jc w:val="center"/>
        </w:trPr>
        <w:tc>
          <w:tcPr>
            <w:tcW w:w="4832" w:type="dxa"/>
            <w:tcBorders>
              <w:top w:val="nil"/>
              <w:left w:val="nil"/>
              <w:bottom w:val="nil"/>
              <w:right w:val="nil"/>
            </w:tcBorders>
            <w:shd w:val="clear" w:color="auto" w:fill="auto"/>
            <w:noWrap/>
            <w:vAlign w:val="bottom"/>
          </w:tcPr>
          <w:p w:rsidR="002A3F8F" w:rsidRPr="00880E70" w:rsidRDefault="002A3F8F" w:rsidP="00E418A3">
            <w:pPr>
              <w:spacing w:after="0" w:line="240" w:lineRule="auto"/>
              <w:rPr>
                <w:rFonts w:ascii="Arial" w:eastAsia="Times New Roman" w:hAnsi="Arial" w:cs="Arial"/>
                <w:sz w:val="18"/>
                <w:lang w:val="en-GB"/>
              </w:rPr>
            </w:pPr>
            <w:r>
              <w:rPr>
                <w:rFonts w:ascii="Arial" w:eastAsia="Times New Roman" w:hAnsi="Arial" w:cs="Arial"/>
                <w:sz w:val="18"/>
              </w:rPr>
              <w:t xml:space="preserve">Σύστημα </w:t>
            </w:r>
            <w:r>
              <w:rPr>
                <w:rFonts w:ascii="Arial" w:eastAsia="Times New Roman" w:hAnsi="Arial" w:cs="Arial"/>
                <w:sz w:val="18"/>
                <w:lang w:val="en-GB"/>
              </w:rPr>
              <w:t>GRC</w:t>
            </w:r>
          </w:p>
        </w:tc>
        <w:tc>
          <w:tcPr>
            <w:tcW w:w="460" w:type="dxa"/>
            <w:tcBorders>
              <w:top w:val="nil"/>
              <w:left w:val="nil"/>
              <w:bottom w:val="nil"/>
              <w:right w:val="nil"/>
            </w:tcBorders>
            <w:shd w:val="clear" w:color="auto" w:fill="auto"/>
            <w:noWrap/>
            <w:vAlign w:val="bottom"/>
          </w:tcPr>
          <w:p w:rsidR="002A3F8F" w:rsidRPr="003905FB" w:rsidRDefault="002A3F8F" w:rsidP="00E418A3">
            <w:pPr>
              <w:spacing w:after="0" w:line="240" w:lineRule="auto"/>
              <w:rPr>
                <w:rFonts w:ascii="Arial" w:eastAsia="Times New Roman" w:hAnsi="Arial" w:cs="Arial"/>
                <w:sz w:val="18"/>
              </w:rPr>
            </w:pPr>
          </w:p>
        </w:tc>
        <w:tc>
          <w:tcPr>
            <w:tcW w:w="1344" w:type="dxa"/>
            <w:tcBorders>
              <w:top w:val="nil"/>
              <w:left w:val="nil"/>
              <w:bottom w:val="nil"/>
              <w:right w:val="nil"/>
            </w:tcBorders>
            <w:shd w:val="clear" w:color="auto" w:fill="auto"/>
            <w:noWrap/>
            <w:vAlign w:val="bottom"/>
          </w:tcPr>
          <w:p w:rsidR="002A3F8F" w:rsidRPr="00880E70"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30.000</w:t>
            </w:r>
          </w:p>
        </w:tc>
        <w:tc>
          <w:tcPr>
            <w:tcW w:w="1345" w:type="dxa"/>
            <w:tcBorders>
              <w:top w:val="nil"/>
              <w:left w:val="nil"/>
              <w:bottom w:val="nil"/>
              <w:right w:val="nil"/>
            </w:tcBorders>
            <w:shd w:val="clear" w:color="auto" w:fill="auto"/>
            <w:noWrap/>
            <w:vAlign w:val="bottom"/>
          </w:tcPr>
          <w:p w:rsidR="002A3F8F" w:rsidRPr="00880E70" w:rsidDel="002A3F8F"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0</w:t>
            </w:r>
          </w:p>
        </w:tc>
        <w:tc>
          <w:tcPr>
            <w:tcW w:w="1345" w:type="dxa"/>
            <w:tcBorders>
              <w:top w:val="nil"/>
              <w:left w:val="nil"/>
              <w:bottom w:val="nil"/>
              <w:right w:val="nil"/>
            </w:tcBorders>
            <w:shd w:val="clear" w:color="auto" w:fill="auto"/>
            <w:noWrap/>
            <w:vAlign w:val="bottom"/>
          </w:tcPr>
          <w:p w:rsidR="002A3F8F" w:rsidRPr="00880E70" w:rsidRDefault="002A3F8F" w:rsidP="00E418A3">
            <w:pPr>
              <w:spacing w:after="0" w:line="240" w:lineRule="auto"/>
              <w:jc w:val="right"/>
              <w:rPr>
                <w:rFonts w:ascii="Arial" w:eastAsia="Times New Roman" w:hAnsi="Arial" w:cs="Arial"/>
                <w:sz w:val="18"/>
                <w:lang w:val="en-GB"/>
              </w:rPr>
            </w:pPr>
            <w:r>
              <w:rPr>
                <w:rFonts w:ascii="Arial" w:eastAsia="Times New Roman" w:hAnsi="Arial" w:cs="Arial"/>
                <w:sz w:val="18"/>
                <w:lang w:val="en-GB"/>
              </w:rPr>
              <w:t>0</w:t>
            </w:r>
          </w:p>
        </w:tc>
      </w:tr>
      <w:tr w:rsidR="003B53B4" w:rsidRPr="003905FB" w:rsidTr="00880E70">
        <w:trPr>
          <w:trHeight w:val="326"/>
          <w:jc w:val="center"/>
        </w:trPr>
        <w:tc>
          <w:tcPr>
            <w:tcW w:w="4832"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jc w:val="right"/>
              <w:rPr>
                <w:rFonts w:ascii="Arial" w:eastAsia="Times New Roman" w:hAnsi="Arial" w:cs="Arial"/>
                <w:sz w:val="18"/>
              </w:rPr>
            </w:pPr>
          </w:p>
        </w:tc>
        <w:tc>
          <w:tcPr>
            <w:tcW w:w="460"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rPr>
                <w:rFonts w:ascii="Arial" w:eastAsia="Times New Roman" w:hAnsi="Arial" w:cs="Arial"/>
                <w:sz w:val="18"/>
                <w:szCs w:val="20"/>
              </w:rPr>
            </w:pPr>
          </w:p>
        </w:tc>
        <w:tc>
          <w:tcPr>
            <w:tcW w:w="1344"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rPr>
                <w:rFonts w:ascii="Arial" w:eastAsia="Times New Roman" w:hAnsi="Arial" w:cs="Arial"/>
                <w:sz w:val="18"/>
                <w:szCs w:val="20"/>
              </w:rPr>
            </w:pPr>
          </w:p>
        </w:tc>
        <w:tc>
          <w:tcPr>
            <w:tcW w:w="1345"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rPr>
                <w:rFonts w:ascii="Arial" w:eastAsia="Times New Roman" w:hAnsi="Arial" w:cs="Arial"/>
                <w:sz w:val="18"/>
                <w:szCs w:val="20"/>
              </w:rPr>
            </w:pPr>
          </w:p>
        </w:tc>
        <w:tc>
          <w:tcPr>
            <w:tcW w:w="1345"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rPr>
                <w:rFonts w:ascii="Arial" w:eastAsia="Times New Roman" w:hAnsi="Arial" w:cs="Arial"/>
                <w:sz w:val="18"/>
                <w:szCs w:val="20"/>
              </w:rPr>
            </w:pPr>
          </w:p>
        </w:tc>
      </w:tr>
      <w:tr w:rsidR="003B53B4" w:rsidRPr="003905FB" w:rsidTr="00880E70">
        <w:trPr>
          <w:trHeight w:val="326"/>
          <w:jc w:val="center"/>
        </w:trPr>
        <w:tc>
          <w:tcPr>
            <w:tcW w:w="4832"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rPr>
                <w:rFonts w:ascii="Arial" w:eastAsia="Times New Roman" w:hAnsi="Arial" w:cs="Arial"/>
                <w:sz w:val="18"/>
                <w:szCs w:val="20"/>
              </w:rPr>
            </w:pPr>
          </w:p>
        </w:tc>
        <w:tc>
          <w:tcPr>
            <w:tcW w:w="460" w:type="dxa"/>
            <w:tcBorders>
              <w:top w:val="nil"/>
              <w:left w:val="nil"/>
              <w:bottom w:val="nil"/>
              <w:right w:val="nil"/>
            </w:tcBorders>
            <w:shd w:val="clear" w:color="auto" w:fill="auto"/>
            <w:noWrap/>
            <w:vAlign w:val="bottom"/>
            <w:hideMark/>
          </w:tcPr>
          <w:p w:rsidR="00E418A3" w:rsidRPr="00880E70" w:rsidRDefault="00E418A3" w:rsidP="00E418A3">
            <w:pPr>
              <w:spacing w:after="0" w:line="240" w:lineRule="auto"/>
              <w:rPr>
                <w:rFonts w:ascii="Arial" w:eastAsia="Times New Roman" w:hAnsi="Arial" w:cs="Arial"/>
                <w:sz w:val="18"/>
                <w:szCs w:val="20"/>
              </w:rPr>
            </w:pPr>
          </w:p>
        </w:tc>
        <w:tc>
          <w:tcPr>
            <w:tcW w:w="1344" w:type="dxa"/>
            <w:tcBorders>
              <w:top w:val="single" w:sz="4" w:space="0" w:color="auto"/>
              <w:left w:val="nil"/>
              <w:bottom w:val="single" w:sz="4" w:space="0" w:color="auto"/>
              <w:right w:val="nil"/>
            </w:tcBorders>
            <w:shd w:val="clear" w:color="auto" w:fill="auto"/>
            <w:noWrap/>
            <w:vAlign w:val="bottom"/>
            <w:hideMark/>
          </w:tcPr>
          <w:p w:rsidR="00E418A3" w:rsidRPr="00B603E5" w:rsidRDefault="002A3F8F" w:rsidP="00E418A3">
            <w:pPr>
              <w:spacing w:after="0" w:line="240" w:lineRule="auto"/>
              <w:jc w:val="right"/>
              <w:rPr>
                <w:rFonts w:ascii="Arial" w:eastAsia="Times New Roman" w:hAnsi="Arial" w:cs="Arial"/>
                <w:b/>
                <w:bCs/>
                <w:sz w:val="18"/>
              </w:rPr>
            </w:pPr>
            <w:r>
              <w:rPr>
                <w:rFonts w:ascii="Arial" w:eastAsia="Times New Roman" w:hAnsi="Arial" w:cs="Arial"/>
                <w:b/>
                <w:bCs/>
                <w:sz w:val="18"/>
                <w:lang w:val="en-GB"/>
              </w:rPr>
              <w:t>3.048.006</w:t>
            </w:r>
          </w:p>
        </w:tc>
        <w:tc>
          <w:tcPr>
            <w:tcW w:w="1345" w:type="dxa"/>
            <w:tcBorders>
              <w:top w:val="single" w:sz="4" w:space="0" w:color="auto"/>
              <w:left w:val="nil"/>
              <w:bottom w:val="single" w:sz="4" w:space="0" w:color="auto"/>
              <w:right w:val="nil"/>
            </w:tcBorders>
            <w:shd w:val="clear" w:color="auto" w:fill="auto"/>
            <w:noWrap/>
            <w:vAlign w:val="bottom"/>
            <w:hideMark/>
          </w:tcPr>
          <w:p w:rsidR="00E418A3" w:rsidRPr="003905FB" w:rsidRDefault="003B53B4" w:rsidP="00E418A3">
            <w:pPr>
              <w:spacing w:after="0" w:line="240" w:lineRule="auto"/>
              <w:jc w:val="right"/>
              <w:rPr>
                <w:rFonts w:ascii="Arial" w:eastAsia="Times New Roman" w:hAnsi="Arial" w:cs="Arial"/>
                <w:b/>
                <w:bCs/>
                <w:sz w:val="18"/>
                <w:lang w:val="en-US"/>
              </w:rPr>
            </w:pPr>
            <w:r>
              <w:rPr>
                <w:rFonts w:ascii="Arial" w:eastAsia="Times New Roman" w:hAnsi="Arial" w:cs="Arial"/>
                <w:b/>
                <w:bCs/>
                <w:sz w:val="18"/>
              </w:rPr>
              <w:t>10</w:t>
            </w:r>
            <w:r w:rsidR="002A3F8F">
              <w:rPr>
                <w:rFonts w:ascii="Arial" w:eastAsia="Times New Roman" w:hAnsi="Arial" w:cs="Arial"/>
                <w:b/>
                <w:bCs/>
                <w:sz w:val="18"/>
                <w:lang w:val="en-GB"/>
              </w:rPr>
              <w:t>8</w:t>
            </w:r>
            <w:r>
              <w:rPr>
                <w:rFonts w:ascii="Arial" w:eastAsia="Times New Roman" w:hAnsi="Arial" w:cs="Arial"/>
                <w:b/>
                <w:bCs/>
                <w:sz w:val="18"/>
              </w:rPr>
              <w:t>.</w:t>
            </w:r>
            <w:r w:rsidR="002A3F8F">
              <w:rPr>
                <w:rFonts w:ascii="Arial" w:eastAsia="Times New Roman" w:hAnsi="Arial" w:cs="Arial"/>
                <w:b/>
                <w:bCs/>
                <w:sz w:val="18"/>
                <w:lang w:val="en-GB"/>
              </w:rPr>
              <w:t>5</w:t>
            </w:r>
            <w:r w:rsidR="00E418A3" w:rsidRPr="003905FB">
              <w:rPr>
                <w:rFonts w:ascii="Arial" w:eastAsia="Times New Roman" w:hAnsi="Arial" w:cs="Arial"/>
                <w:b/>
                <w:bCs/>
                <w:sz w:val="18"/>
                <w:lang w:val="en-US"/>
              </w:rPr>
              <w:t>00</w:t>
            </w:r>
          </w:p>
        </w:tc>
        <w:tc>
          <w:tcPr>
            <w:tcW w:w="1345" w:type="dxa"/>
            <w:tcBorders>
              <w:top w:val="single" w:sz="4" w:space="0" w:color="auto"/>
              <w:left w:val="nil"/>
              <w:bottom w:val="single" w:sz="4" w:space="0" w:color="auto"/>
              <w:right w:val="nil"/>
            </w:tcBorders>
            <w:shd w:val="clear" w:color="auto" w:fill="auto"/>
            <w:noWrap/>
            <w:vAlign w:val="bottom"/>
            <w:hideMark/>
          </w:tcPr>
          <w:p w:rsidR="00E418A3" w:rsidRPr="00880E70" w:rsidRDefault="003B53B4" w:rsidP="0003768A">
            <w:pPr>
              <w:spacing w:after="0" w:line="240" w:lineRule="auto"/>
              <w:jc w:val="right"/>
              <w:rPr>
                <w:rFonts w:ascii="Arial" w:eastAsia="Times New Roman" w:hAnsi="Arial" w:cs="Arial"/>
                <w:b/>
                <w:bCs/>
                <w:sz w:val="18"/>
                <w:lang w:val="en-GB"/>
              </w:rPr>
            </w:pPr>
            <w:r>
              <w:rPr>
                <w:rFonts w:ascii="Arial" w:eastAsia="Times New Roman" w:hAnsi="Arial" w:cs="Arial"/>
                <w:b/>
                <w:bCs/>
                <w:sz w:val="18"/>
              </w:rPr>
              <w:t>4</w:t>
            </w:r>
            <w:r w:rsidR="002A3F8F">
              <w:rPr>
                <w:rFonts w:ascii="Arial" w:eastAsia="Times New Roman" w:hAnsi="Arial" w:cs="Arial"/>
                <w:b/>
                <w:bCs/>
                <w:sz w:val="18"/>
                <w:lang w:val="en-GB"/>
              </w:rPr>
              <w:t>9</w:t>
            </w:r>
            <w:r>
              <w:rPr>
                <w:rFonts w:ascii="Arial" w:eastAsia="Times New Roman" w:hAnsi="Arial" w:cs="Arial"/>
                <w:b/>
                <w:bCs/>
                <w:sz w:val="18"/>
              </w:rPr>
              <w:t>.</w:t>
            </w:r>
            <w:r w:rsidR="002A3F8F">
              <w:rPr>
                <w:rFonts w:ascii="Arial" w:eastAsia="Times New Roman" w:hAnsi="Arial" w:cs="Arial"/>
                <w:b/>
                <w:bCs/>
                <w:sz w:val="18"/>
                <w:lang w:val="en-GB"/>
              </w:rPr>
              <w:t>000</w:t>
            </w:r>
          </w:p>
        </w:tc>
      </w:tr>
    </w:tbl>
    <w:p w:rsidR="00E418A3" w:rsidRDefault="00E418A3" w:rsidP="000915DB">
      <w:pPr>
        <w:jc w:val="both"/>
        <w:rPr>
          <w:rFonts w:ascii="Arial" w:hAnsi="Arial" w:cs="Arial"/>
          <w:sz w:val="20"/>
          <w:szCs w:val="20"/>
        </w:rPr>
      </w:pPr>
    </w:p>
    <w:sectPr w:rsidR="00E418A3" w:rsidSect="00A53DFA">
      <w:footerReference w:type="default" r:id="rId8"/>
      <w:pgSz w:w="11906" w:h="16838"/>
      <w:pgMar w:top="1440" w:right="1274" w:bottom="1440" w:left="1418"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F5" w:rsidRDefault="008C04F5" w:rsidP="003B616A">
      <w:pPr>
        <w:spacing w:after="0" w:line="240" w:lineRule="auto"/>
      </w:pPr>
      <w:r>
        <w:separator/>
      </w:r>
    </w:p>
  </w:endnote>
  <w:endnote w:type="continuationSeparator" w:id="0">
    <w:p w:rsidR="008C04F5" w:rsidRDefault="008C04F5" w:rsidP="003B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085243"/>
      <w:docPartObj>
        <w:docPartGallery w:val="Page Numbers (Bottom of Page)"/>
        <w:docPartUnique/>
      </w:docPartObj>
    </w:sdtPr>
    <w:sdtEndPr>
      <w:rPr>
        <w:noProof/>
      </w:rPr>
    </w:sdtEndPr>
    <w:sdtContent>
      <w:p w:rsidR="008C04F5" w:rsidRDefault="008C04F5">
        <w:pPr>
          <w:pStyle w:val="Footer"/>
          <w:jc w:val="center"/>
        </w:pPr>
        <w:r>
          <w:fldChar w:fldCharType="begin"/>
        </w:r>
        <w:r>
          <w:instrText xml:space="preserve"> PAGE   \* MERGEFORMAT </w:instrText>
        </w:r>
        <w:r>
          <w:fldChar w:fldCharType="separate"/>
        </w:r>
        <w:r w:rsidR="00B5061E">
          <w:rPr>
            <w:noProof/>
          </w:rPr>
          <w:t>42</w:t>
        </w:r>
        <w:r>
          <w:rPr>
            <w:noProof/>
          </w:rPr>
          <w:fldChar w:fldCharType="end"/>
        </w:r>
      </w:p>
    </w:sdtContent>
  </w:sdt>
  <w:p w:rsidR="008C04F5" w:rsidRDefault="008C0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F5" w:rsidRDefault="008C04F5" w:rsidP="003B616A">
      <w:pPr>
        <w:spacing w:after="0" w:line="240" w:lineRule="auto"/>
      </w:pPr>
      <w:r>
        <w:separator/>
      </w:r>
    </w:p>
  </w:footnote>
  <w:footnote w:type="continuationSeparator" w:id="0">
    <w:p w:rsidR="008C04F5" w:rsidRDefault="008C04F5" w:rsidP="003B616A">
      <w:pPr>
        <w:spacing w:after="0" w:line="240" w:lineRule="auto"/>
      </w:pPr>
      <w:r>
        <w:continuationSeparator/>
      </w:r>
    </w:p>
  </w:footnote>
  <w:footnote w:id="1">
    <w:p w:rsidR="008C04F5" w:rsidRDefault="008C04F5">
      <w:pPr>
        <w:pStyle w:val="FootnoteText"/>
      </w:pPr>
      <w:r>
        <w:rPr>
          <w:rStyle w:val="FootnoteReference"/>
        </w:rPr>
        <w:footnoteRef/>
      </w:r>
      <w:r>
        <w:t xml:space="preserve"> Το προυπολογιζόμενο ποσό των δανείων και χορηγήσεων για σκοπούς ανάλυσης των προβλέψεων για κάλυψη του πιστωτικού κινδύνου έχει αναθεωρηθεί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2A1"/>
    <w:multiLevelType w:val="hybridMultilevel"/>
    <w:tmpl w:val="B6381396"/>
    <w:lvl w:ilvl="0" w:tplc="0408000F">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 w15:restartNumberingAfterBreak="0">
    <w:nsid w:val="03B72F9E"/>
    <w:multiLevelType w:val="hybridMultilevel"/>
    <w:tmpl w:val="FBE40766"/>
    <w:lvl w:ilvl="0" w:tplc="0408000F">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 w15:restartNumberingAfterBreak="0">
    <w:nsid w:val="0EDA7387"/>
    <w:multiLevelType w:val="hybridMultilevel"/>
    <w:tmpl w:val="A636E87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3284C"/>
    <w:multiLevelType w:val="hybridMultilevel"/>
    <w:tmpl w:val="6DF85A3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F36C3"/>
    <w:multiLevelType w:val="hybridMultilevel"/>
    <w:tmpl w:val="327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82369"/>
    <w:multiLevelType w:val="hybridMultilevel"/>
    <w:tmpl w:val="490EF83A"/>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905"/>
    <w:multiLevelType w:val="hybridMultilevel"/>
    <w:tmpl w:val="7BC6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E6B52"/>
    <w:multiLevelType w:val="hybridMultilevel"/>
    <w:tmpl w:val="D7C2D0D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41F5B"/>
    <w:multiLevelType w:val="hybridMultilevel"/>
    <w:tmpl w:val="366647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D3CC2"/>
    <w:multiLevelType w:val="hybridMultilevel"/>
    <w:tmpl w:val="372E4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07C55"/>
    <w:multiLevelType w:val="hybridMultilevel"/>
    <w:tmpl w:val="3D82338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610A7"/>
    <w:multiLevelType w:val="hybridMultilevel"/>
    <w:tmpl w:val="371A4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E270A"/>
    <w:multiLevelType w:val="hybridMultilevel"/>
    <w:tmpl w:val="B0C4E40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53110CE0"/>
    <w:multiLevelType w:val="hybridMultilevel"/>
    <w:tmpl w:val="279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41D2C"/>
    <w:multiLevelType w:val="hybridMultilevel"/>
    <w:tmpl w:val="C20CB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71EB1"/>
    <w:multiLevelType w:val="hybridMultilevel"/>
    <w:tmpl w:val="2D58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90BAF"/>
    <w:multiLevelType w:val="hybridMultilevel"/>
    <w:tmpl w:val="F51E283C"/>
    <w:lvl w:ilvl="0" w:tplc="04080005">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6EFE50A6"/>
    <w:multiLevelType w:val="hybridMultilevel"/>
    <w:tmpl w:val="81A87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17F24"/>
    <w:multiLevelType w:val="hybridMultilevel"/>
    <w:tmpl w:val="72CEC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52AE5"/>
    <w:multiLevelType w:val="hybridMultilevel"/>
    <w:tmpl w:val="7D94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A638F"/>
    <w:multiLevelType w:val="hybridMultilevel"/>
    <w:tmpl w:val="C3705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51BE"/>
    <w:multiLevelType w:val="hybridMultilevel"/>
    <w:tmpl w:val="7AD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14"/>
  </w:num>
  <w:num w:numId="11">
    <w:abstractNumId w:val="18"/>
  </w:num>
  <w:num w:numId="12">
    <w:abstractNumId w:val="3"/>
  </w:num>
  <w:num w:numId="13">
    <w:abstractNumId w:val="8"/>
  </w:num>
  <w:num w:numId="14">
    <w:abstractNumId w:val="20"/>
  </w:num>
  <w:num w:numId="15">
    <w:abstractNumId w:val="15"/>
  </w:num>
  <w:num w:numId="16">
    <w:abstractNumId w:val="19"/>
  </w:num>
  <w:num w:numId="17">
    <w:abstractNumId w:val="6"/>
  </w:num>
  <w:num w:numId="18">
    <w:abstractNumId w:val="13"/>
  </w:num>
  <w:num w:numId="19">
    <w:abstractNumId w:val="21"/>
  </w:num>
  <w:num w:numId="20">
    <w:abstractNumId w:val="4"/>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D6"/>
    <w:rsid w:val="00002A0F"/>
    <w:rsid w:val="00005F88"/>
    <w:rsid w:val="00010930"/>
    <w:rsid w:val="00012686"/>
    <w:rsid w:val="00020DF6"/>
    <w:rsid w:val="0003768A"/>
    <w:rsid w:val="00040113"/>
    <w:rsid w:val="00041F71"/>
    <w:rsid w:val="00044183"/>
    <w:rsid w:val="000442C0"/>
    <w:rsid w:val="000470B2"/>
    <w:rsid w:val="0005342D"/>
    <w:rsid w:val="00053E51"/>
    <w:rsid w:val="000821A6"/>
    <w:rsid w:val="00082639"/>
    <w:rsid w:val="000832A2"/>
    <w:rsid w:val="00086B9D"/>
    <w:rsid w:val="00090D38"/>
    <w:rsid w:val="000915DB"/>
    <w:rsid w:val="000A1BD6"/>
    <w:rsid w:val="000A38A5"/>
    <w:rsid w:val="000A4DE7"/>
    <w:rsid w:val="000C1198"/>
    <w:rsid w:val="000C3BA2"/>
    <w:rsid w:val="000C4058"/>
    <w:rsid w:val="000D2C8A"/>
    <w:rsid w:val="000D4294"/>
    <w:rsid w:val="000E2216"/>
    <w:rsid w:val="000E6003"/>
    <w:rsid w:val="000E6632"/>
    <w:rsid w:val="000E762A"/>
    <w:rsid w:val="000F18D0"/>
    <w:rsid w:val="000F6278"/>
    <w:rsid w:val="001132F9"/>
    <w:rsid w:val="00117A64"/>
    <w:rsid w:val="00126C75"/>
    <w:rsid w:val="0012712D"/>
    <w:rsid w:val="00134328"/>
    <w:rsid w:val="00136E65"/>
    <w:rsid w:val="001453FF"/>
    <w:rsid w:val="00147808"/>
    <w:rsid w:val="00156587"/>
    <w:rsid w:val="00161BD8"/>
    <w:rsid w:val="00171A67"/>
    <w:rsid w:val="00173B29"/>
    <w:rsid w:val="00183563"/>
    <w:rsid w:val="0018485D"/>
    <w:rsid w:val="001850C7"/>
    <w:rsid w:val="001A6497"/>
    <w:rsid w:val="001A6B9D"/>
    <w:rsid w:val="001B1CE2"/>
    <w:rsid w:val="001B3CFD"/>
    <w:rsid w:val="001B78D9"/>
    <w:rsid w:val="001C314A"/>
    <w:rsid w:val="001D6A2A"/>
    <w:rsid w:val="001E0A7E"/>
    <w:rsid w:val="001E4E91"/>
    <w:rsid w:val="001F5FC1"/>
    <w:rsid w:val="001F74E4"/>
    <w:rsid w:val="002028F2"/>
    <w:rsid w:val="00203A35"/>
    <w:rsid w:val="002042A0"/>
    <w:rsid w:val="0020562C"/>
    <w:rsid w:val="00215331"/>
    <w:rsid w:val="00216BC7"/>
    <w:rsid w:val="002240C1"/>
    <w:rsid w:val="0023232D"/>
    <w:rsid w:val="00233EAB"/>
    <w:rsid w:val="00234DD8"/>
    <w:rsid w:val="00243231"/>
    <w:rsid w:val="00244EEC"/>
    <w:rsid w:val="002466D1"/>
    <w:rsid w:val="002509A1"/>
    <w:rsid w:val="0025647C"/>
    <w:rsid w:val="00263586"/>
    <w:rsid w:val="00264FCD"/>
    <w:rsid w:val="0027047B"/>
    <w:rsid w:val="002821C5"/>
    <w:rsid w:val="002A0EB4"/>
    <w:rsid w:val="002A3EAF"/>
    <w:rsid w:val="002A3F8F"/>
    <w:rsid w:val="002B731F"/>
    <w:rsid w:val="002C34C9"/>
    <w:rsid w:val="002D22C6"/>
    <w:rsid w:val="002D2897"/>
    <w:rsid w:val="002E21CE"/>
    <w:rsid w:val="0032304B"/>
    <w:rsid w:val="00342288"/>
    <w:rsid w:val="003457B9"/>
    <w:rsid w:val="00345FD8"/>
    <w:rsid w:val="00347BF4"/>
    <w:rsid w:val="0035179A"/>
    <w:rsid w:val="0036109B"/>
    <w:rsid w:val="00375BF3"/>
    <w:rsid w:val="0037655D"/>
    <w:rsid w:val="00377096"/>
    <w:rsid w:val="003804E1"/>
    <w:rsid w:val="00384310"/>
    <w:rsid w:val="003877AB"/>
    <w:rsid w:val="003905FB"/>
    <w:rsid w:val="003908FC"/>
    <w:rsid w:val="00395A2A"/>
    <w:rsid w:val="003A304E"/>
    <w:rsid w:val="003A440B"/>
    <w:rsid w:val="003B53B4"/>
    <w:rsid w:val="003B616A"/>
    <w:rsid w:val="003D4252"/>
    <w:rsid w:val="003D4C5C"/>
    <w:rsid w:val="003E4964"/>
    <w:rsid w:val="003E689C"/>
    <w:rsid w:val="003F3683"/>
    <w:rsid w:val="003F5A76"/>
    <w:rsid w:val="0040119B"/>
    <w:rsid w:val="00416912"/>
    <w:rsid w:val="00416C77"/>
    <w:rsid w:val="004204B7"/>
    <w:rsid w:val="004237B9"/>
    <w:rsid w:val="004244FD"/>
    <w:rsid w:val="00425423"/>
    <w:rsid w:val="00446952"/>
    <w:rsid w:val="00450808"/>
    <w:rsid w:val="004548C7"/>
    <w:rsid w:val="00457B30"/>
    <w:rsid w:val="004673E6"/>
    <w:rsid w:val="004712A7"/>
    <w:rsid w:val="00481D38"/>
    <w:rsid w:val="004825B3"/>
    <w:rsid w:val="004830F5"/>
    <w:rsid w:val="004870BA"/>
    <w:rsid w:val="004A52D3"/>
    <w:rsid w:val="004A7D2E"/>
    <w:rsid w:val="004B10EB"/>
    <w:rsid w:val="004B3E26"/>
    <w:rsid w:val="004D57CF"/>
    <w:rsid w:val="004E35D4"/>
    <w:rsid w:val="004E655E"/>
    <w:rsid w:val="004E7BC4"/>
    <w:rsid w:val="004F2A92"/>
    <w:rsid w:val="004F2D5C"/>
    <w:rsid w:val="0051597D"/>
    <w:rsid w:val="005163D6"/>
    <w:rsid w:val="00521143"/>
    <w:rsid w:val="0052197D"/>
    <w:rsid w:val="00522392"/>
    <w:rsid w:val="00525A21"/>
    <w:rsid w:val="00527292"/>
    <w:rsid w:val="0053305F"/>
    <w:rsid w:val="005362AF"/>
    <w:rsid w:val="00540931"/>
    <w:rsid w:val="00551D79"/>
    <w:rsid w:val="00557372"/>
    <w:rsid w:val="00560DE6"/>
    <w:rsid w:val="0056545F"/>
    <w:rsid w:val="005657EC"/>
    <w:rsid w:val="00567A27"/>
    <w:rsid w:val="005700EB"/>
    <w:rsid w:val="0057089A"/>
    <w:rsid w:val="00570951"/>
    <w:rsid w:val="00570EF0"/>
    <w:rsid w:val="00572C18"/>
    <w:rsid w:val="00574F76"/>
    <w:rsid w:val="00580B26"/>
    <w:rsid w:val="00597BDF"/>
    <w:rsid w:val="005A32B0"/>
    <w:rsid w:val="005A373A"/>
    <w:rsid w:val="005B080A"/>
    <w:rsid w:val="005B55D4"/>
    <w:rsid w:val="005B6A4E"/>
    <w:rsid w:val="005B6EB2"/>
    <w:rsid w:val="005C0728"/>
    <w:rsid w:val="005C11AE"/>
    <w:rsid w:val="005D4BAD"/>
    <w:rsid w:val="005E1117"/>
    <w:rsid w:val="005E708F"/>
    <w:rsid w:val="005F3CA5"/>
    <w:rsid w:val="005F7701"/>
    <w:rsid w:val="00603281"/>
    <w:rsid w:val="00604095"/>
    <w:rsid w:val="0062238E"/>
    <w:rsid w:val="0063242F"/>
    <w:rsid w:val="00634C74"/>
    <w:rsid w:val="00634E9A"/>
    <w:rsid w:val="006455E2"/>
    <w:rsid w:val="0065621C"/>
    <w:rsid w:val="00664F3F"/>
    <w:rsid w:val="00670E71"/>
    <w:rsid w:val="00685613"/>
    <w:rsid w:val="006872EE"/>
    <w:rsid w:val="00691CDF"/>
    <w:rsid w:val="00691FCC"/>
    <w:rsid w:val="00692A95"/>
    <w:rsid w:val="00693EF7"/>
    <w:rsid w:val="00694192"/>
    <w:rsid w:val="006967B2"/>
    <w:rsid w:val="006A5AE8"/>
    <w:rsid w:val="006B3911"/>
    <w:rsid w:val="006B6892"/>
    <w:rsid w:val="006D5D13"/>
    <w:rsid w:val="006E0DCC"/>
    <w:rsid w:val="006E410F"/>
    <w:rsid w:val="006F2F53"/>
    <w:rsid w:val="0070330B"/>
    <w:rsid w:val="0070704D"/>
    <w:rsid w:val="007114E9"/>
    <w:rsid w:val="00714A43"/>
    <w:rsid w:val="007206B9"/>
    <w:rsid w:val="00721202"/>
    <w:rsid w:val="007237F6"/>
    <w:rsid w:val="0074278C"/>
    <w:rsid w:val="00751A15"/>
    <w:rsid w:val="007642C1"/>
    <w:rsid w:val="00767044"/>
    <w:rsid w:val="00770722"/>
    <w:rsid w:val="00770933"/>
    <w:rsid w:val="0077198E"/>
    <w:rsid w:val="00774D51"/>
    <w:rsid w:val="00775CC0"/>
    <w:rsid w:val="00781068"/>
    <w:rsid w:val="00782B58"/>
    <w:rsid w:val="00783BC3"/>
    <w:rsid w:val="007A23FA"/>
    <w:rsid w:val="007A7F50"/>
    <w:rsid w:val="007B696A"/>
    <w:rsid w:val="007C1035"/>
    <w:rsid w:val="007C48CE"/>
    <w:rsid w:val="007C709B"/>
    <w:rsid w:val="007C7C0F"/>
    <w:rsid w:val="007D4363"/>
    <w:rsid w:val="007E2082"/>
    <w:rsid w:val="008025D7"/>
    <w:rsid w:val="00815CF7"/>
    <w:rsid w:val="008160C6"/>
    <w:rsid w:val="00820AC9"/>
    <w:rsid w:val="008223FB"/>
    <w:rsid w:val="008232E8"/>
    <w:rsid w:val="008505F9"/>
    <w:rsid w:val="00850E1C"/>
    <w:rsid w:val="00850EE7"/>
    <w:rsid w:val="008641B4"/>
    <w:rsid w:val="008738B3"/>
    <w:rsid w:val="00880E70"/>
    <w:rsid w:val="00893AB7"/>
    <w:rsid w:val="00897A46"/>
    <w:rsid w:val="008B2A39"/>
    <w:rsid w:val="008B57D0"/>
    <w:rsid w:val="008B6F84"/>
    <w:rsid w:val="008C04F5"/>
    <w:rsid w:val="008D0ADB"/>
    <w:rsid w:val="008D0B50"/>
    <w:rsid w:val="008D14B8"/>
    <w:rsid w:val="008D5A74"/>
    <w:rsid w:val="008D79F6"/>
    <w:rsid w:val="008E12F2"/>
    <w:rsid w:val="008E3353"/>
    <w:rsid w:val="008E7256"/>
    <w:rsid w:val="008F1D1E"/>
    <w:rsid w:val="008F2B49"/>
    <w:rsid w:val="008F41DF"/>
    <w:rsid w:val="0090395C"/>
    <w:rsid w:val="00910971"/>
    <w:rsid w:val="0092017F"/>
    <w:rsid w:val="0092047D"/>
    <w:rsid w:val="00923103"/>
    <w:rsid w:val="0092468E"/>
    <w:rsid w:val="009276D4"/>
    <w:rsid w:val="00927DC8"/>
    <w:rsid w:val="00936F0C"/>
    <w:rsid w:val="00940B0C"/>
    <w:rsid w:val="00981F6A"/>
    <w:rsid w:val="009831C6"/>
    <w:rsid w:val="009901EF"/>
    <w:rsid w:val="009A7411"/>
    <w:rsid w:val="009B26A3"/>
    <w:rsid w:val="009B69A1"/>
    <w:rsid w:val="009B77DA"/>
    <w:rsid w:val="009C049E"/>
    <w:rsid w:val="009D3A98"/>
    <w:rsid w:val="009E324E"/>
    <w:rsid w:val="009F2D84"/>
    <w:rsid w:val="00A02311"/>
    <w:rsid w:val="00A11FCC"/>
    <w:rsid w:val="00A2774D"/>
    <w:rsid w:val="00A278AB"/>
    <w:rsid w:val="00A33171"/>
    <w:rsid w:val="00A351FC"/>
    <w:rsid w:val="00A53DFA"/>
    <w:rsid w:val="00A6292B"/>
    <w:rsid w:val="00A6454D"/>
    <w:rsid w:val="00A672D1"/>
    <w:rsid w:val="00A700CF"/>
    <w:rsid w:val="00A727C4"/>
    <w:rsid w:val="00A8556B"/>
    <w:rsid w:val="00A941A7"/>
    <w:rsid w:val="00AA01F8"/>
    <w:rsid w:val="00AA220C"/>
    <w:rsid w:val="00AA783A"/>
    <w:rsid w:val="00AB29DA"/>
    <w:rsid w:val="00AB3BEA"/>
    <w:rsid w:val="00AB7B48"/>
    <w:rsid w:val="00AC705E"/>
    <w:rsid w:val="00AC7D31"/>
    <w:rsid w:val="00AD1E23"/>
    <w:rsid w:val="00AE627D"/>
    <w:rsid w:val="00AF2353"/>
    <w:rsid w:val="00B0742C"/>
    <w:rsid w:val="00B17D51"/>
    <w:rsid w:val="00B20588"/>
    <w:rsid w:val="00B21922"/>
    <w:rsid w:val="00B241B8"/>
    <w:rsid w:val="00B24F5E"/>
    <w:rsid w:val="00B35404"/>
    <w:rsid w:val="00B44102"/>
    <w:rsid w:val="00B5061E"/>
    <w:rsid w:val="00B50A20"/>
    <w:rsid w:val="00B56DF1"/>
    <w:rsid w:val="00B603E5"/>
    <w:rsid w:val="00B73F58"/>
    <w:rsid w:val="00B81BF1"/>
    <w:rsid w:val="00B85C54"/>
    <w:rsid w:val="00B938E6"/>
    <w:rsid w:val="00BA51F4"/>
    <w:rsid w:val="00BC3717"/>
    <w:rsid w:val="00BC59B8"/>
    <w:rsid w:val="00BD1467"/>
    <w:rsid w:val="00BD1FD5"/>
    <w:rsid w:val="00BE2E1C"/>
    <w:rsid w:val="00BE6D48"/>
    <w:rsid w:val="00BF1632"/>
    <w:rsid w:val="00BF4C0C"/>
    <w:rsid w:val="00C07573"/>
    <w:rsid w:val="00C24B6B"/>
    <w:rsid w:val="00C24F32"/>
    <w:rsid w:val="00C2768A"/>
    <w:rsid w:val="00C27A72"/>
    <w:rsid w:val="00C37814"/>
    <w:rsid w:val="00C52217"/>
    <w:rsid w:val="00C6074C"/>
    <w:rsid w:val="00C72A6F"/>
    <w:rsid w:val="00C76714"/>
    <w:rsid w:val="00C827E0"/>
    <w:rsid w:val="00C9099E"/>
    <w:rsid w:val="00CA4370"/>
    <w:rsid w:val="00CB529F"/>
    <w:rsid w:val="00CC18C5"/>
    <w:rsid w:val="00CC4055"/>
    <w:rsid w:val="00CD2430"/>
    <w:rsid w:val="00CE6659"/>
    <w:rsid w:val="00D011E3"/>
    <w:rsid w:val="00D06139"/>
    <w:rsid w:val="00D06630"/>
    <w:rsid w:val="00D25707"/>
    <w:rsid w:val="00D30B68"/>
    <w:rsid w:val="00D32A6A"/>
    <w:rsid w:val="00D32FAE"/>
    <w:rsid w:val="00D33B46"/>
    <w:rsid w:val="00D35B6E"/>
    <w:rsid w:val="00D45037"/>
    <w:rsid w:val="00D64FE2"/>
    <w:rsid w:val="00D65FF5"/>
    <w:rsid w:val="00D73676"/>
    <w:rsid w:val="00D7572A"/>
    <w:rsid w:val="00D90942"/>
    <w:rsid w:val="00D93B0A"/>
    <w:rsid w:val="00DA0929"/>
    <w:rsid w:val="00DC261C"/>
    <w:rsid w:val="00DC654B"/>
    <w:rsid w:val="00DC73C2"/>
    <w:rsid w:val="00DD5B2F"/>
    <w:rsid w:val="00DD6BBC"/>
    <w:rsid w:val="00DE0485"/>
    <w:rsid w:val="00DE3FA3"/>
    <w:rsid w:val="00DE7729"/>
    <w:rsid w:val="00DF1DDD"/>
    <w:rsid w:val="00DF41E0"/>
    <w:rsid w:val="00E026F3"/>
    <w:rsid w:val="00E0574E"/>
    <w:rsid w:val="00E06AF0"/>
    <w:rsid w:val="00E12C27"/>
    <w:rsid w:val="00E13BBA"/>
    <w:rsid w:val="00E1561C"/>
    <w:rsid w:val="00E24868"/>
    <w:rsid w:val="00E274E0"/>
    <w:rsid w:val="00E309E7"/>
    <w:rsid w:val="00E338F1"/>
    <w:rsid w:val="00E348E7"/>
    <w:rsid w:val="00E35041"/>
    <w:rsid w:val="00E418A3"/>
    <w:rsid w:val="00E61B61"/>
    <w:rsid w:val="00E647A6"/>
    <w:rsid w:val="00E725E3"/>
    <w:rsid w:val="00E90570"/>
    <w:rsid w:val="00E94431"/>
    <w:rsid w:val="00E958C0"/>
    <w:rsid w:val="00E961E8"/>
    <w:rsid w:val="00E971D9"/>
    <w:rsid w:val="00EA08DA"/>
    <w:rsid w:val="00EA139A"/>
    <w:rsid w:val="00EA2341"/>
    <w:rsid w:val="00EA252A"/>
    <w:rsid w:val="00EB614B"/>
    <w:rsid w:val="00EB6A2B"/>
    <w:rsid w:val="00EC4858"/>
    <w:rsid w:val="00EC7F3E"/>
    <w:rsid w:val="00ED7845"/>
    <w:rsid w:val="00ED798D"/>
    <w:rsid w:val="00EF39E3"/>
    <w:rsid w:val="00EF6A73"/>
    <w:rsid w:val="00F01B28"/>
    <w:rsid w:val="00F01D07"/>
    <w:rsid w:val="00F12513"/>
    <w:rsid w:val="00F22EF1"/>
    <w:rsid w:val="00F56207"/>
    <w:rsid w:val="00F62980"/>
    <w:rsid w:val="00F75FB8"/>
    <w:rsid w:val="00F77A6B"/>
    <w:rsid w:val="00F80864"/>
    <w:rsid w:val="00F8564B"/>
    <w:rsid w:val="00F8614A"/>
    <w:rsid w:val="00F868F1"/>
    <w:rsid w:val="00F922BD"/>
    <w:rsid w:val="00F96858"/>
    <w:rsid w:val="00FA25AA"/>
    <w:rsid w:val="00FA382F"/>
    <w:rsid w:val="00FB5A9D"/>
    <w:rsid w:val="00FC11C7"/>
    <w:rsid w:val="00FD5C26"/>
    <w:rsid w:val="00FD6C11"/>
    <w:rsid w:val="00FF012D"/>
    <w:rsid w:val="00FF2800"/>
    <w:rsid w:val="00FF53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C2714"/>
  <w15:docId w15:val="{4400744F-E149-4100-A133-C6E86E2F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139A"/>
    <w:pPr>
      <w:ind w:left="720"/>
      <w:contextualSpacing/>
    </w:pPr>
  </w:style>
  <w:style w:type="paragraph" w:styleId="Header">
    <w:name w:val="header"/>
    <w:basedOn w:val="Normal"/>
    <w:link w:val="HeaderChar"/>
    <w:uiPriority w:val="99"/>
    <w:unhideWhenUsed/>
    <w:rsid w:val="003B61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616A"/>
  </w:style>
  <w:style w:type="paragraph" w:styleId="Footer">
    <w:name w:val="footer"/>
    <w:basedOn w:val="Normal"/>
    <w:link w:val="FooterChar"/>
    <w:uiPriority w:val="99"/>
    <w:unhideWhenUsed/>
    <w:rsid w:val="003B61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616A"/>
  </w:style>
  <w:style w:type="paragraph" w:styleId="FootnoteText">
    <w:name w:val="footnote text"/>
    <w:basedOn w:val="Normal"/>
    <w:link w:val="FootnoteTextChar"/>
    <w:uiPriority w:val="99"/>
    <w:semiHidden/>
    <w:unhideWhenUsed/>
    <w:rsid w:val="000C1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198"/>
    <w:rPr>
      <w:sz w:val="20"/>
      <w:szCs w:val="20"/>
    </w:rPr>
  </w:style>
  <w:style w:type="character" w:styleId="FootnoteReference">
    <w:name w:val="footnote reference"/>
    <w:basedOn w:val="DefaultParagraphFont"/>
    <w:uiPriority w:val="99"/>
    <w:semiHidden/>
    <w:unhideWhenUsed/>
    <w:rsid w:val="000C1198"/>
    <w:rPr>
      <w:vertAlign w:val="superscript"/>
    </w:rPr>
  </w:style>
  <w:style w:type="table" w:styleId="TableGrid">
    <w:name w:val="Table Grid"/>
    <w:basedOn w:val="TableNormal"/>
    <w:uiPriority w:val="59"/>
    <w:rsid w:val="002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0570"/>
    <w:pPr>
      <w:spacing w:after="12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E90570"/>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81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C6"/>
    <w:rPr>
      <w:rFonts w:ascii="Segoe UI" w:hAnsi="Segoe UI" w:cs="Segoe UI"/>
      <w:sz w:val="18"/>
      <w:szCs w:val="18"/>
    </w:rPr>
  </w:style>
  <w:style w:type="character" w:styleId="CommentReference">
    <w:name w:val="annotation reference"/>
    <w:basedOn w:val="DefaultParagraphFont"/>
    <w:uiPriority w:val="99"/>
    <w:semiHidden/>
    <w:unhideWhenUsed/>
    <w:rsid w:val="00B44102"/>
    <w:rPr>
      <w:sz w:val="16"/>
      <w:szCs w:val="16"/>
    </w:rPr>
  </w:style>
  <w:style w:type="paragraph" w:styleId="CommentText">
    <w:name w:val="annotation text"/>
    <w:basedOn w:val="Normal"/>
    <w:link w:val="CommentTextChar"/>
    <w:uiPriority w:val="99"/>
    <w:semiHidden/>
    <w:unhideWhenUsed/>
    <w:rsid w:val="00B44102"/>
    <w:pPr>
      <w:spacing w:line="240" w:lineRule="auto"/>
    </w:pPr>
    <w:rPr>
      <w:sz w:val="20"/>
      <w:szCs w:val="20"/>
    </w:rPr>
  </w:style>
  <w:style w:type="character" w:customStyle="1" w:styleId="CommentTextChar">
    <w:name w:val="Comment Text Char"/>
    <w:basedOn w:val="DefaultParagraphFont"/>
    <w:link w:val="CommentText"/>
    <w:uiPriority w:val="99"/>
    <w:semiHidden/>
    <w:rsid w:val="00B44102"/>
    <w:rPr>
      <w:sz w:val="20"/>
      <w:szCs w:val="20"/>
    </w:rPr>
  </w:style>
  <w:style w:type="paragraph" w:styleId="CommentSubject">
    <w:name w:val="annotation subject"/>
    <w:basedOn w:val="CommentText"/>
    <w:next w:val="CommentText"/>
    <w:link w:val="CommentSubjectChar"/>
    <w:uiPriority w:val="99"/>
    <w:semiHidden/>
    <w:unhideWhenUsed/>
    <w:rsid w:val="00B44102"/>
    <w:rPr>
      <w:b/>
      <w:bCs/>
    </w:rPr>
  </w:style>
  <w:style w:type="character" w:customStyle="1" w:styleId="CommentSubjectChar">
    <w:name w:val="Comment Subject Char"/>
    <w:basedOn w:val="CommentTextChar"/>
    <w:link w:val="CommentSubject"/>
    <w:uiPriority w:val="99"/>
    <w:semiHidden/>
    <w:rsid w:val="00B44102"/>
    <w:rPr>
      <w:b/>
      <w:bCs/>
      <w:sz w:val="20"/>
      <w:szCs w:val="20"/>
    </w:rPr>
  </w:style>
  <w:style w:type="paragraph" w:customStyle="1" w:styleId="Enclosure">
    <w:name w:val="Enclosure"/>
    <w:basedOn w:val="Normal"/>
    <w:rsid w:val="0023232D"/>
    <w:pPr>
      <w:tabs>
        <w:tab w:val="left" w:pos="1440"/>
      </w:tabs>
      <w:spacing w:after="0" w:line="240" w:lineRule="auto"/>
    </w:pPr>
    <w:rPr>
      <w:rFonts w:ascii="Arial" w:eastAsia="Times New Roman" w:hAnsi="Arial" w:cs="Times New Roman"/>
      <w:sz w:val="23"/>
      <w:szCs w:val="20"/>
    </w:rPr>
  </w:style>
  <w:style w:type="paragraph" w:styleId="NormalWeb">
    <w:name w:val="Normal (Web)"/>
    <w:basedOn w:val="Normal"/>
    <w:uiPriority w:val="99"/>
    <w:unhideWhenUsed/>
    <w:rsid w:val="002323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2821C5"/>
    <w:pPr>
      <w:autoSpaceDE w:val="0"/>
      <w:autoSpaceDN w:val="0"/>
      <w:adjustRightInd w:val="0"/>
      <w:spacing w:after="0" w:line="240" w:lineRule="auto"/>
    </w:pPr>
    <w:rPr>
      <w:rFonts w:ascii="Arial" w:hAnsi="Arial" w:cs="Arial"/>
      <w:color w:val="000000"/>
      <w:sz w:val="24"/>
      <w:szCs w:val="24"/>
      <w:lang w:val="en-GB"/>
    </w:rPr>
  </w:style>
  <w:style w:type="paragraph" w:styleId="EndnoteText">
    <w:name w:val="endnote text"/>
    <w:basedOn w:val="Normal"/>
    <w:link w:val="EndnoteTextChar"/>
    <w:uiPriority w:val="99"/>
    <w:semiHidden/>
    <w:unhideWhenUsed/>
    <w:rsid w:val="00E338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8F1"/>
    <w:rPr>
      <w:sz w:val="20"/>
      <w:szCs w:val="20"/>
    </w:rPr>
  </w:style>
  <w:style w:type="character" w:styleId="EndnoteReference">
    <w:name w:val="endnote reference"/>
    <w:basedOn w:val="DefaultParagraphFont"/>
    <w:uiPriority w:val="99"/>
    <w:semiHidden/>
    <w:unhideWhenUsed/>
    <w:rsid w:val="00E33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010">
      <w:bodyDiv w:val="1"/>
      <w:marLeft w:val="0"/>
      <w:marRight w:val="0"/>
      <w:marTop w:val="0"/>
      <w:marBottom w:val="0"/>
      <w:divBdr>
        <w:top w:val="none" w:sz="0" w:space="0" w:color="auto"/>
        <w:left w:val="none" w:sz="0" w:space="0" w:color="auto"/>
        <w:bottom w:val="none" w:sz="0" w:space="0" w:color="auto"/>
        <w:right w:val="none" w:sz="0" w:space="0" w:color="auto"/>
      </w:divBdr>
    </w:div>
    <w:div w:id="136607643">
      <w:bodyDiv w:val="1"/>
      <w:marLeft w:val="0"/>
      <w:marRight w:val="0"/>
      <w:marTop w:val="0"/>
      <w:marBottom w:val="0"/>
      <w:divBdr>
        <w:top w:val="none" w:sz="0" w:space="0" w:color="auto"/>
        <w:left w:val="none" w:sz="0" w:space="0" w:color="auto"/>
        <w:bottom w:val="none" w:sz="0" w:space="0" w:color="auto"/>
        <w:right w:val="none" w:sz="0" w:space="0" w:color="auto"/>
      </w:divBdr>
    </w:div>
    <w:div w:id="176239560">
      <w:bodyDiv w:val="1"/>
      <w:marLeft w:val="0"/>
      <w:marRight w:val="0"/>
      <w:marTop w:val="0"/>
      <w:marBottom w:val="0"/>
      <w:divBdr>
        <w:top w:val="none" w:sz="0" w:space="0" w:color="auto"/>
        <w:left w:val="none" w:sz="0" w:space="0" w:color="auto"/>
        <w:bottom w:val="none" w:sz="0" w:space="0" w:color="auto"/>
        <w:right w:val="none" w:sz="0" w:space="0" w:color="auto"/>
      </w:divBdr>
    </w:div>
    <w:div w:id="324867065">
      <w:bodyDiv w:val="1"/>
      <w:marLeft w:val="0"/>
      <w:marRight w:val="0"/>
      <w:marTop w:val="0"/>
      <w:marBottom w:val="0"/>
      <w:divBdr>
        <w:top w:val="none" w:sz="0" w:space="0" w:color="auto"/>
        <w:left w:val="none" w:sz="0" w:space="0" w:color="auto"/>
        <w:bottom w:val="none" w:sz="0" w:space="0" w:color="auto"/>
        <w:right w:val="none" w:sz="0" w:space="0" w:color="auto"/>
      </w:divBdr>
    </w:div>
    <w:div w:id="367727476">
      <w:bodyDiv w:val="1"/>
      <w:marLeft w:val="0"/>
      <w:marRight w:val="0"/>
      <w:marTop w:val="0"/>
      <w:marBottom w:val="0"/>
      <w:divBdr>
        <w:top w:val="none" w:sz="0" w:space="0" w:color="auto"/>
        <w:left w:val="none" w:sz="0" w:space="0" w:color="auto"/>
        <w:bottom w:val="none" w:sz="0" w:space="0" w:color="auto"/>
        <w:right w:val="none" w:sz="0" w:space="0" w:color="auto"/>
      </w:divBdr>
    </w:div>
    <w:div w:id="379982581">
      <w:bodyDiv w:val="1"/>
      <w:marLeft w:val="0"/>
      <w:marRight w:val="0"/>
      <w:marTop w:val="0"/>
      <w:marBottom w:val="0"/>
      <w:divBdr>
        <w:top w:val="none" w:sz="0" w:space="0" w:color="auto"/>
        <w:left w:val="none" w:sz="0" w:space="0" w:color="auto"/>
        <w:bottom w:val="none" w:sz="0" w:space="0" w:color="auto"/>
        <w:right w:val="none" w:sz="0" w:space="0" w:color="auto"/>
      </w:divBdr>
    </w:div>
    <w:div w:id="381447933">
      <w:bodyDiv w:val="1"/>
      <w:marLeft w:val="0"/>
      <w:marRight w:val="0"/>
      <w:marTop w:val="0"/>
      <w:marBottom w:val="0"/>
      <w:divBdr>
        <w:top w:val="none" w:sz="0" w:space="0" w:color="auto"/>
        <w:left w:val="none" w:sz="0" w:space="0" w:color="auto"/>
        <w:bottom w:val="none" w:sz="0" w:space="0" w:color="auto"/>
        <w:right w:val="none" w:sz="0" w:space="0" w:color="auto"/>
      </w:divBdr>
    </w:div>
    <w:div w:id="463040114">
      <w:bodyDiv w:val="1"/>
      <w:marLeft w:val="0"/>
      <w:marRight w:val="0"/>
      <w:marTop w:val="0"/>
      <w:marBottom w:val="0"/>
      <w:divBdr>
        <w:top w:val="none" w:sz="0" w:space="0" w:color="auto"/>
        <w:left w:val="none" w:sz="0" w:space="0" w:color="auto"/>
        <w:bottom w:val="none" w:sz="0" w:space="0" w:color="auto"/>
        <w:right w:val="none" w:sz="0" w:space="0" w:color="auto"/>
      </w:divBdr>
    </w:div>
    <w:div w:id="477579511">
      <w:bodyDiv w:val="1"/>
      <w:marLeft w:val="0"/>
      <w:marRight w:val="0"/>
      <w:marTop w:val="0"/>
      <w:marBottom w:val="0"/>
      <w:divBdr>
        <w:top w:val="none" w:sz="0" w:space="0" w:color="auto"/>
        <w:left w:val="none" w:sz="0" w:space="0" w:color="auto"/>
        <w:bottom w:val="none" w:sz="0" w:space="0" w:color="auto"/>
        <w:right w:val="none" w:sz="0" w:space="0" w:color="auto"/>
      </w:divBdr>
    </w:div>
    <w:div w:id="566184182">
      <w:bodyDiv w:val="1"/>
      <w:marLeft w:val="0"/>
      <w:marRight w:val="0"/>
      <w:marTop w:val="0"/>
      <w:marBottom w:val="0"/>
      <w:divBdr>
        <w:top w:val="none" w:sz="0" w:space="0" w:color="auto"/>
        <w:left w:val="none" w:sz="0" w:space="0" w:color="auto"/>
        <w:bottom w:val="none" w:sz="0" w:space="0" w:color="auto"/>
        <w:right w:val="none" w:sz="0" w:space="0" w:color="auto"/>
      </w:divBdr>
    </w:div>
    <w:div w:id="602493615">
      <w:bodyDiv w:val="1"/>
      <w:marLeft w:val="0"/>
      <w:marRight w:val="0"/>
      <w:marTop w:val="0"/>
      <w:marBottom w:val="0"/>
      <w:divBdr>
        <w:top w:val="none" w:sz="0" w:space="0" w:color="auto"/>
        <w:left w:val="none" w:sz="0" w:space="0" w:color="auto"/>
        <w:bottom w:val="none" w:sz="0" w:space="0" w:color="auto"/>
        <w:right w:val="none" w:sz="0" w:space="0" w:color="auto"/>
      </w:divBdr>
    </w:div>
    <w:div w:id="659895528">
      <w:bodyDiv w:val="1"/>
      <w:marLeft w:val="0"/>
      <w:marRight w:val="0"/>
      <w:marTop w:val="0"/>
      <w:marBottom w:val="0"/>
      <w:divBdr>
        <w:top w:val="none" w:sz="0" w:space="0" w:color="auto"/>
        <w:left w:val="none" w:sz="0" w:space="0" w:color="auto"/>
        <w:bottom w:val="none" w:sz="0" w:space="0" w:color="auto"/>
        <w:right w:val="none" w:sz="0" w:space="0" w:color="auto"/>
      </w:divBdr>
    </w:div>
    <w:div w:id="677318947">
      <w:bodyDiv w:val="1"/>
      <w:marLeft w:val="0"/>
      <w:marRight w:val="0"/>
      <w:marTop w:val="0"/>
      <w:marBottom w:val="0"/>
      <w:divBdr>
        <w:top w:val="none" w:sz="0" w:space="0" w:color="auto"/>
        <w:left w:val="none" w:sz="0" w:space="0" w:color="auto"/>
        <w:bottom w:val="none" w:sz="0" w:space="0" w:color="auto"/>
        <w:right w:val="none" w:sz="0" w:space="0" w:color="auto"/>
      </w:divBdr>
    </w:div>
    <w:div w:id="749083399">
      <w:bodyDiv w:val="1"/>
      <w:marLeft w:val="0"/>
      <w:marRight w:val="0"/>
      <w:marTop w:val="0"/>
      <w:marBottom w:val="0"/>
      <w:divBdr>
        <w:top w:val="none" w:sz="0" w:space="0" w:color="auto"/>
        <w:left w:val="none" w:sz="0" w:space="0" w:color="auto"/>
        <w:bottom w:val="none" w:sz="0" w:space="0" w:color="auto"/>
        <w:right w:val="none" w:sz="0" w:space="0" w:color="auto"/>
      </w:divBdr>
    </w:div>
    <w:div w:id="768812960">
      <w:bodyDiv w:val="1"/>
      <w:marLeft w:val="0"/>
      <w:marRight w:val="0"/>
      <w:marTop w:val="0"/>
      <w:marBottom w:val="0"/>
      <w:divBdr>
        <w:top w:val="none" w:sz="0" w:space="0" w:color="auto"/>
        <w:left w:val="none" w:sz="0" w:space="0" w:color="auto"/>
        <w:bottom w:val="none" w:sz="0" w:space="0" w:color="auto"/>
        <w:right w:val="none" w:sz="0" w:space="0" w:color="auto"/>
      </w:divBdr>
    </w:div>
    <w:div w:id="986664068">
      <w:bodyDiv w:val="1"/>
      <w:marLeft w:val="0"/>
      <w:marRight w:val="0"/>
      <w:marTop w:val="0"/>
      <w:marBottom w:val="0"/>
      <w:divBdr>
        <w:top w:val="none" w:sz="0" w:space="0" w:color="auto"/>
        <w:left w:val="none" w:sz="0" w:space="0" w:color="auto"/>
        <w:bottom w:val="none" w:sz="0" w:space="0" w:color="auto"/>
        <w:right w:val="none" w:sz="0" w:space="0" w:color="auto"/>
      </w:divBdr>
    </w:div>
    <w:div w:id="1150514828">
      <w:bodyDiv w:val="1"/>
      <w:marLeft w:val="0"/>
      <w:marRight w:val="0"/>
      <w:marTop w:val="0"/>
      <w:marBottom w:val="0"/>
      <w:divBdr>
        <w:top w:val="none" w:sz="0" w:space="0" w:color="auto"/>
        <w:left w:val="none" w:sz="0" w:space="0" w:color="auto"/>
        <w:bottom w:val="none" w:sz="0" w:space="0" w:color="auto"/>
        <w:right w:val="none" w:sz="0" w:space="0" w:color="auto"/>
      </w:divBdr>
    </w:div>
    <w:div w:id="1516573354">
      <w:bodyDiv w:val="1"/>
      <w:marLeft w:val="0"/>
      <w:marRight w:val="0"/>
      <w:marTop w:val="0"/>
      <w:marBottom w:val="0"/>
      <w:divBdr>
        <w:top w:val="none" w:sz="0" w:space="0" w:color="auto"/>
        <w:left w:val="none" w:sz="0" w:space="0" w:color="auto"/>
        <w:bottom w:val="none" w:sz="0" w:space="0" w:color="auto"/>
        <w:right w:val="none" w:sz="0" w:space="0" w:color="auto"/>
      </w:divBdr>
    </w:div>
    <w:div w:id="1533567323">
      <w:bodyDiv w:val="1"/>
      <w:marLeft w:val="0"/>
      <w:marRight w:val="0"/>
      <w:marTop w:val="0"/>
      <w:marBottom w:val="0"/>
      <w:divBdr>
        <w:top w:val="none" w:sz="0" w:space="0" w:color="auto"/>
        <w:left w:val="none" w:sz="0" w:space="0" w:color="auto"/>
        <w:bottom w:val="none" w:sz="0" w:space="0" w:color="auto"/>
        <w:right w:val="none" w:sz="0" w:space="0" w:color="auto"/>
      </w:divBdr>
    </w:div>
    <w:div w:id="1656035510">
      <w:bodyDiv w:val="1"/>
      <w:marLeft w:val="0"/>
      <w:marRight w:val="0"/>
      <w:marTop w:val="0"/>
      <w:marBottom w:val="0"/>
      <w:divBdr>
        <w:top w:val="none" w:sz="0" w:space="0" w:color="auto"/>
        <w:left w:val="none" w:sz="0" w:space="0" w:color="auto"/>
        <w:bottom w:val="none" w:sz="0" w:space="0" w:color="auto"/>
        <w:right w:val="none" w:sz="0" w:space="0" w:color="auto"/>
      </w:divBdr>
    </w:div>
    <w:div w:id="1736589011">
      <w:bodyDiv w:val="1"/>
      <w:marLeft w:val="0"/>
      <w:marRight w:val="0"/>
      <w:marTop w:val="0"/>
      <w:marBottom w:val="0"/>
      <w:divBdr>
        <w:top w:val="none" w:sz="0" w:space="0" w:color="auto"/>
        <w:left w:val="none" w:sz="0" w:space="0" w:color="auto"/>
        <w:bottom w:val="none" w:sz="0" w:space="0" w:color="auto"/>
        <w:right w:val="none" w:sz="0" w:space="0" w:color="auto"/>
      </w:divBdr>
    </w:div>
    <w:div w:id="1823111873">
      <w:bodyDiv w:val="1"/>
      <w:marLeft w:val="0"/>
      <w:marRight w:val="0"/>
      <w:marTop w:val="0"/>
      <w:marBottom w:val="0"/>
      <w:divBdr>
        <w:top w:val="none" w:sz="0" w:space="0" w:color="auto"/>
        <w:left w:val="none" w:sz="0" w:space="0" w:color="auto"/>
        <w:bottom w:val="none" w:sz="0" w:space="0" w:color="auto"/>
        <w:right w:val="none" w:sz="0" w:space="0" w:color="auto"/>
      </w:divBdr>
    </w:div>
    <w:div w:id="1872066284">
      <w:bodyDiv w:val="1"/>
      <w:marLeft w:val="0"/>
      <w:marRight w:val="0"/>
      <w:marTop w:val="0"/>
      <w:marBottom w:val="0"/>
      <w:divBdr>
        <w:top w:val="none" w:sz="0" w:space="0" w:color="auto"/>
        <w:left w:val="none" w:sz="0" w:space="0" w:color="auto"/>
        <w:bottom w:val="none" w:sz="0" w:space="0" w:color="auto"/>
        <w:right w:val="none" w:sz="0" w:space="0" w:color="auto"/>
      </w:divBdr>
    </w:div>
    <w:div w:id="1924297238">
      <w:bodyDiv w:val="1"/>
      <w:marLeft w:val="0"/>
      <w:marRight w:val="0"/>
      <w:marTop w:val="0"/>
      <w:marBottom w:val="0"/>
      <w:divBdr>
        <w:top w:val="none" w:sz="0" w:space="0" w:color="auto"/>
        <w:left w:val="none" w:sz="0" w:space="0" w:color="auto"/>
        <w:bottom w:val="none" w:sz="0" w:space="0" w:color="auto"/>
        <w:right w:val="none" w:sz="0" w:space="0" w:color="auto"/>
      </w:divBdr>
    </w:div>
    <w:div w:id="1929851058">
      <w:bodyDiv w:val="1"/>
      <w:marLeft w:val="0"/>
      <w:marRight w:val="0"/>
      <w:marTop w:val="0"/>
      <w:marBottom w:val="0"/>
      <w:divBdr>
        <w:top w:val="none" w:sz="0" w:space="0" w:color="auto"/>
        <w:left w:val="none" w:sz="0" w:space="0" w:color="auto"/>
        <w:bottom w:val="none" w:sz="0" w:space="0" w:color="auto"/>
        <w:right w:val="none" w:sz="0" w:space="0" w:color="auto"/>
      </w:divBdr>
    </w:div>
    <w:div w:id="1972444136">
      <w:bodyDiv w:val="1"/>
      <w:marLeft w:val="0"/>
      <w:marRight w:val="0"/>
      <w:marTop w:val="0"/>
      <w:marBottom w:val="0"/>
      <w:divBdr>
        <w:top w:val="none" w:sz="0" w:space="0" w:color="auto"/>
        <w:left w:val="none" w:sz="0" w:space="0" w:color="auto"/>
        <w:bottom w:val="none" w:sz="0" w:space="0" w:color="auto"/>
        <w:right w:val="none" w:sz="0" w:space="0" w:color="auto"/>
      </w:divBdr>
    </w:div>
    <w:div w:id="2077431389">
      <w:bodyDiv w:val="1"/>
      <w:marLeft w:val="0"/>
      <w:marRight w:val="0"/>
      <w:marTop w:val="0"/>
      <w:marBottom w:val="0"/>
      <w:divBdr>
        <w:top w:val="none" w:sz="0" w:space="0" w:color="auto"/>
        <w:left w:val="none" w:sz="0" w:space="0" w:color="auto"/>
        <w:bottom w:val="none" w:sz="0" w:space="0" w:color="auto"/>
        <w:right w:val="none" w:sz="0" w:space="0" w:color="auto"/>
      </w:divBdr>
    </w:div>
    <w:div w:id="2077778315">
      <w:bodyDiv w:val="1"/>
      <w:marLeft w:val="0"/>
      <w:marRight w:val="0"/>
      <w:marTop w:val="0"/>
      <w:marBottom w:val="0"/>
      <w:divBdr>
        <w:top w:val="none" w:sz="0" w:space="0" w:color="auto"/>
        <w:left w:val="none" w:sz="0" w:space="0" w:color="auto"/>
        <w:bottom w:val="none" w:sz="0" w:space="0" w:color="auto"/>
        <w:right w:val="none" w:sz="0" w:space="0" w:color="auto"/>
      </w:divBdr>
    </w:div>
    <w:div w:id="21082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0F53-FFA6-4D5E-8432-2A413596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16</Pages>
  <Words>7103</Words>
  <Characters>40488</Characters>
  <Application>Microsoft Office Word</Application>
  <DocSecurity>0</DocSecurity>
  <Lines>337</Lines>
  <Paragraphs>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Angelos Theopilou b</dc:creator>
  <cp:lastModifiedBy>Vassiliki Vassiliou</cp:lastModifiedBy>
  <cp:revision>151</cp:revision>
  <cp:lastPrinted>2021-11-03T09:17:00Z</cp:lastPrinted>
  <dcterms:created xsi:type="dcterms:W3CDTF">2019-09-24T08:59:00Z</dcterms:created>
  <dcterms:modified xsi:type="dcterms:W3CDTF">2021-12-07T11:16:00Z</dcterms:modified>
</cp:coreProperties>
</file>