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29AC" w14:textId="0D6FE499" w:rsidR="00E51519" w:rsidRPr="00B92886" w:rsidRDefault="00E51519" w:rsidP="005C1CC0">
      <w:pPr>
        <w:pStyle w:val="Heading2"/>
      </w:pPr>
      <w:r w:rsidRPr="00B92886">
        <w:t>Υ</w:t>
      </w:r>
      <w:r>
        <w:t>Ε</w:t>
      </w:r>
      <w:r w:rsidRPr="00B92886">
        <w:t>ΕΒ: 10.1.37.7</w:t>
      </w:r>
    </w:p>
    <w:p w14:paraId="7D14A16B" w14:textId="77777777" w:rsidR="00E51519" w:rsidRPr="00B92886" w:rsidRDefault="00E51519" w:rsidP="005C1CC0">
      <w:pPr>
        <w:ind w:right="237" w:firstLine="720"/>
        <w:rPr>
          <w:lang w:val="el-GR"/>
        </w:rPr>
      </w:pPr>
    </w:p>
    <w:p w14:paraId="7FC2D171" w14:textId="77777777" w:rsidR="00B75E7E" w:rsidRPr="00F41CF4" w:rsidRDefault="00B75E7E" w:rsidP="00B75E7E">
      <w:pPr>
        <w:jc w:val="center"/>
        <w:rPr>
          <w:b/>
          <w:bCs/>
          <w:u w:val="single"/>
          <w:lang w:val="el-GR"/>
        </w:rPr>
      </w:pPr>
      <w:r>
        <w:rPr>
          <w:b/>
          <w:bCs/>
          <w:u w:val="single"/>
          <w:lang w:val="el-GR"/>
        </w:rPr>
        <w:t>ΕΙΣΗΓΗΤΙΚΗ ΕΚΘΕΣΗ</w:t>
      </w:r>
    </w:p>
    <w:p w14:paraId="52719F1D" w14:textId="77777777" w:rsidR="00E51519" w:rsidRDefault="00E51519">
      <w:pPr>
        <w:ind w:right="237"/>
        <w:jc w:val="center"/>
        <w:rPr>
          <w:b/>
          <w:bCs/>
          <w:u w:val="single"/>
          <w:lang w:val="el-GR"/>
        </w:rPr>
      </w:pPr>
    </w:p>
    <w:p w14:paraId="6BF20A21" w14:textId="77777777" w:rsidR="00E51519" w:rsidRDefault="00E51519">
      <w:pPr>
        <w:pStyle w:val="BodyText2"/>
        <w:spacing w:line="240" w:lineRule="auto"/>
        <w:ind w:right="237"/>
        <w:rPr>
          <w:u w:val="single"/>
        </w:rPr>
      </w:pPr>
      <w:r w:rsidRPr="00B92886">
        <w:rPr>
          <w:u w:val="single"/>
        </w:rPr>
        <w:t>Θέμα: Προϋπολογισμός Ταμείου Ανανεώσιμων Πηγών Ενέργειας και Εξοικονόμησης Ενέργειας για τ</w:t>
      </w:r>
      <w:r>
        <w:rPr>
          <w:u w:val="single"/>
        </w:rPr>
        <w:t>ο</w:t>
      </w:r>
      <w:r w:rsidRPr="00B92886">
        <w:rPr>
          <w:u w:val="single"/>
        </w:rPr>
        <w:t xml:space="preserve"> έτ</w:t>
      </w:r>
      <w:r>
        <w:rPr>
          <w:u w:val="single"/>
        </w:rPr>
        <w:t>ος</w:t>
      </w:r>
      <w:r w:rsidRPr="00B92886">
        <w:rPr>
          <w:u w:val="single"/>
        </w:rPr>
        <w:t xml:space="preserve"> 20</w:t>
      </w:r>
      <w:r>
        <w:rPr>
          <w:u w:val="single"/>
        </w:rPr>
        <w:t>22</w:t>
      </w:r>
      <w:r w:rsidRPr="00B92886">
        <w:rPr>
          <w:u w:val="single"/>
        </w:rPr>
        <w:t xml:space="preserve"> </w:t>
      </w:r>
      <w:r>
        <w:rPr>
          <w:u w:val="single"/>
        </w:rPr>
        <w:t>και Μεσοπρόθεσμο Δημοσιονομικό Πλαίσιο 2022-2024</w:t>
      </w:r>
    </w:p>
    <w:p w14:paraId="3F7B71B9" w14:textId="77777777" w:rsidR="00E51519" w:rsidRPr="00B92886" w:rsidRDefault="00E51519">
      <w:pPr>
        <w:pStyle w:val="BodyText2"/>
        <w:spacing w:line="240" w:lineRule="auto"/>
        <w:ind w:right="237"/>
        <w:rPr>
          <w:u w:val="single"/>
        </w:rPr>
      </w:pPr>
    </w:p>
    <w:p w14:paraId="494FAE83" w14:textId="77777777" w:rsidR="00E51519" w:rsidRPr="006E1FA8" w:rsidRDefault="00E51519">
      <w:pPr>
        <w:jc w:val="both"/>
        <w:rPr>
          <w:iCs/>
          <w:lang w:val="el-GR"/>
        </w:rPr>
      </w:pPr>
      <w:r>
        <w:rPr>
          <w:iCs/>
          <w:lang w:val="el-GR"/>
        </w:rPr>
        <w:t xml:space="preserve">Το </w:t>
      </w:r>
      <w:r w:rsidRPr="005301BA">
        <w:rPr>
          <w:iCs/>
          <w:lang w:val="el-GR"/>
        </w:rPr>
        <w:t xml:space="preserve">Ταμείο </w:t>
      </w:r>
      <w:r w:rsidRPr="00851CB3">
        <w:rPr>
          <w:iCs/>
          <w:lang w:val="el-GR"/>
        </w:rPr>
        <w:t>Ανανεώσιμων Πηγών Ενέργειας και Εξοικονόμησης Ενέργειας (</w:t>
      </w:r>
      <w:r>
        <w:rPr>
          <w:iCs/>
          <w:lang w:val="el-GR"/>
        </w:rPr>
        <w:t xml:space="preserve">στο εξής </w:t>
      </w:r>
      <w:r w:rsidRPr="00851CB3">
        <w:rPr>
          <w:iCs/>
          <w:lang w:val="el-GR"/>
        </w:rPr>
        <w:t>«</w:t>
      </w:r>
      <w:r>
        <w:rPr>
          <w:iCs/>
          <w:lang w:val="el-GR"/>
        </w:rPr>
        <w:t xml:space="preserve">το </w:t>
      </w:r>
      <w:r w:rsidRPr="00851CB3">
        <w:rPr>
          <w:iCs/>
          <w:lang w:val="el-GR"/>
        </w:rPr>
        <w:t xml:space="preserve">Ταμείο») </w:t>
      </w:r>
      <w:r w:rsidRPr="005301BA">
        <w:rPr>
          <w:iCs/>
          <w:lang w:val="el-GR"/>
        </w:rPr>
        <w:t>εγκαθιδρύθηκε με βάση το άρθρο 9 των περί Προώθησης και Ενθάρρυνσης της Χρήσης των Ανανεώσιμων Πηγών Ενέργειας Νόμων του 2013 μέχρι 201</w:t>
      </w:r>
      <w:r>
        <w:rPr>
          <w:iCs/>
          <w:lang w:val="el-GR"/>
        </w:rPr>
        <w:t>8</w:t>
      </w:r>
      <w:r w:rsidRPr="005301BA">
        <w:rPr>
          <w:iCs/>
          <w:lang w:val="el-GR"/>
        </w:rPr>
        <w:t xml:space="preserve"> </w:t>
      </w:r>
      <w:r>
        <w:rPr>
          <w:iCs/>
          <w:lang w:val="el-GR"/>
        </w:rPr>
        <w:t xml:space="preserve">(στο εξής «ο Νόμος») και </w:t>
      </w:r>
      <w:r w:rsidRPr="00851CB3">
        <w:rPr>
          <w:iCs/>
          <w:lang w:val="el-GR"/>
        </w:rPr>
        <w:t>αποτελεί το κύριο χρηματοδοτικό εργαλείο της Κυπριακής Δημοκρατίας για την προώθηση των Ανανεώσιμων Πηγών Ενέργειας (ΑΠΕ) και της Εξοικονόμησης Ενέργειας (ΕΞ</w:t>
      </w:r>
      <w:r>
        <w:rPr>
          <w:iCs/>
          <w:lang w:val="el-GR"/>
        </w:rPr>
        <w:t>.</w:t>
      </w:r>
      <w:r w:rsidRPr="00851CB3">
        <w:rPr>
          <w:iCs/>
          <w:lang w:val="el-GR"/>
        </w:rPr>
        <w:t>Ε) με σκοπό την επίτευξη των δεσμευτικών της στόχων, όπως καθορίζονται στις σχετικές Ευρωπαϊκές Οδηγίες</w:t>
      </w:r>
      <w:r>
        <w:rPr>
          <w:iCs/>
          <w:lang w:val="el-GR"/>
        </w:rPr>
        <w:t xml:space="preserve">. Με βάση το άρθρο 10 του Νόμου, </w:t>
      </w:r>
      <w:r w:rsidRPr="005301BA">
        <w:rPr>
          <w:iCs/>
          <w:lang w:val="el-GR"/>
        </w:rPr>
        <w:t>το Ταμείο αποτελεί χωριστή οντότητα με δικούς του πόρους και δικό του προϋπολογισμό και οι πόροι του Ταμείου για τη χρηματοδότηση των Σχεδίων Χορηγιών και κάλυψη των λειτουργικών του εξόδων προέρχονται κυρίως απ</w:t>
      </w:r>
      <w:r>
        <w:rPr>
          <w:iCs/>
          <w:lang w:val="el-GR"/>
        </w:rPr>
        <w:t>ό</w:t>
      </w:r>
      <w:r w:rsidRPr="005301BA">
        <w:rPr>
          <w:iCs/>
          <w:lang w:val="el-GR"/>
        </w:rPr>
        <w:t xml:space="preserve"> την επιβολή και είσπραξη του τέλους κατανάλωσης επί της καταναλισκόμενης ηλεκτρικής ενέργειας όπως περιγράφεται στο εδάφιο (1) του άρθρου 13 τ</w:t>
      </w:r>
      <w:r>
        <w:rPr>
          <w:iCs/>
          <w:lang w:val="el-GR"/>
        </w:rPr>
        <w:t>ου</w:t>
      </w:r>
      <w:r w:rsidRPr="005301BA">
        <w:rPr>
          <w:iCs/>
          <w:lang w:val="el-GR"/>
        </w:rPr>
        <w:t xml:space="preserve"> Νόμ</w:t>
      </w:r>
      <w:r>
        <w:rPr>
          <w:iCs/>
          <w:lang w:val="el-GR"/>
        </w:rPr>
        <w:t>ου</w:t>
      </w:r>
      <w:r w:rsidRPr="005301BA">
        <w:rPr>
          <w:iCs/>
          <w:lang w:val="el-GR"/>
        </w:rPr>
        <w:t xml:space="preserve"> και τις εκάστοτε εγκρινόμενες κυβερνητικές χορηγίες ή εισφορές προς το Ταμείο</w:t>
      </w:r>
      <w:r>
        <w:rPr>
          <w:rFonts w:ascii="Verdana" w:hAnsi="Verdana" w:cs="Times New Roman"/>
          <w:color w:val="000000"/>
          <w:sz w:val="23"/>
          <w:szCs w:val="23"/>
          <w:lang w:val="el-GR"/>
        </w:rPr>
        <w:t>.</w:t>
      </w:r>
    </w:p>
    <w:p w14:paraId="10E6B554" w14:textId="77777777" w:rsidR="00E51519" w:rsidRDefault="00E51519">
      <w:pPr>
        <w:jc w:val="both"/>
        <w:rPr>
          <w:iCs/>
          <w:lang w:val="el-GR"/>
        </w:rPr>
      </w:pPr>
    </w:p>
    <w:p w14:paraId="7DC713E8" w14:textId="48E42C50" w:rsidR="00E51519" w:rsidRPr="00112731" w:rsidRDefault="00E51519" w:rsidP="005C1CC0">
      <w:pPr>
        <w:jc w:val="both"/>
        <w:rPr>
          <w:sz w:val="22"/>
          <w:szCs w:val="22"/>
          <w:lang w:val="el-GR"/>
        </w:rPr>
      </w:pPr>
      <w:r w:rsidRPr="00AF45EC">
        <w:rPr>
          <w:iCs/>
          <w:lang w:val="el-GR"/>
        </w:rPr>
        <w:t>2</w:t>
      </w:r>
      <w:r w:rsidRPr="00112731">
        <w:rPr>
          <w:iCs/>
          <w:lang w:val="el-GR"/>
        </w:rPr>
        <w:t>.</w:t>
      </w:r>
      <w:r w:rsidRPr="00112731">
        <w:rPr>
          <w:iCs/>
          <w:lang w:val="el-GR"/>
        </w:rPr>
        <w:tab/>
      </w:r>
      <w:r>
        <w:rPr>
          <w:iCs/>
          <w:lang w:val="el-GR"/>
        </w:rPr>
        <w:t xml:space="preserve">Τα </w:t>
      </w:r>
      <w:r w:rsidRPr="00112731">
        <w:rPr>
          <w:iCs/>
          <w:lang w:val="el-GR"/>
        </w:rPr>
        <w:t>βασικ</w:t>
      </w:r>
      <w:r>
        <w:rPr>
          <w:iCs/>
          <w:lang w:val="el-GR"/>
        </w:rPr>
        <w:t xml:space="preserve">ά </w:t>
      </w:r>
      <w:r w:rsidRPr="00112731">
        <w:rPr>
          <w:iCs/>
          <w:lang w:val="el-GR"/>
        </w:rPr>
        <w:t>Σχ</w:t>
      </w:r>
      <w:r>
        <w:rPr>
          <w:iCs/>
          <w:lang w:val="el-GR"/>
        </w:rPr>
        <w:t xml:space="preserve">έδια </w:t>
      </w:r>
      <w:r w:rsidRPr="00112731">
        <w:rPr>
          <w:iCs/>
          <w:lang w:val="el-GR"/>
        </w:rPr>
        <w:t xml:space="preserve">Χορηγιών του Ταμείου ΑΠΕ και ΕΞ.Ε </w:t>
      </w:r>
      <w:r w:rsidR="00F368F9" w:rsidRPr="00F368F9">
        <w:rPr>
          <w:iCs/>
          <w:lang w:val="el-GR"/>
        </w:rPr>
        <w:t>έχουν ενταχθεί στο Σχέδιο Ανάκαμψης και Ανθεκτικότητας (ΣΑΑ) Κύπρου</w:t>
      </w:r>
      <w:r w:rsidRPr="00112731">
        <w:rPr>
          <w:iCs/>
          <w:lang w:val="el-GR"/>
        </w:rPr>
        <w:t xml:space="preserve">. Λόγω αυτής της εξέλιξης για τα έτη 2022-2024 στα έσοδα του Ταμείου περιλαμβάνεται Κρατική Χορηγία, </w:t>
      </w:r>
      <w:r w:rsidR="008D22E7" w:rsidRPr="008D22E7">
        <w:rPr>
          <w:iCs/>
          <w:lang w:val="el-GR"/>
        </w:rPr>
        <w:t xml:space="preserve">             </w:t>
      </w:r>
      <w:r w:rsidRPr="00112731">
        <w:rPr>
          <w:iCs/>
          <w:lang w:val="el-GR"/>
        </w:rPr>
        <w:t xml:space="preserve">η οποία αντιστοιχεί στη χρηματοδότηση των Σχεδίων του Ταμείου από το </w:t>
      </w:r>
      <w:r w:rsidR="00F368F9">
        <w:rPr>
          <w:iCs/>
          <w:lang w:val="el-GR"/>
        </w:rPr>
        <w:t>Σ</w:t>
      </w:r>
      <w:r w:rsidR="00F368F9" w:rsidRPr="00112731">
        <w:rPr>
          <w:iCs/>
          <w:lang w:val="el-GR"/>
        </w:rPr>
        <w:t xml:space="preserve">ΑΑ </w:t>
      </w:r>
      <w:r w:rsidRPr="00112731">
        <w:rPr>
          <w:iCs/>
          <w:lang w:val="el-GR"/>
        </w:rPr>
        <w:t>(2022: €5,1</w:t>
      </w:r>
      <w:r w:rsidR="00F368F9">
        <w:rPr>
          <w:iCs/>
          <w:lang w:val="el-GR"/>
        </w:rPr>
        <w:t xml:space="preserve"> </w:t>
      </w:r>
      <w:r w:rsidRPr="00112731">
        <w:rPr>
          <w:iCs/>
          <w:lang w:val="el-GR"/>
        </w:rPr>
        <w:t>εκατ. / 2023: €5,6 εκατ. / 2024: €6,1 εκατ.). Επιπρόσθετα, σ</w:t>
      </w:r>
      <w:r w:rsidR="008A659F">
        <w:rPr>
          <w:iCs/>
          <w:lang w:val="el-GR"/>
        </w:rPr>
        <w:t xml:space="preserve">τα έσοδα του </w:t>
      </w:r>
      <w:r w:rsidR="008D22E7" w:rsidRPr="00112731">
        <w:rPr>
          <w:iCs/>
          <w:lang w:val="el-GR"/>
        </w:rPr>
        <w:t>Ταμείου</w:t>
      </w:r>
      <w:r w:rsidR="008D22E7">
        <w:rPr>
          <w:iCs/>
          <w:lang w:val="el-GR"/>
        </w:rPr>
        <w:t xml:space="preserve"> για το </w:t>
      </w:r>
      <w:r w:rsidR="008A659F">
        <w:rPr>
          <w:iCs/>
          <w:lang w:val="el-GR"/>
        </w:rPr>
        <w:t>2021</w:t>
      </w:r>
      <w:r w:rsidRPr="00112731">
        <w:rPr>
          <w:iCs/>
          <w:lang w:val="el-GR"/>
        </w:rPr>
        <w:t xml:space="preserve">, περιλαμβάνεται </w:t>
      </w:r>
      <w:r w:rsidR="008A659F" w:rsidRPr="00112731">
        <w:rPr>
          <w:iCs/>
          <w:lang w:val="el-GR"/>
        </w:rPr>
        <w:t xml:space="preserve">Κρατική Χορηγία, </w:t>
      </w:r>
      <w:r w:rsidR="008A659F">
        <w:rPr>
          <w:iCs/>
          <w:lang w:val="el-GR"/>
        </w:rPr>
        <w:t>ύψους</w:t>
      </w:r>
      <w:r w:rsidRPr="00112731">
        <w:rPr>
          <w:iCs/>
          <w:lang w:val="el-GR"/>
        </w:rPr>
        <w:t xml:space="preserve"> €1,96 εκατ.</w:t>
      </w:r>
      <w:r w:rsidR="008A659F">
        <w:rPr>
          <w:iCs/>
          <w:lang w:val="el-GR"/>
        </w:rPr>
        <w:t xml:space="preserve"> </w:t>
      </w:r>
      <w:r w:rsidRPr="00112731">
        <w:rPr>
          <w:iCs/>
          <w:lang w:val="el-GR"/>
        </w:rPr>
        <w:t xml:space="preserve"> </w:t>
      </w:r>
      <w:r w:rsidR="008D22E7">
        <w:rPr>
          <w:iCs/>
          <w:lang w:val="el-GR"/>
        </w:rPr>
        <w:t xml:space="preserve">             η</w:t>
      </w:r>
      <w:r w:rsidRPr="00112731">
        <w:rPr>
          <w:iCs/>
          <w:lang w:val="el-GR"/>
        </w:rPr>
        <w:t xml:space="preserve"> οποί</w:t>
      </w:r>
      <w:r w:rsidR="008D22E7">
        <w:rPr>
          <w:iCs/>
          <w:lang w:val="el-GR"/>
        </w:rPr>
        <w:t>α</w:t>
      </w:r>
      <w:r w:rsidRPr="00112731">
        <w:rPr>
          <w:iCs/>
          <w:lang w:val="el-GR"/>
        </w:rPr>
        <w:t xml:space="preserve"> αντιστοιχεί σε πληρωμές για Σχέδια Χορηγιών που θα γίνουν εντός του 2021 και καλύπτονται από το </w:t>
      </w:r>
      <w:r w:rsidR="00F368F9">
        <w:rPr>
          <w:iCs/>
          <w:lang w:val="el-GR"/>
        </w:rPr>
        <w:t>Σ</w:t>
      </w:r>
      <w:r w:rsidR="00F368F9" w:rsidRPr="00112731">
        <w:rPr>
          <w:iCs/>
          <w:lang w:val="el-GR"/>
        </w:rPr>
        <w:t>ΑΑ</w:t>
      </w:r>
      <w:r w:rsidRPr="00112731">
        <w:rPr>
          <w:iCs/>
          <w:lang w:val="el-GR"/>
        </w:rPr>
        <w:t>.</w:t>
      </w:r>
    </w:p>
    <w:p w14:paraId="5953948E" w14:textId="77777777" w:rsidR="00E51519" w:rsidRPr="00D86BCA" w:rsidRDefault="00E51519" w:rsidP="005C1CC0">
      <w:pPr>
        <w:jc w:val="both"/>
        <w:rPr>
          <w:iCs/>
          <w:lang w:val="el-GR"/>
        </w:rPr>
      </w:pPr>
    </w:p>
    <w:p w14:paraId="6594C37F" w14:textId="77777777" w:rsidR="007E3185" w:rsidRPr="007E3185" w:rsidRDefault="007E3185" w:rsidP="007E3185">
      <w:pPr>
        <w:jc w:val="both"/>
        <w:rPr>
          <w:iCs/>
          <w:lang w:val="el-GR"/>
        </w:rPr>
      </w:pPr>
      <w:r w:rsidRPr="007E3185">
        <w:rPr>
          <w:iCs/>
          <w:noProof/>
          <w:lang w:val="el-GR"/>
        </w:rPr>
        <mc:AlternateContent>
          <mc:Choice Requires="wps">
            <w:drawing>
              <wp:anchor distT="0" distB="0" distL="114300" distR="114300" simplePos="0" relativeHeight="251663360" behindDoc="0" locked="0" layoutInCell="1" allowOverlap="1" wp14:anchorId="171CC797" wp14:editId="4621A746">
                <wp:simplePos x="0" y="0"/>
                <wp:positionH relativeFrom="column">
                  <wp:posOffset>-575945</wp:posOffset>
                </wp:positionH>
                <wp:positionV relativeFrom="paragraph">
                  <wp:posOffset>791845</wp:posOffset>
                </wp:positionV>
                <wp:extent cx="330200" cy="4233"/>
                <wp:effectExtent l="0" t="0" r="31750" b="34290"/>
                <wp:wrapNone/>
                <wp:docPr id="4" name="Straight Connector 4"/>
                <wp:cNvGraphicFramePr/>
                <a:graphic xmlns:a="http://schemas.openxmlformats.org/drawingml/2006/main">
                  <a:graphicData uri="http://schemas.microsoft.com/office/word/2010/wordprocessingShape">
                    <wps:wsp>
                      <wps:cNvCnPr/>
                      <wps:spPr>
                        <a:xfrm>
                          <a:off x="0" y="0"/>
                          <a:ext cx="330200" cy="42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8E72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35pt,62.35pt" to="-19.3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Ln0AEAAAUEAAAOAAAAZHJzL2Uyb0RvYy54bWysU02P2yAQvVfqf0DcGzsfqiorzh6y2r1U&#10;bdRtfwCLIUYCBg00dv59B5w4q26lqtVesIF5b+a9GbZ3o7PspDAa8C1fLmrOlJfQGX9s+Y/vDx8+&#10;cRaT8J2w4FXLzyryu937d9shNGoFPdhOISMSH5shtLxPKTRVFWWvnIgLCMrTpQZ0ItEWj1WHYiB2&#10;Z6tVXX+sBsAuIEgVI53eT5d8V/i1VjJ91TqqxGzLqbZUVizrc16r3VY0RxShN/JShviPKpwwnpLO&#10;VPciCfYTzSsqZyRCBJ0WElwFWhupigZSs6x/U/PUi6CKFjInhtmm+Ha08svpgMx0Ld9w5oWjFj0l&#10;FObYJ7YH78lAQLbJPg0hNhS+9we87GI4YBY9anT5S3LYWLw9z96qMTFJh+t1Tf3iTNLVZrVeZ8bq&#10;Bg0Y06MCx/JPy63xWbhoxOlzTFPoNSQfW5/XCNZ0D8basskjo/YW2UlQs9O4vKR4EUUJM7LKUqbi&#10;y186WzWxflOazKBylyV7GcMbp5BS+XTltZ6iM0xTBTOw/jvwEp+hqozov4BnRMkMPs1gZzzgn7Lf&#10;rNBT/NWBSXe24Bm6c2lrsYZmrTTn8i7yML/cF/jt9e5+AQAA//8DAFBLAwQUAAYACAAAACEA+gx7&#10;yuEAAAALAQAADwAAAGRycy9kb3ducmV2LnhtbEyPzWrDMBCE74W+g9hCL8WRm78mjuVQDLn0UGhc&#10;Qo+KtbFNrZWxlNh5+25OzW12Z5j9Nt2OthUX7H3jSMHrJAaBVDrTUKXgu9hFKxA+aDK6dYQKruhh&#10;mz0+pDoxbqAvvOxDJbiEfKIV1CF0iZS+rNFqP3EdEnsn11sdeOwraXo9cLlt5TSOl9LqhvhCrTvM&#10;ayx/92er4Kd6me0OBRVDHj5Py3q8Hj4WuVLPT+P7BkTAMfyH4YbP6JAx09GdyXjRKojW8RtH2ZjO&#10;WXAimq1YHG+bxRxklsr7H7I/AAAA//8DAFBLAQItABQABgAIAAAAIQC2gziS/gAAAOEBAAATAAAA&#10;AAAAAAAAAAAAAAAAAABbQ29udGVudF9UeXBlc10ueG1sUEsBAi0AFAAGAAgAAAAhADj9If/WAAAA&#10;lAEAAAsAAAAAAAAAAAAAAAAALwEAAF9yZWxzLy5yZWxzUEsBAi0AFAAGAAgAAAAhAOFMkufQAQAA&#10;BQQAAA4AAAAAAAAAAAAAAAAALgIAAGRycy9lMm9Eb2MueG1sUEsBAi0AFAAGAAgAAAAhAPoMe8rh&#10;AAAACwEAAA8AAAAAAAAAAAAAAAAAKgQAAGRycy9kb3ducmV2LnhtbFBLBQYAAAAABAAEAPMAAAA4&#10;BQAAAAA=&#10;" strokecolor="black [3213]" strokeweight=".5pt">
                <v:stroke joinstyle="miter"/>
              </v:line>
            </w:pict>
          </mc:Fallback>
        </mc:AlternateContent>
      </w:r>
      <w:r w:rsidRPr="007E3185">
        <w:rPr>
          <w:iCs/>
          <w:noProof/>
          <w:lang w:val="el-GR"/>
        </w:rPr>
        <mc:AlternateContent>
          <mc:Choice Requires="wps">
            <w:drawing>
              <wp:anchor distT="0" distB="0" distL="114300" distR="114300" simplePos="0" relativeHeight="251664384" behindDoc="0" locked="0" layoutInCell="1" allowOverlap="1" wp14:anchorId="141B03D8" wp14:editId="6B6F4005">
                <wp:simplePos x="0" y="0"/>
                <wp:positionH relativeFrom="column">
                  <wp:posOffset>-575945</wp:posOffset>
                </wp:positionH>
                <wp:positionV relativeFrom="paragraph">
                  <wp:posOffset>267335</wp:posOffset>
                </wp:positionV>
                <wp:extent cx="330200" cy="4233"/>
                <wp:effectExtent l="0" t="0" r="31750" b="34290"/>
                <wp:wrapNone/>
                <wp:docPr id="5" name="Straight Connector 5"/>
                <wp:cNvGraphicFramePr/>
                <a:graphic xmlns:a="http://schemas.openxmlformats.org/drawingml/2006/main">
                  <a:graphicData uri="http://schemas.microsoft.com/office/word/2010/wordprocessingShape">
                    <wps:wsp>
                      <wps:cNvCnPr/>
                      <wps:spPr>
                        <a:xfrm>
                          <a:off x="0" y="0"/>
                          <a:ext cx="330200" cy="42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764FA"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35pt,21.05pt" to="-19.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Fa0AEAAAUEAAAOAAAAZHJzL2Uyb0RvYy54bWysU8GO0zAQvSPxD5bvNGnLIhQ13UNXywVB&#10;xcIHeB27sWR7rLFp0r9n7KTpCpAQiIsT2/PezHsz3t2PzrKzwmjAt3y9qjlTXkJn/Knl374+vnnP&#10;WUzCd8KCVy2/qMjv969f7YbQqA30YDuFjEh8bIbQ8j6l0FRVlL1yIq4gKE+XGtCJRFs8VR2Kgdid&#10;rTZ1/a4aALuAIFWMdPowXfJ94ddayfRZ66gSsy2n2lJZsazPea32O9GcUITeyLkM8Q9VOGE8JV2o&#10;HkQS7DuaX6ickQgRdFpJcBVobaQqGkjNuv5JzVMvgipayJwYFpvi/6OVn85HZKZr+R1nXjhq0VNC&#10;YU59YgfwngwEZHfZpyHEhsIP/ojzLoYjZtGjRpe/JIeNxdvL4q0aE5N0uN3W1C/OJF293Wy3mbG6&#10;QQPG9EGBY/mn5db4LFw04vwxpin0GpKPrc9rBGu6R2Nt2eSRUQeL7Cyo2WlczyleRFHCjKyylKn4&#10;8pcuVk2sX5QmM6jcdclexvDGKaRUPl15rafoDNNUwQKs/wyc4zNUlRH9G/CCKJnBpwXsjAf8Xfab&#10;FXqKvzow6c4WPEN3KW0t1tCslebM7yIP88t9gd9e7/4HAAAA//8DAFBLAwQUAAYACAAAACEAx7P2&#10;VuAAAAAJAQAADwAAAGRycy9kb3ducmV2LnhtbEyPwU7DMAyG70i8Q2QkLqhLt8HWlaYTqrQLByRW&#10;NHHMWq+paJyqydbu7fFOcPTvT78/Z9vJduKCg28dKZjPYhBIlatbahR8lbsoAeGDplp3jlDBFT1s&#10;8/u7TKe1G+kTL/vQCC4hn2oFJoQ+ldJXBq32M9cj8e7kBqsDj0Mj60GPXG47uYjjlbS6Jb5gdI+F&#10;wepnf7YKvpun5e5QUjkW4eO0MtP18P5SKPX4ML29ggg4hT8YbvqsDjk7Hd2Zai86BdEmXjOq4Hkx&#10;B8FAtEw4ON6CBGSeyf8f5L8AAAD//wMAUEsBAi0AFAAGAAgAAAAhALaDOJL+AAAA4QEAABMAAAAA&#10;AAAAAAAAAAAAAAAAAFtDb250ZW50X1R5cGVzXS54bWxQSwECLQAUAAYACAAAACEAOP0h/9YAAACU&#10;AQAACwAAAAAAAAAAAAAAAAAvAQAAX3JlbHMvLnJlbHNQSwECLQAUAAYACAAAACEAx3URWtABAAAF&#10;BAAADgAAAAAAAAAAAAAAAAAuAgAAZHJzL2Uyb0RvYy54bWxQSwECLQAUAAYACAAAACEAx7P2VuAA&#10;AAAJAQAADwAAAAAAAAAAAAAAAAAqBAAAZHJzL2Rvd25yZXYueG1sUEsFBgAAAAAEAAQA8wAAADcF&#10;AAAAAA==&#10;" strokecolor="black [3213]" strokeweight=".5pt">
                <v:stroke joinstyle="miter"/>
              </v:line>
            </w:pict>
          </mc:Fallback>
        </mc:AlternateContent>
      </w:r>
      <w:r w:rsidRPr="007E3185">
        <w:rPr>
          <w:iCs/>
          <w:lang w:val="el-GR"/>
        </w:rPr>
        <w:t>3.  Στη βάση του πιο πάνω πλαισίου, ετοιμάστηκε το προσχέδιο προϋπολογισμού του Ταμείου για το 2022 (</w:t>
      </w:r>
      <w:r w:rsidRPr="007E3185">
        <w:rPr>
          <w:b/>
          <w:iCs/>
          <w:lang w:val="el-GR"/>
        </w:rPr>
        <w:t>Παράρτημα Α</w:t>
      </w:r>
      <w:r w:rsidRPr="007E3185">
        <w:rPr>
          <w:iCs/>
          <w:lang w:val="el-GR"/>
        </w:rPr>
        <w:t xml:space="preserve">) το οποίο εγκρίθηκε από την Επιτροπή Διαχείρισης του Ταμείου ΑΠΕ και ΕΞ.Ε κατά τη συνεδρία της </w:t>
      </w:r>
      <w:r w:rsidRPr="007E3185">
        <w:rPr>
          <w:iCs/>
          <w:lang w:val="el-GR"/>
        </w:rPr>
        <w:br/>
      </w:r>
      <w:proofErr w:type="spellStart"/>
      <w:r w:rsidRPr="007E3185">
        <w:rPr>
          <w:iCs/>
          <w:lang w:val="el-GR"/>
        </w:rPr>
        <w:t>ημερ</w:t>
      </w:r>
      <w:proofErr w:type="spellEnd"/>
      <w:r w:rsidRPr="007E3185">
        <w:rPr>
          <w:iCs/>
          <w:lang w:val="el-GR"/>
        </w:rPr>
        <w:t>. 16/08/2021 και έτυχε διαβούλευσης με το Υπουργείο Οικονομικών (</w:t>
      </w:r>
      <w:r w:rsidRPr="007E3185">
        <w:rPr>
          <w:b/>
          <w:iCs/>
          <w:lang w:val="el-GR"/>
        </w:rPr>
        <w:t>Παράρτημα Β</w:t>
      </w:r>
      <w:r w:rsidRPr="007E3185">
        <w:rPr>
          <w:iCs/>
          <w:lang w:val="el-GR"/>
        </w:rPr>
        <w:t xml:space="preserve">). </w:t>
      </w:r>
    </w:p>
    <w:p w14:paraId="4B7D0A90" w14:textId="77777777" w:rsidR="00E51519" w:rsidRPr="00D86BCA" w:rsidRDefault="00E51519">
      <w:pPr>
        <w:jc w:val="both"/>
        <w:rPr>
          <w:iCs/>
          <w:lang w:val="el-GR"/>
        </w:rPr>
      </w:pPr>
    </w:p>
    <w:p w14:paraId="170B00DE" w14:textId="03941D4A" w:rsidR="00E51519" w:rsidRDefault="00E51519">
      <w:pPr>
        <w:jc w:val="both"/>
        <w:rPr>
          <w:iCs/>
          <w:lang w:val="el-GR"/>
        </w:rPr>
      </w:pPr>
      <w:r>
        <w:rPr>
          <w:iCs/>
          <w:lang w:val="el-GR"/>
        </w:rPr>
        <w:t>4</w:t>
      </w:r>
      <w:r w:rsidRPr="00D86BCA">
        <w:rPr>
          <w:iCs/>
          <w:lang w:val="el-GR"/>
        </w:rPr>
        <w:t>.  Τα συνολικά έσοδα του προϋπολογισμού για το 20</w:t>
      </w:r>
      <w:r w:rsidRPr="00E83D23">
        <w:rPr>
          <w:iCs/>
          <w:lang w:val="el-GR"/>
        </w:rPr>
        <w:t>2</w:t>
      </w:r>
      <w:r>
        <w:rPr>
          <w:iCs/>
          <w:lang w:val="el-GR"/>
        </w:rPr>
        <w:t>2</w:t>
      </w:r>
      <w:r w:rsidRPr="00D86BCA">
        <w:rPr>
          <w:iCs/>
          <w:lang w:val="el-GR"/>
        </w:rPr>
        <w:t xml:space="preserve"> αναμένεται να ανέλθουν  σε </w:t>
      </w:r>
      <w:r w:rsidRPr="00112731">
        <w:rPr>
          <w:iCs/>
          <w:lang w:val="el-GR"/>
        </w:rPr>
        <w:t>€28.457.</w:t>
      </w:r>
      <w:r>
        <w:rPr>
          <w:iCs/>
          <w:lang w:val="el-GR"/>
        </w:rPr>
        <w:t xml:space="preserve">470 (πλέον εκτιμώμενου αποθεματικού </w:t>
      </w:r>
      <w:r w:rsidRPr="00112731">
        <w:rPr>
          <w:iCs/>
          <w:lang w:val="el-GR"/>
        </w:rPr>
        <w:t>€34,79 εκ</w:t>
      </w:r>
      <w:r>
        <w:rPr>
          <w:iCs/>
          <w:lang w:val="el-GR"/>
        </w:rPr>
        <w:t xml:space="preserve">. κατά το τέλος του 2021) </w:t>
      </w:r>
      <w:r w:rsidRPr="00D86BCA">
        <w:rPr>
          <w:iCs/>
          <w:lang w:val="el-GR"/>
        </w:rPr>
        <w:t xml:space="preserve">εκ των οποίων: </w:t>
      </w:r>
    </w:p>
    <w:p w14:paraId="086DA4CE" w14:textId="6009EF24" w:rsidR="00E51519" w:rsidRPr="00D86BCA" w:rsidRDefault="00E51519" w:rsidP="005C1CC0">
      <w:pPr>
        <w:pStyle w:val="ListParagraph"/>
        <w:numPr>
          <w:ilvl w:val="0"/>
          <w:numId w:val="1"/>
        </w:numPr>
        <w:autoSpaceDE w:val="0"/>
        <w:autoSpaceDN w:val="0"/>
        <w:adjustRightInd w:val="0"/>
        <w:spacing w:before="120" w:after="0" w:line="240" w:lineRule="auto"/>
        <w:ind w:left="450" w:right="-64" w:hanging="229"/>
        <w:jc w:val="both"/>
        <w:rPr>
          <w:rFonts w:ascii="Arial" w:hAnsi="Arial" w:cs="Arial"/>
          <w:iCs/>
          <w:lang w:val="el-GR"/>
        </w:rPr>
      </w:pPr>
      <w:r w:rsidRPr="00112731">
        <w:rPr>
          <w:rFonts w:ascii="Arial" w:hAnsi="Arial" w:cs="Arial"/>
          <w:iCs/>
          <w:lang w:val="el-GR"/>
        </w:rPr>
        <w:t>€22.492.</w:t>
      </w:r>
      <w:r>
        <w:rPr>
          <w:rFonts w:ascii="Arial" w:hAnsi="Arial" w:cs="Arial"/>
          <w:iCs/>
          <w:lang w:val="el-GR"/>
        </w:rPr>
        <w:t>960</w:t>
      </w:r>
      <w:r w:rsidRPr="00D86BCA">
        <w:rPr>
          <w:rFonts w:ascii="Arial" w:hAnsi="Arial" w:cs="Arial"/>
          <w:iCs/>
          <w:lang w:val="el-GR"/>
        </w:rPr>
        <w:t xml:space="preserve"> προέρχονται από την επιβολή του σταθερού τέλους κατανάλωσης επί της καταναλισκόμενης ηλεκτρικής ενέργειας,</w:t>
      </w:r>
    </w:p>
    <w:p w14:paraId="5C109043" w14:textId="0E2968E6" w:rsidR="00E51519" w:rsidRDefault="00E51519" w:rsidP="005C1CC0">
      <w:pPr>
        <w:pStyle w:val="ListParagraph"/>
        <w:numPr>
          <w:ilvl w:val="0"/>
          <w:numId w:val="1"/>
        </w:numPr>
        <w:autoSpaceDE w:val="0"/>
        <w:autoSpaceDN w:val="0"/>
        <w:adjustRightInd w:val="0"/>
        <w:spacing w:before="120" w:after="0" w:line="240" w:lineRule="auto"/>
        <w:ind w:left="450" w:right="-64" w:hanging="229"/>
        <w:jc w:val="both"/>
        <w:rPr>
          <w:rFonts w:ascii="Arial" w:hAnsi="Arial" w:cs="Arial"/>
          <w:iCs/>
          <w:lang w:val="el-GR"/>
        </w:rPr>
      </w:pPr>
      <w:r w:rsidRPr="00112731">
        <w:rPr>
          <w:rFonts w:ascii="Arial" w:hAnsi="Arial" w:cs="Arial"/>
          <w:iCs/>
          <w:lang w:val="el-GR"/>
        </w:rPr>
        <w:t>€864.</w:t>
      </w:r>
      <w:r>
        <w:rPr>
          <w:rFonts w:ascii="Arial" w:hAnsi="Arial" w:cs="Arial"/>
          <w:iCs/>
          <w:lang w:val="el-GR"/>
        </w:rPr>
        <w:t>480</w:t>
      </w:r>
      <w:r w:rsidRPr="00112731">
        <w:rPr>
          <w:rFonts w:ascii="Arial" w:hAnsi="Arial" w:cs="Arial"/>
          <w:iCs/>
          <w:lang w:val="el-GR"/>
        </w:rPr>
        <w:t xml:space="preserve"> </w:t>
      </w:r>
      <w:r w:rsidRPr="00D86BCA">
        <w:rPr>
          <w:rFonts w:ascii="Arial" w:hAnsi="Arial" w:cs="Arial"/>
          <w:iCs/>
          <w:lang w:val="el-GR"/>
        </w:rPr>
        <w:t>προέρχονται από αντισταθμιστικά οφέλη,</w:t>
      </w:r>
    </w:p>
    <w:p w14:paraId="4CC40C6A" w14:textId="2702BA87" w:rsidR="00E51519" w:rsidRPr="00D86BCA" w:rsidRDefault="00E51519" w:rsidP="00A46B47">
      <w:pPr>
        <w:pStyle w:val="ListParagraph"/>
        <w:numPr>
          <w:ilvl w:val="0"/>
          <w:numId w:val="1"/>
        </w:numPr>
        <w:autoSpaceDE w:val="0"/>
        <w:autoSpaceDN w:val="0"/>
        <w:adjustRightInd w:val="0"/>
        <w:spacing w:before="120" w:after="0" w:line="240" w:lineRule="auto"/>
        <w:ind w:left="450" w:right="-64" w:hanging="229"/>
        <w:jc w:val="both"/>
        <w:rPr>
          <w:rFonts w:ascii="Arial" w:hAnsi="Arial" w:cs="Arial"/>
          <w:iCs/>
          <w:lang w:val="el-GR"/>
        </w:rPr>
      </w:pPr>
      <w:r w:rsidRPr="00112731">
        <w:rPr>
          <w:rFonts w:ascii="Arial" w:hAnsi="Arial" w:cs="Arial"/>
          <w:iCs/>
          <w:lang w:val="el-GR"/>
        </w:rPr>
        <w:t>€</w:t>
      </w:r>
      <w:r>
        <w:rPr>
          <w:rFonts w:ascii="Arial" w:hAnsi="Arial" w:cs="Arial"/>
          <w:iCs/>
          <w:lang w:val="el-GR"/>
        </w:rPr>
        <w:t xml:space="preserve">5.100.000 από </w:t>
      </w:r>
      <w:r w:rsidRPr="000C25D8">
        <w:rPr>
          <w:rFonts w:ascii="Arial" w:hAnsi="Arial" w:cs="Arial"/>
          <w:iCs/>
          <w:lang w:val="el-GR"/>
        </w:rPr>
        <w:t>Κρατική Χορηγία</w:t>
      </w:r>
      <w:r>
        <w:rPr>
          <w:rFonts w:ascii="Arial" w:hAnsi="Arial" w:cs="Arial"/>
          <w:iCs/>
          <w:lang w:val="el-GR"/>
        </w:rPr>
        <w:t xml:space="preserve"> </w:t>
      </w:r>
      <w:r w:rsidR="00F368F9">
        <w:rPr>
          <w:rFonts w:ascii="Arial" w:hAnsi="Arial" w:cs="Arial"/>
          <w:iCs/>
          <w:lang w:val="el-GR"/>
        </w:rPr>
        <w:t xml:space="preserve">που αντιστοιχεί στη </w:t>
      </w:r>
      <w:r w:rsidRPr="00112731">
        <w:rPr>
          <w:rFonts w:ascii="Arial" w:hAnsi="Arial" w:cs="Arial"/>
          <w:iCs/>
          <w:lang w:val="el-GR"/>
        </w:rPr>
        <w:t xml:space="preserve">χρηματοδότηση των βασικών Σχεδίων Χορηγιών του Ταμείου ΑΠΕ και ΕΞ.Ε από το </w:t>
      </w:r>
      <w:r w:rsidR="00F368F9">
        <w:rPr>
          <w:rFonts w:ascii="Arial" w:hAnsi="Arial" w:cs="Arial"/>
          <w:iCs/>
          <w:lang w:val="el-GR"/>
        </w:rPr>
        <w:t>ΣΑΑ</w:t>
      </w:r>
      <w:r>
        <w:rPr>
          <w:rFonts w:ascii="Arial" w:hAnsi="Arial" w:cs="Arial"/>
          <w:iCs/>
          <w:lang w:val="el-GR"/>
        </w:rPr>
        <w:t>.</w:t>
      </w:r>
      <w:r w:rsidRPr="00112731">
        <w:rPr>
          <w:rFonts w:ascii="Arial" w:hAnsi="Arial" w:cs="Arial"/>
          <w:iCs/>
          <w:lang w:val="el-GR"/>
        </w:rPr>
        <w:t xml:space="preserve"> </w:t>
      </w:r>
    </w:p>
    <w:p w14:paraId="31751D67" w14:textId="77777777" w:rsidR="00E51519" w:rsidRPr="00D86BCA" w:rsidRDefault="00E51519" w:rsidP="005C1CC0">
      <w:pPr>
        <w:pStyle w:val="ListParagraph"/>
        <w:numPr>
          <w:ilvl w:val="0"/>
          <w:numId w:val="1"/>
        </w:numPr>
        <w:autoSpaceDE w:val="0"/>
        <w:autoSpaceDN w:val="0"/>
        <w:adjustRightInd w:val="0"/>
        <w:spacing w:before="120" w:after="0" w:line="240" w:lineRule="auto"/>
        <w:ind w:left="450" w:right="238" w:hanging="229"/>
        <w:jc w:val="both"/>
        <w:rPr>
          <w:rFonts w:ascii="Arial" w:hAnsi="Arial" w:cs="Arial"/>
          <w:iCs/>
          <w:lang w:val="el-GR"/>
        </w:rPr>
      </w:pPr>
      <w:r w:rsidRPr="00112731">
        <w:rPr>
          <w:rFonts w:ascii="Arial" w:hAnsi="Arial" w:cs="Arial"/>
          <w:iCs/>
          <w:lang w:val="el-GR"/>
        </w:rPr>
        <w:lastRenderedPageBreak/>
        <w:t>€30</w:t>
      </w:r>
      <w:r w:rsidRPr="00D86BCA">
        <w:rPr>
          <w:rFonts w:ascii="Arial" w:hAnsi="Arial" w:cs="Arial"/>
          <w:iCs/>
          <w:lang w:val="el-GR"/>
        </w:rPr>
        <w:t xml:space="preserve"> αφορούν πρόνοια για άλλα έσοδα από επενδύσεις του Ταμείου. </w:t>
      </w:r>
    </w:p>
    <w:p w14:paraId="74F5BE66" w14:textId="77777777" w:rsidR="00E51519" w:rsidRPr="00D86BCA" w:rsidRDefault="00E51519" w:rsidP="005C1CC0">
      <w:pPr>
        <w:pStyle w:val="ListParagraph"/>
        <w:autoSpaceDE w:val="0"/>
        <w:autoSpaceDN w:val="0"/>
        <w:adjustRightInd w:val="0"/>
        <w:spacing w:after="0" w:line="240" w:lineRule="auto"/>
        <w:ind w:left="-142" w:right="238" w:firstLine="142"/>
        <w:jc w:val="both"/>
        <w:rPr>
          <w:rFonts w:ascii="Arial" w:hAnsi="Arial" w:cs="Arial"/>
          <w:iCs/>
          <w:lang w:val="el-GR"/>
        </w:rPr>
      </w:pPr>
    </w:p>
    <w:p w14:paraId="129641EC" w14:textId="4A37F83A" w:rsidR="00E51519" w:rsidRPr="006820CB" w:rsidRDefault="00E51519">
      <w:pPr>
        <w:tabs>
          <w:tab w:val="left" w:pos="0"/>
        </w:tabs>
        <w:autoSpaceDE w:val="0"/>
        <w:autoSpaceDN w:val="0"/>
        <w:adjustRightInd w:val="0"/>
        <w:ind w:right="-64"/>
        <w:jc w:val="both"/>
        <w:rPr>
          <w:iCs/>
          <w:lang w:val="el-GR"/>
        </w:rPr>
      </w:pPr>
      <w:r>
        <w:rPr>
          <w:iCs/>
          <w:lang w:val="el-GR"/>
        </w:rPr>
        <w:t xml:space="preserve">5. </w:t>
      </w:r>
      <w:r w:rsidRPr="006820CB">
        <w:rPr>
          <w:iCs/>
          <w:lang w:val="el-GR"/>
        </w:rPr>
        <w:t>Οι συνολικές δαπάνες που περιλαμβάνονται στον προϋπολογισμό για το 20</w:t>
      </w:r>
      <w:r>
        <w:rPr>
          <w:iCs/>
          <w:lang w:val="el-GR"/>
        </w:rPr>
        <w:t>22</w:t>
      </w:r>
      <w:r w:rsidRPr="006820CB">
        <w:rPr>
          <w:iCs/>
          <w:lang w:val="el-GR"/>
        </w:rPr>
        <w:t xml:space="preserve"> ανέρχονται σε </w:t>
      </w:r>
      <w:r w:rsidRPr="00112731">
        <w:rPr>
          <w:iCs/>
          <w:lang w:val="el-GR"/>
        </w:rPr>
        <w:t>€</w:t>
      </w:r>
      <w:r w:rsidR="00800566" w:rsidRPr="00112731">
        <w:rPr>
          <w:iCs/>
          <w:lang w:val="el-GR"/>
        </w:rPr>
        <w:t>4</w:t>
      </w:r>
      <w:r w:rsidR="00800566">
        <w:rPr>
          <w:iCs/>
          <w:lang w:val="el-GR"/>
        </w:rPr>
        <w:t>8</w:t>
      </w:r>
      <w:r w:rsidRPr="00112731">
        <w:rPr>
          <w:iCs/>
          <w:lang w:val="el-GR"/>
        </w:rPr>
        <w:t>.</w:t>
      </w:r>
      <w:r w:rsidR="002D0D78">
        <w:rPr>
          <w:iCs/>
          <w:lang w:val="el-GR"/>
        </w:rPr>
        <w:t>809</w:t>
      </w:r>
      <w:r w:rsidRPr="00112731">
        <w:rPr>
          <w:iCs/>
          <w:lang w:val="el-GR"/>
        </w:rPr>
        <w:t>.</w:t>
      </w:r>
      <w:r w:rsidR="00800566">
        <w:rPr>
          <w:iCs/>
          <w:lang w:val="el-GR"/>
        </w:rPr>
        <w:t>3</w:t>
      </w:r>
      <w:r w:rsidR="00F2481B" w:rsidRPr="00F2481B">
        <w:rPr>
          <w:iCs/>
          <w:lang w:val="el-GR"/>
        </w:rPr>
        <w:t>8</w:t>
      </w:r>
      <w:r w:rsidR="00800566">
        <w:rPr>
          <w:iCs/>
          <w:lang w:val="el-GR"/>
        </w:rPr>
        <w:t xml:space="preserve">4 </w:t>
      </w:r>
      <w:r w:rsidRPr="006820CB">
        <w:rPr>
          <w:iCs/>
          <w:lang w:val="el-GR"/>
        </w:rPr>
        <w:t>και έχουν ως εξής:</w:t>
      </w:r>
    </w:p>
    <w:p w14:paraId="25A7C107" w14:textId="1101E12B" w:rsidR="00E51519" w:rsidRPr="00E83D23" w:rsidRDefault="00E51519" w:rsidP="005C1CC0">
      <w:pPr>
        <w:pStyle w:val="ListParagraph"/>
        <w:numPr>
          <w:ilvl w:val="0"/>
          <w:numId w:val="2"/>
        </w:numPr>
        <w:autoSpaceDE w:val="0"/>
        <w:autoSpaceDN w:val="0"/>
        <w:adjustRightInd w:val="0"/>
        <w:spacing w:before="120" w:after="0" w:line="240" w:lineRule="auto"/>
        <w:ind w:right="-64"/>
        <w:jc w:val="both"/>
        <w:rPr>
          <w:rFonts w:ascii="Arial" w:hAnsi="Arial" w:cs="Arial"/>
          <w:iCs/>
          <w:lang w:val="el-GR"/>
        </w:rPr>
      </w:pPr>
      <w:r w:rsidRPr="00E83D23">
        <w:rPr>
          <w:rFonts w:ascii="Arial" w:hAnsi="Arial" w:cs="Arial"/>
          <w:iCs/>
          <w:lang w:val="el-GR"/>
        </w:rPr>
        <w:t xml:space="preserve">Δαπάνες ύψους </w:t>
      </w:r>
      <w:r w:rsidRPr="00112731">
        <w:rPr>
          <w:rFonts w:ascii="Arial" w:hAnsi="Arial" w:cs="Arial"/>
          <w:iCs/>
          <w:lang w:val="el-GR"/>
        </w:rPr>
        <w:t>€4</w:t>
      </w:r>
      <w:r w:rsidR="00800566">
        <w:rPr>
          <w:rFonts w:ascii="Arial" w:hAnsi="Arial" w:cs="Arial"/>
          <w:iCs/>
          <w:lang w:val="el-GR"/>
        </w:rPr>
        <w:t>7</w:t>
      </w:r>
      <w:r w:rsidRPr="00112731">
        <w:rPr>
          <w:rFonts w:ascii="Arial" w:hAnsi="Arial" w:cs="Arial"/>
          <w:iCs/>
          <w:lang w:val="el-GR"/>
        </w:rPr>
        <w:t>.</w:t>
      </w:r>
      <w:r w:rsidR="00800566">
        <w:rPr>
          <w:rFonts w:ascii="Arial" w:hAnsi="Arial" w:cs="Arial"/>
          <w:iCs/>
          <w:lang w:val="el-GR"/>
        </w:rPr>
        <w:t>408</w:t>
      </w:r>
      <w:r w:rsidRPr="00112731">
        <w:rPr>
          <w:rFonts w:ascii="Arial" w:hAnsi="Arial" w:cs="Arial"/>
          <w:iCs/>
          <w:lang w:val="el-GR"/>
        </w:rPr>
        <w:t>.</w:t>
      </w:r>
      <w:r w:rsidR="00800566">
        <w:rPr>
          <w:rFonts w:ascii="Arial" w:hAnsi="Arial" w:cs="Arial"/>
          <w:iCs/>
          <w:lang w:val="el-GR"/>
        </w:rPr>
        <w:t>671</w:t>
      </w:r>
      <w:r w:rsidRPr="00E83D23">
        <w:rPr>
          <w:rFonts w:ascii="Arial" w:hAnsi="Arial" w:cs="Arial"/>
          <w:iCs/>
          <w:lang w:val="el-GR"/>
        </w:rPr>
        <w:t xml:space="preserve"> για δεσμεύσεις για επιχορηγήσεις οι οποίες περιλαμβάνουν:</w:t>
      </w:r>
    </w:p>
    <w:p w14:paraId="2FA4FDB0" w14:textId="53299111" w:rsidR="00E51519" w:rsidRPr="00E83D23" w:rsidRDefault="00E51519" w:rsidP="005C1CC0">
      <w:pPr>
        <w:pStyle w:val="ListParagraph"/>
        <w:numPr>
          <w:ilvl w:val="2"/>
          <w:numId w:val="3"/>
        </w:numPr>
        <w:autoSpaceDE w:val="0"/>
        <w:autoSpaceDN w:val="0"/>
        <w:adjustRightInd w:val="0"/>
        <w:spacing w:after="0" w:line="240" w:lineRule="auto"/>
        <w:ind w:left="851" w:right="-64" w:hanging="284"/>
        <w:jc w:val="both"/>
        <w:rPr>
          <w:rFonts w:ascii="Arial" w:hAnsi="Arial" w:cs="Arial"/>
          <w:iCs/>
          <w:lang w:val="el-GR"/>
        </w:rPr>
      </w:pPr>
      <w:r w:rsidRPr="00E83D23">
        <w:rPr>
          <w:rFonts w:ascii="Arial" w:hAnsi="Arial" w:cs="Arial"/>
          <w:iCs/>
          <w:lang w:val="el-GR"/>
        </w:rPr>
        <w:t xml:space="preserve">Δαπάνες ύψους </w:t>
      </w:r>
      <w:r w:rsidRPr="007633A4">
        <w:rPr>
          <w:rFonts w:ascii="Arial" w:hAnsi="Arial" w:cs="Arial"/>
          <w:iCs/>
          <w:lang w:val="el-GR"/>
        </w:rPr>
        <w:t>€24.783.671</w:t>
      </w:r>
      <w:r w:rsidRPr="00E83D23">
        <w:rPr>
          <w:rFonts w:ascii="Arial" w:hAnsi="Arial" w:cs="Arial"/>
          <w:iCs/>
          <w:lang w:val="el-GR"/>
        </w:rPr>
        <w:t xml:space="preserve"> για δεσμεύσεις του τομέα της ηλεκτροπαραγωγής από ΑΠΕ από Σχέδια</w:t>
      </w:r>
      <w:r>
        <w:rPr>
          <w:rFonts w:ascii="Arial" w:hAnsi="Arial" w:cs="Arial"/>
          <w:iCs/>
          <w:lang w:val="el-GR"/>
        </w:rPr>
        <w:t>/Συμβάσεις</w:t>
      </w:r>
      <w:r w:rsidRPr="00E83D23">
        <w:rPr>
          <w:rFonts w:ascii="Arial" w:hAnsi="Arial" w:cs="Arial"/>
          <w:iCs/>
          <w:lang w:val="el-GR"/>
        </w:rPr>
        <w:t xml:space="preserve"> Επιδοτήσεων προηγούμενων χρόνων</w:t>
      </w:r>
      <w:r>
        <w:rPr>
          <w:rFonts w:ascii="Arial" w:hAnsi="Arial" w:cs="Arial"/>
          <w:iCs/>
          <w:lang w:val="el-GR"/>
        </w:rPr>
        <w:t>.</w:t>
      </w:r>
      <w:r w:rsidR="00F368F9">
        <w:rPr>
          <w:rFonts w:ascii="Arial" w:hAnsi="Arial" w:cs="Arial"/>
          <w:iCs/>
          <w:lang w:val="el-GR"/>
        </w:rPr>
        <w:t xml:space="preserve"> Για τον εν λόγω υπολογισμό, εφαρμόστηκε εκτίμηση κόστους αγοράς ενέργειας από ΑΠΕ («κόστος αποφυγής») ύψους </w:t>
      </w:r>
      <w:r w:rsidR="00F368F9" w:rsidRPr="00F368F9">
        <w:rPr>
          <w:rFonts w:ascii="Arial" w:hAnsi="Arial" w:cs="Arial"/>
          <w:iCs/>
          <w:lang w:val="el-GR"/>
        </w:rPr>
        <w:t xml:space="preserve">€0,1009 </w:t>
      </w:r>
      <w:r w:rsidR="00F368F9">
        <w:rPr>
          <w:rFonts w:ascii="Arial" w:hAnsi="Arial" w:cs="Arial"/>
          <w:iCs/>
          <w:lang w:val="el-GR"/>
        </w:rPr>
        <w:t xml:space="preserve">ανά </w:t>
      </w:r>
      <w:r w:rsidR="00F368F9" w:rsidRPr="007633A4">
        <w:rPr>
          <w:rFonts w:ascii="Arial" w:hAnsi="Arial" w:cs="Arial"/>
          <w:iCs/>
          <w:lang w:val="el-GR"/>
        </w:rPr>
        <w:t>kWh</w:t>
      </w:r>
      <w:r w:rsidR="00F368F9" w:rsidRPr="00800566">
        <w:rPr>
          <w:rFonts w:ascii="Arial" w:hAnsi="Arial" w:cs="Arial"/>
          <w:iCs/>
          <w:lang w:val="el-GR"/>
        </w:rPr>
        <w:t xml:space="preserve"> </w:t>
      </w:r>
      <w:r w:rsidR="00F368F9" w:rsidRPr="00F368F9">
        <w:rPr>
          <w:rFonts w:ascii="Arial" w:hAnsi="Arial" w:cs="Arial"/>
          <w:iCs/>
          <w:lang w:val="el-GR"/>
        </w:rPr>
        <w:t>στην υψηλή τάση</w:t>
      </w:r>
      <w:r w:rsidR="00F368F9" w:rsidRPr="00800566">
        <w:rPr>
          <w:rFonts w:ascii="Arial" w:hAnsi="Arial" w:cs="Arial"/>
          <w:iCs/>
          <w:lang w:val="el-GR"/>
        </w:rPr>
        <w:t xml:space="preserve">. </w:t>
      </w:r>
      <w:r w:rsidR="00F368F9">
        <w:rPr>
          <w:rFonts w:ascii="Arial" w:hAnsi="Arial" w:cs="Arial"/>
          <w:iCs/>
          <w:lang w:val="el-GR"/>
        </w:rPr>
        <w:t>Σημειώνεται ότι -μεταξύ άλλων-</w:t>
      </w:r>
      <w:r w:rsidR="00F368F9" w:rsidRPr="00F368F9">
        <w:rPr>
          <w:rFonts w:ascii="Arial" w:hAnsi="Arial" w:cs="Arial"/>
          <w:iCs/>
          <w:lang w:val="el-GR"/>
        </w:rPr>
        <w:t xml:space="preserve"> λόγω της πανδημίας, το </w:t>
      </w:r>
      <w:r w:rsidR="00F368F9">
        <w:rPr>
          <w:rFonts w:ascii="Arial" w:hAnsi="Arial" w:cs="Arial"/>
          <w:iCs/>
          <w:lang w:val="el-GR"/>
        </w:rPr>
        <w:t>κ</w:t>
      </w:r>
      <w:r w:rsidR="00F368F9" w:rsidRPr="00F368F9">
        <w:rPr>
          <w:rFonts w:ascii="Arial" w:hAnsi="Arial" w:cs="Arial"/>
          <w:iCs/>
          <w:lang w:val="el-GR"/>
        </w:rPr>
        <w:t xml:space="preserve">όστος </w:t>
      </w:r>
      <w:r w:rsidR="00F368F9">
        <w:rPr>
          <w:rFonts w:ascii="Arial" w:hAnsi="Arial" w:cs="Arial"/>
          <w:iCs/>
          <w:lang w:val="el-GR"/>
        </w:rPr>
        <w:t>α</w:t>
      </w:r>
      <w:r w:rsidR="00F368F9" w:rsidRPr="00F368F9">
        <w:rPr>
          <w:rFonts w:ascii="Arial" w:hAnsi="Arial" w:cs="Arial"/>
          <w:iCs/>
          <w:lang w:val="el-GR"/>
        </w:rPr>
        <w:t>ποφυγής παρουσιάζει σοβαρές διακυμάνσεις και είναι αδύνατο να γίνει ασφαλής εκτίμηση</w:t>
      </w:r>
      <w:r w:rsidR="00F368F9">
        <w:rPr>
          <w:rFonts w:ascii="Arial" w:hAnsi="Arial" w:cs="Arial"/>
          <w:iCs/>
          <w:lang w:val="el-GR"/>
        </w:rPr>
        <w:t xml:space="preserve"> </w:t>
      </w:r>
      <w:r w:rsidR="005C1CC0">
        <w:rPr>
          <w:rFonts w:ascii="Arial" w:hAnsi="Arial" w:cs="Arial"/>
          <w:iCs/>
          <w:lang w:val="el-GR"/>
        </w:rPr>
        <w:t>(</w:t>
      </w:r>
      <w:r w:rsidR="00F368F9">
        <w:rPr>
          <w:rFonts w:ascii="Arial" w:hAnsi="Arial" w:cs="Arial"/>
          <w:iCs/>
          <w:lang w:val="el-GR"/>
        </w:rPr>
        <w:t>το €</w:t>
      </w:r>
      <w:r w:rsidR="00F368F9" w:rsidRPr="00F368F9">
        <w:rPr>
          <w:rFonts w:ascii="Arial" w:hAnsi="Arial" w:cs="Arial"/>
          <w:iCs/>
          <w:lang w:val="el-GR"/>
        </w:rPr>
        <w:t>0,1009</w:t>
      </w:r>
      <w:r w:rsidR="00F368F9">
        <w:rPr>
          <w:rFonts w:ascii="Arial" w:hAnsi="Arial" w:cs="Arial"/>
          <w:iCs/>
          <w:lang w:val="el-GR"/>
        </w:rPr>
        <w:t xml:space="preserve"> αποτελεί τον μέσο όρο </w:t>
      </w:r>
      <w:r w:rsidR="005C1CC0">
        <w:rPr>
          <w:rFonts w:ascii="Arial" w:hAnsi="Arial" w:cs="Arial"/>
          <w:iCs/>
          <w:lang w:val="el-GR"/>
        </w:rPr>
        <w:t>του κόστους αποφυγής που ίσχυε κατά τους πρώτους έξι μήνες του 2021).</w:t>
      </w:r>
    </w:p>
    <w:p w14:paraId="451A1F21" w14:textId="095D5FF9" w:rsidR="00E51519" w:rsidRDefault="00E51519">
      <w:pPr>
        <w:pStyle w:val="ListParagraph"/>
        <w:numPr>
          <w:ilvl w:val="2"/>
          <w:numId w:val="3"/>
        </w:numPr>
        <w:autoSpaceDE w:val="0"/>
        <w:autoSpaceDN w:val="0"/>
        <w:adjustRightInd w:val="0"/>
        <w:spacing w:after="0" w:line="240" w:lineRule="auto"/>
        <w:ind w:left="851" w:right="-64" w:hanging="284"/>
        <w:jc w:val="both"/>
        <w:rPr>
          <w:rFonts w:ascii="Arial" w:hAnsi="Arial" w:cs="Arial"/>
          <w:iCs/>
          <w:lang w:val="el-GR"/>
        </w:rPr>
      </w:pPr>
      <w:r w:rsidRPr="00E83D23">
        <w:rPr>
          <w:rFonts w:ascii="Arial" w:hAnsi="Arial" w:cs="Arial"/>
          <w:iCs/>
          <w:lang w:val="el-GR"/>
        </w:rPr>
        <w:t xml:space="preserve">Δαπάνες ύψους </w:t>
      </w:r>
      <w:r w:rsidRPr="00112731">
        <w:rPr>
          <w:rFonts w:ascii="Arial" w:hAnsi="Arial" w:cs="Arial"/>
          <w:iCs/>
          <w:lang w:val="el-GR"/>
        </w:rPr>
        <w:t>€</w:t>
      </w:r>
      <w:r w:rsidR="00800566" w:rsidRPr="007633A4">
        <w:rPr>
          <w:rFonts w:ascii="Arial" w:hAnsi="Arial" w:cs="Arial"/>
          <w:iCs/>
          <w:lang w:val="el-GR"/>
        </w:rPr>
        <w:t>22</w:t>
      </w:r>
      <w:r w:rsidRPr="007633A4">
        <w:rPr>
          <w:rFonts w:ascii="Arial" w:hAnsi="Arial" w:cs="Arial"/>
          <w:iCs/>
          <w:lang w:val="el-GR"/>
        </w:rPr>
        <w:t>.</w:t>
      </w:r>
      <w:r w:rsidR="00800566" w:rsidRPr="007633A4">
        <w:rPr>
          <w:rFonts w:ascii="Arial" w:hAnsi="Arial" w:cs="Arial"/>
          <w:iCs/>
          <w:lang w:val="el-GR"/>
        </w:rPr>
        <w:t>625</w:t>
      </w:r>
      <w:r w:rsidRPr="007633A4">
        <w:rPr>
          <w:rFonts w:ascii="Arial" w:hAnsi="Arial" w:cs="Arial"/>
          <w:iCs/>
          <w:lang w:val="el-GR"/>
        </w:rPr>
        <w:t>.000</w:t>
      </w:r>
      <w:r w:rsidRPr="00E83D23">
        <w:rPr>
          <w:rFonts w:ascii="Arial" w:hAnsi="Arial" w:cs="Arial"/>
          <w:iCs/>
          <w:lang w:val="el-GR"/>
        </w:rPr>
        <w:t xml:space="preserve"> για δεσμεύσεις </w:t>
      </w:r>
      <w:r>
        <w:rPr>
          <w:rFonts w:ascii="Arial" w:hAnsi="Arial" w:cs="Arial"/>
          <w:iCs/>
          <w:lang w:val="el-GR"/>
        </w:rPr>
        <w:t>που αφορούν σε</w:t>
      </w:r>
      <w:r w:rsidRPr="00E83D23">
        <w:rPr>
          <w:rFonts w:ascii="Arial" w:hAnsi="Arial" w:cs="Arial"/>
          <w:iCs/>
          <w:lang w:val="el-GR"/>
        </w:rPr>
        <w:t xml:space="preserve"> Σχέδια Χορηγιών</w:t>
      </w:r>
      <w:r>
        <w:rPr>
          <w:rFonts w:ascii="Arial" w:hAnsi="Arial" w:cs="Arial"/>
          <w:iCs/>
          <w:lang w:val="el-GR"/>
        </w:rPr>
        <w:t xml:space="preserve"> για ενθάρρυνση της χρήσης</w:t>
      </w:r>
      <w:r w:rsidRPr="00E83D23">
        <w:rPr>
          <w:rFonts w:ascii="Arial" w:hAnsi="Arial" w:cs="Arial"/>
          <w:iCs/>
          <w:lang w:val="el-GR"/>
        </w:rPr>
        <w:t xml:space="preserve"> ΑΠΕ και </w:t>
      </w:r>
      <w:r w:rsidR="00304BDD" w:rsidRPr="00E83D23">
        <w:rPr>
          <w:rFonts w:ascii="Arial" w:hAnsi="Arial" w:cs="Arial"/>
          <w:iCs/>
          <w:lang w:val="el-GR"/>
        </w:rPr>
        <w:t>Ε</w:t>
      </w:r>
      <w:r w:rsidR="00304BDD">
        <w:rPr>
          <w:rFonts w:ascii="Arial" w:hAnsi="Arial" w:cs="Arial"/>
          <w:iCs/>
          <w:lang w:val="el-GR"/>
        </w:rPr>
        <w:t>Ξ</w:t>
      </w:r>
      <w:r w:rsidRPr="00E83D23">
        <w:rPr>
          <w:rFonts w:ascii="Arial" w:hAnsi="Arial" w:cs="Arial"/>
          <w:iCs/>
          <w:lang w:val="el-GR"/>
        </w:rPr>
        <w:t>.Ε</w:t>
      </w:r>
      <w:r>
        <w:rPr>
          <w:rFonts w:ascii="Arial" w:hAnsi="Arial" w:cs="Arial"/>
          <w:iCs/>
          <w:lang w:val="el-GR"/>
        </w:rPr>
        <w:t>.</w:t>
      </w:r>
    </w:p>
    <w:p w14:paraId="3FE88FAA" w14:textId="77777777" w:rsidR="00E51519" w:rsidRPr="00E83D23" w:rsidRDefault="00E51519" w:rsidP="005C1CC0">
      <w:pPr>
        <w:pStyle w:val="ListParagraph"/>
        <w:numPr>
          <w:ilvl w:val="0"/>
          <w:numId w:val="2"/>
        </w:numPr>
        <w:autoSpaceDE w:val="0"/>
        <w:autoSpaceDN w:val="0"/>
        <w:adjustRightInd w:val="0"/>
        <w:spacing w:before="120" w:after="0" w:line="240" w:lineRule="auto"/>
        <w:ind w:right="-64"/>
        <w:jc w:val="both"/>
        <w:rPr>
          <w:rFonts w:ascii="Arial" w:hAnsi="Arial" w:cs="Arial"/>
          <w:iCs/>
          <w:lang w:val="el-GR"/>
        </w:rPr>
      </w:pPr>
      <w:r w:rsidRPr="00E83D23">
        <w:rPr>
          <w:rFonts w:ascii="Arial" w:hAnsi="Arial" w:cs="Arial"/>
          <w:iCs/>
          <w:lang w:val="el-GR"/>
        </w:rPr>
        <w:t xml:space="preserve">Δαπάνες ύψους </w:t>
      </w:r>
      <w:r w:rsidRPr="007633A4">
        <w:rPr>
          <w:rFonts w:ascii="Arial" w:hAnsi="Arial" w:cs="Arial"/>
          <w:iCs/>
          <w:lang w:val="el-GR"/>
        </w:rPr>
        <w:t>€864.480</w:t>
      </w:r>
      <w:r w:rsidRPr="00E83D23">
        <w:rPr>
          <w:rFonts w:ascii="Arial" w:hAnsi="Arial" w:cs="Arial"/>
          <w:iCs/>
          <w:lang w:val="el-GR"/>
        </w:rPr>
        <w:t xml:space="preserve"> για αντισταθμιστικά οφέλη προς τις γειτνιάζουσες με μεγάλα αιολικά πάρκα και μονάδες βιομάζας κοινότητες.</w:t>
      </w:r>
    </w:p>
    <w:p w14:paraId="3570F114" w14:textId="1B7A29DA" w:rsidR="00E51519" w:rsidRDefault="00E51519" w:rsidP="005C1CC0">
      <w:pPr>
        <w:pStyle w:val="ListParagraph"/>
        <w:numPr>
          <w:ilvl w:val="0"/>
          <w:numId w:val="2"/>
        </w:numPr>
        <w:autoSpaceDE w:val="0"/>
        <w:autoSpaceDN w:val="0"/>
        <w:adjustRightInd w:val="0"/>
        <w:spacing w:before="120" w:after="0" w:line="240" w:lineRule="auto"/>
        <w:ind w:right="-64"/>
        <w:jc w:val="both"/>
        <w:rPr>
          <w:rFonts w:ascii="Arial" w:hAnsi="Arial" w:cs="Arial"/>
          <w:iCs/>
          <w:lang w:val="el-GR"/>
        </w:rPr>
      </w:pPr>
      <w:r w:rsidRPr="00E83D23">
        <w:rPr>
          <w:rFonts w:ascii="Arial" w:hAnsi="Arial" w:cs="Arial"/>
          <w:iCs/>
          <w:lang w:val="el-GR"/>
        </w:rPr>
        <w:t xml:space="preserve">Λειτουργικές και Άλλες Δαπάνες ύψους </w:t>
      </w:r>
      <w:r w:rsidRPr="00112731">
        <w:rPr>
          <w:rFonts w:ascii="Arial" w:hAnsi="Arial" w:cs="Arial"/>
          <w:iCs/>
          <w:lang w:val="el-GR"/>
        </w:rPr>
        <w:t>€</w:t>
      </w:r>
      <w:r w:rsidR="007633A4">
        <w:rPr>
          <w:rFonts w:ascii="Arial" w:hAnsi="Arial" w:cs="Arial"/>
          <w:iCs/>
          <w:lang w:val="el-GR"/>
        </w:rPr>
        <w:t>53</w:t>
      </w:r>
      <w:r w:rsidR="00800566">
        <w:rPr>
          <w:rFonts w:ascii="Arial" w:hAnsi="Arial" w:cs="Arial"/>
          <w:iCs/>
          <w:lang w:val="el-GR"/>
        </w:rPr>
        <w:t>6</w:t>
      </w:r>
      <w:r w:rsidRPr="00112731">
        <w:rPr>
          <w:rFonts w:ascii="Arial" w:hAnsi="Arial" w:cs="Arial"/>
          <w:iCs/>
          <w:lang w:val="el-GR"/>
        </w:rPr>
        <w:t>.</w:t>
      </w:r>
      <w:r w:rsidR="00800566" w:rsidRPr="00112731">
        <w:rPr>
          <w:rFonts w:ascii="Arial" w:hAnsi="Arial" w:cs="Arial"/>
          <w:iCs/>
          <w:lang w:val="el-GR"/>
        </w:rPr>
        <w:t>2</w:t>
      </w:r>
      <w:r w:rsidR="00F2481B" w:rsidRPr="00F2481B">
        <w:rPr>
          <w:rFonts w:ascii="Arial" w:hAnsi="Arial" w:cs="Arial"/>
          <w:iCs/>
          <w:lang w:val="el-GR"/>
        </w:rPr>
        <w:t>3</w:t>
      </w:r>
      <w:r w:rsidR="00800566" w:rsidRPr="00112731">
        <w:rPr>
          <w:rFonts w:ascii="Arial" w:hAnsi="Arial" w:cs="Arial"/>
          <w:iCs/>
          <w:lang w:val="el-GR"/>
        </w:rPr>
        <w:t>3</w:t>
      </w:r>
      <w:r w:rsidRPr="00112731">
        <w:rPr>
          <w:rFonts w:ascii="Arial" w:hAnsi="Arial" w:cs="Arial"/>
          <w:iCs/>
          <w:lang w:val="el-GR"/>
        </w:rPr>
        <w:t>.</w:t>
      </w:r>
      <w:r w:rsidRPr="00E83D23">
        <w:rPr>
          <w:rFonts w:ascii="Arial" w:hAnsi="Arial" w:cs="Arial"/>
          <w:iCs/>
          <w:lang w:val="el-GR"/>
        </w:rPr>
        <w:t xml:space="preserve"> </w:t>
      </w:r>
      <w:r w:rsidR="007633A4">
        <w:rPr>
          <w:rFonts w:ascii="Arial" w:hAnsi="Arial" w:cs="Arial"/>
          <w:iCs/>
          <w:lang w:val="el-GR"/>
        </w:rPr>
        <w:t xml:space="preserve"> </w:t>
      </w:r>
    </w:p>
    <w:p w14:paraId="6F2A5C6B" w14:textId="77777777" w:rsidR="00E51519" w:rsidRPr="00D86BCA" w:rsidRDefault="00E51519">
      <w:pPr>
        <w:tabs>
          <w:tab w:val="left" w:pos="851"/>
        </w:tabs>
        <w:jc w:val="both"/>
        <w:rPr>
          <w:iCs/>
          <w:lang w:val="el-GR"/>
        </w:rPr>
      </w:pPr>
    </w:p>
    <w:p w14:paraId="14CE6B3E" w14:textId="0E567159" w:rsidR="000A32DB" w:rsidRDefault="00470E23" w:rsidP="000A32DB">
      <w:pPr>
        <w:autoSpaceDE w:val="0"/>
        <w:autoSpaceDN w:val="0"/>
        <w:adjustRightInd w:val="0"/>
        <w:ind w:right="26"/>
        <w:jc w:val="both"/>
        <w:rPr>
          <w:iCs/>
          <w:lang w:val="el-GR"/>
        </w:rPr>
      </w:pPr>
      <w:r>
        <w:rPr>
          <w:iCs/>
          <w:noProof/>
          <w:lang w:val="el-GR" w:eastAsia="el-GR"/>
        </w:rPr>
        <mc:AlternateContent>
          <mc:Choice Requires="wps">
            <w:drawing>
              <wp:anchor distT="0" distB="0" distL="114300" distR="114300" simplePos="0" relativeHeight="251659264" behindDoc="0" locked="0" layoutInCell="1" allowOverlap="1" wp14:anchorId="3DCE6C0B" wp14:editId="466DFFA3">
                <wp:simplePos x="0" y="0"/>
                <wp:positionH relativeFrom="column">
                  <wp:posOffset>-633095</wp:posOffset>
                </wp:positionH>
                <wp:positionV relativeFrom="paragraph">
                  <wp:posOffset>290195</wp:posOffset>
                </wp:positionV>
                <wp:extent cx="330200" cy="4233"/>
                <wp:effectExtent l="0" t="0" r="31750" b="34290"/>
                <wp:wrapNone/>
                <wp:docPr id="1" name="Straight Connector 1"/>
                <wp:cNvGraphicFramePr/>
                <a:graphic xmlns:a="http://schemas.openxmlformats.org/drawingml/2006/main">
                  <a:graphicData uri="http://schemas.microsoft.com/office/word/2010/wordprocessingShape">
                    <wps:wsp>
                      <wps:cNvCnPr/>
                      <wps:spPr>
                        <a:xfrm>
                          <a:off x="0" y="0"/>
                          <a:ext cx="330200" cy="42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2E5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85pt,22.85pt" to="-23.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7BzwEAAAUEAAAOAAAAZHJzL2Uyb0RvYy54bWysU02PEzEMvSPxH6Lc6UxbhNCo0z10tVwQ&#10;VCz8gGzG6URK4sgJ/fj3OJnudAVICMTFM078nu1nZ3N39k4cgZLF0MvlopUCgsbBhkMvv319ePNe&#10;ipRVGJTDAL28QJJ329evNqfYwQpHdAOQYJKQulPs5Zhz7Jom6RG8SguMEPjSIHmV2aVDM5A6Mbt3&#10;zapt3zUnpCESakiJT++nS7mt/MaAzp+NSZCF6yXXlqulap+KbbYb1R1IxdHqaxnqH6rwygZOOlPd&#10;q6zEd7K/UHmrCROavNDoGzTGaqg9cDfL9qduHkcVofbC4qQ4y5T+H63+dNyTsAPPToqgPI/oMZOy&#10;hzGLHYbAAiKJZdHpFFPH4buwp6uX4p5K02dDvny5HXGu2l5mbeGchebD9brleUmh+ertar0ujM0N&#10;GinlD4BelJ9eOhtK46pTx48pT6HPIeXYhWITOjs8WOeqU1YGdo7EUfGw87kWzSleRLFXkE1pZSq+&#10;/uWLg4n1CxgWg8td1ux1DW+cSmsI+ZnXBY4uMMMVzMD2z8BrfIFCXdG/Ac+ImhlDnsHeBqTfZb9J&#10;Yab4ZwWmvosETzhc6lirNLxrdTjXd1GW+aVf4bfXu/0BAAD//wMAUEsDBBQABgAIAAAAIQA3vZBB&#10;4AAAAAkBAAAPAAAAZHJzL2Rvd25yZXYueG1sTI9PT4NAEMXvJn6HzZh4MXRRKbXI0hiSXjyYWEzj&#10;cQtTlsjOEnZb6Ld3PNnT/Ht57zf5Zra9OOPoO0cKHhcxCKTaNR21Cr6qbfQCwgdNje4doYILetgU&#10;tze5zho30Seed6EVbEI+0wpMCEMmpa8NWu0XbkDi29GNVgcex1Y2o57Y3PbyKY5TaXVHnGD0gKXB&#10;+md3sgq+24fn7b6iairDxzE182X/viyVur+b315BBJzDvxj+8BkdCmY6uBM1XvQKovV6xVIFyZIr&#10;C6Jkxc2BF2kCssjl9QfFLwAAAP//AwBQSwECLQAUAAYACAAAACEAtoM4kv4AAADhAQAAEwAAAAAA&#10;AAAAAAAAAAAAAAAAW0NvbnRlbnRfVHlwZXNdLnhtbFBLAQItABQABgAIAAAAIQA4/SH/1gAAAJQB&#10;AAALAAAAAAAAAAAAAAAAAC8BAABfcmVscy8ucmVsc1BLAQItABQABgAIAAAAIQCcm47BzwEAAAUE&#10;AAAOAAAAAAAAAAAAAAAAAC4CAABkcnMvZTJvRG9jLnhtbFBLAQItABQABgAIAAAAIQA3vZBB4AAA&#10;AAkBAAAPAAAAAAAAAAAAAAAAACkEAABkcnMvZG93bnJldi54bWxQSwUGAAAAAAQABADzAAAANgUA&#10;AAAA&#10;" strokecolor="black [3213]" strokeweight=".5pt">
                <v:stroke joinstyle="miter"/>
              </v:line>
            </w:pict>
          </mc:Fallback>
        </mc:AlternateContent>
      </w:r>
      <w:r w:rsidR="00E51519">
        <w:rPr>
          <w:iCs/>
          <w:lang w:val="el-GR"/>
        </w:rPr>
        <w:t>6</w:t>
      </w:r>
      <w:r w:rsidR="00E51519" w:rsidRPr="00D86BCA">
        <w:rPr>
          <w:iCs/>
          <w:lang w:val="el-GR"/>
        </w:rPr>
        <w:t xml:space="preserve">.  </w:t>
      </w:r>
      <w:r w:rsidR="000A32DB" w:rsidRPr="000A32DB">
        <w:rPr>
          <w:lang w:val="el-GR"/>
        </w:rPr>
        <w:t>Το Υπουργικό Συμβούλιο κατά τη συνεδρία του που πραγματοποιήθη</w:t>
      </w:r>
      <w:r w:rsidR="000A32DB">
        <w:rPr>
          <w:lang w:val="el-GR"/>
        </w:rPr>
        <w:t xml:space="preserve">κε </w:t>
      </w:r>
      <w:r w:rsidR="000A32DB" w:rsidRPr="000A32DB">
        <w:rPr>
          <w:lang w:val="el-GR"/>
        </w:rPr>
        <w:t>στις 4/11/202</w:t>
      </w:r>
      <w:r w:rsidR="000A32DB">
        <w:rPr>
          <w:lang w:val="el-GR"/>
        </w:rPr>
        <w:t xml:space="preserve">1 </w:t>
      </w:r>
      <w:r w:rsidR="000A32DB" w:rsidRPr="000A32DB">
        <w:rPr>
          <w:lang w:val="el-GR"/>
        </w:rPr>
        <w:t xml:space="preserve">(Προσχέδιο Απόφασης </w:t>
      </w:r>
      <w:r w:rsidR="000A32DB" w:rsidRPr="00A46B47">
        <w:rPr>
          <w:b/>
          <w:bCs/>
          <w:lang w:val="el-GR"/>
        </w:rPr>
        <w:t>Παράρτημα</w:t>
      </w:r>
      <w:r w:rsidR="000A32DB" w:rsidRPr="007E3185">
        <w:rPr>
          <w:b/>
          <w:bCs/>
          <w:lang w:val="el-GR"/>
        </w:rPr>
        <w:t xml:space="preserve"> </w:t>
      </w:r>
      <w:r w:rsidR="007E3185">
        <w:rPr>
          <w:b/>
          <w:bCs/>
          <w:lang w:val="el-GR"/>
        </w:rPr>
        <w:t>Γ</w:t>
      </w:r>
      <w:r w:rsidR="000A32DB" w:rsidRPr="00A46B47">
        <w:rPr>
          <w:b/>
          <w:bCs/>
          <w:lang w:val="el-GR"/>
        </w:rPr>
        <w:t>)</w:t>
      </w:r>
      <w:r w:rsidR="00E51519" w:rsidRPr="00A46B47">
        <w:rPr>
          <w:b/>
          <w:bCs/>
          <w:iCs/>
          <w:lang w:val="el-GR"/>
        </w:rPr>
        <w:t>:</w:t>
      </w:r>
    </w:p>
    <w:p w14:paraId="26FF1673" w14:textId="59153D8C" w:rsidR="000A32DB" w:rsidRPr="000A32DB" w:rsidRDefault="000A32DB" w:rsidP="000A32DB">
      <w:pPr>
        <w:autoSpaceDE w:val="0"/>
        <w:autoSpaceDN w:val="0"/>
        <w:adjustRightInd w:val="0"/>
        <w:ind w:right="26"/>
        <w:jc w:val="both"/>
        <w:rPr>
          <w:iCs/>
          <w:lang w:val="el-GR"/>
        </w:rPr>
      </w:pPr>
    </w:p>
    <w:p w14:paraId="4DF4D49B" w14:textId="0E526C37" w:rsidR="000A32DB" w:rsidRPr="00603018" w:rsidRDefault="000A32DB" w:rsidP="000A32DB">
      <w:pPr>
        <w:autoSpaceDE w:val="0"/>
        <w:autoSpaceDN w:val="0"/>
        <w:adjustRightInd w:val="0"/>
        <w:jc w:val="both"/>
        <w:rPr>
          <w:lang w:val="el-GR"/>
        </w:rPr>
      </w:pPr>
      <w:r w:rsidRPr="00603018">
        <w:rPr>
          <w:lang w:val="el-GR"/>
        </w:rPr>
        <w:t xml:space="preserve">(α)  </w:t>
      </w:r>
      <w:r w:rsidRPr="00A5141D">
        <w:rPr>
          <w:iCs/>
          <w:lang w:val="el-GR"/>
        </w:rPr>
        <w:t>Ε</w:t>
      </w:r>
      <w:r>
        <w:rPr>
          <w:iCs/>
          <w:lang w:val="el-GR"/>
        </w:rPr>
        <w:t>νέκρινε</w:t>
      </w:r>
      <w:r w:rsidRPr="00A5141D">
        <w:rPr>
          <w:iCs/>
          <w:lang w:val="el-GR"/>
        </w:rPr>
        <w:t>, σύμφωνα με το άρθρο 10 των περί Προώθησης και Ενθάρρυνσης της Χρήσης των Ανανεώσιμων Πηγών Ενέργειας Νόμων του 2013 μέχρι 2018, τον Προϋπολογισμό του Ταμείου Ανανεώσιμων Πηγών Ενέργειας και Εξοικονόμησης Ενέργειας για το έτος 202</w:t>
      </w:r>
      <w:r>
        <w:rPr>
          <w:iCs/>
          <w:lang w:val="el-GR"/>
        </w:rPr>
        <w:t>2</w:t>
      </w:r>
      <w:r w:rsidRPr="00A5141D">
        <w:rPr>
          <w:iCs/>
          <w:lang w:val="el-GR"/>
        </w:rPr>
        <w:t>, αντίγραφο του οποίου επισυνάπτεται στην Πρόταση ως Παράρτημα Α, με την μορφή νομοσχεδίου,</w:t>
      </w:r>
    </w:p>
    <w:p w14:paraId="448D2928" w14:textId="3D813B81" w:rsidR="000A32DB" w:rsidRPr="00603018" w:rsidRDefault="000A32DB" w:rsidP="000A32DB">
      <w:pPr>
        <w:autoSpaceDE w:val="0"/>
        <w:autoSpaceDN w:val="0"/>
        <w:adjustRightInd w:val="0"/>
        <w:rPr>
          <w:lang w:val="el-GR"/>
        </w:rPr>
      </w:pPr>
    </w:p>
    <w:p w14:paraId="0EB3E0B1" w14:textId="1BB27BF7" w:rsidR="00A46B47" w:rsidRDefault="000A32DB" w:rsidP="000A32DB">
      <w:pPr>
        <w:spacing w:before="120" w:after="120" w:line="276" w:lineRule="auto"/>
        <w:jc w:val="both"/>
        <w:rPr>
          <w:lang w:val="el-GR"/>
        </w:rPr>
      </w:pPr>
      <w:r w:rsidRPr="00603018">
        <w:rPr>
          <w:lang w:val="el-GR"/>
        </w:rPr>
        <w:t>(β)  εξουσιοδότησε την Υπουργό Ενέργειας, Εμπορίου και Βιομηχανίας να καταθέσει το</w:t>
      </w:r>
      <w:r>
        <w:rPr>
          <w:lang w:val="el-GR"/>
        </w:rPr>
        <w:t>ν</w:t>
      </w:r>
      <w:r w:rsidRPr="00603018">
        <w:rPr>
          <w:lang w:val="el-GR"/>
        </w:rPr>
        <w:t xml:space="preserve"> εν λόγω </w:t>
      </w:r>
      <w:r>
        <w:rPr>
          <w:lang w:val="el-GR"/>
        </w:rPr>
        <w:t>Προϋπολογισμό</w:t>
      </w:r>
      <w:r w:rsidRPr="00603018">
        <w:rPr>
          <w:lang w:val="el-GR"/>
        </w:rPr>
        <w:t xml:space="preserve"> στη Βουλή των Αντιπροσώπων για ψήφισ</w:t>
      </w:r>
      <w:r w:rsidR="00104959">
        <w:rPr>
          <w:lang w:val="el-GR"/>
        </w:rPr>
        <w:t>η</w:t>
      </w:r>
      <w:r>
        <w:rPr>
          <w:lang w:val="el-GR"/>
        </w:rPr>
        <w:t>.</w:t>
      </w:r>
    </w:p>
    <w:p w14:paraId="5D3C25DE" w14:textId="11D2166F" w:rsidR="000A32DB" w:rsidRPr="000A32DB" w:rsidRDefault="000A32DB" w:rsidP="00A46B47">
      <w:pPr>
        <w:spacing w:before="120" w:after="120"/>
        <w:jc w:val="both"/>
        <w:rPr>
          <w:lang w:val="el-GR"/>
        </w:rPr>
      </w:pPr>
    </w:p>
    <w:p w14:paraId="6A844A5B" w14:textId="294A8561" w:rsidR="00A46B47" w:rsidRPr="000A32DB" w:rsidRDefault="000A32DB" w:rsidP="000A32DB">
      <w:pPr>
        <w:spacing w:before="120" w:after="120" w:line="276" w:lineRule="auto"/>
        <w:ind w:right="-1"/>
        <w:jc w:val="both"/>
        <w:rPr>
          <w:rFonts w:ascii="Tahoma" w:hAnsi="Tahoma" w:cs="Tahoma"/>
          <w:lang w:val="el-GR"/>
        </w:rPr>
      </w:pPr>
      <w:r w:rsidRPr="00603018">
        <w:rPr>
          <w:lang w:val="el-GR"/>
        </w:rPr>
        <w:t>7. Η Υπουργός Ενέργειας, Εμπορίου και Βιομηχανίας με την παρούσα Εισηγητική Έκθεση καλεί τη Βουλή των Αντιπροσώπων όπως ψηφίσει σε νόμο το συνημμένο νομοσχέδιο με τίτλο «</w:t>
      </w:r>
      <w:r w:rsidRPr="00603018">
        <w:rPr>
          <w:bCs/>
          <w:iCs/>
          <w:lang w:val="el-GR"/>
        </w:rPr>
        <w:t>Ο Περί του Προϋπολογισμού του Ταμείου Ανανεώσιμων Πηγών Ενέργειας και Εξοικονόμησης Ενέργειας για το Οικονομικό έτος που λήγει στις 31 Δεκεμβρίου 202</w:t>
      </w:r>
      <w:r>
        <w:rPr>
          <w:bCs/>
          <w:iCs/>
          <w:lang w:val="el-GR"/>
        </w:rPr>
        <w:t>2</w:t>
      </w:r>
      <w:r w:rsidRPr="00603018">
        <w:rPr>
          <w:lang w:val="el-GR"/>
        </w:rPr>
        <w:t xml:space="preserve">», που επισυνάπτεται στο Παράρτημα </w:t>
      </w:r>
      <w:r>
        <w:rPr>
          <w:lang w:val="el-GR"/>
        </w:rPr>
        <w:t xml:space="preserve">Α </w:t>
      </w:r>
      <w:r w:rsidRPr="00603018">
        <w:rPr>
          <w:lang w:val="el-GR"/>
        </w:rPr>
        <w:t>της Έκθεσης.</w:t>
      </w:r>
    </w:p>
    <w:p w14:paraId="02FA495C" w14:textId="77777777" w:rsidR="00A46B47" w:rsidRDefault="00A46B47" w:rsidP="00A46B47">
      <w:pPr>
        <w:spacing w:before="120" w:after="120" w:line="276" w:lineRule="auto"/>
        <w:ind w:right="-1"/>
        <w:jc w:val="both"/>
        <w:rPr>
          <w:iCs/>
          <w:lang w:val="el-GR"/>
        </w:rPr>
      </w:pPr>
    </w:p>
    <w:p w14:paraId="27C60253" w14:textId="5625925E" w:rsidR="00E51519" w:rsidRPr="00A46B47" w:rsidRDefault="00E51519" w:rsidP="005C1CC0">
      <w:pPr>
        <w:ind w:right="-1"/>
        <w:jc w:val="right"/>
        <w:rPr>
          <w:b/>
          <w:bCs/>
          <w:iCs/>
          <w:lang w:val="el-GR"/>
        </w:rPr>
      </w:pPr>
      <w:r w:rsidRPr="00A46B47">
        <w:rPr>
          <w:b/>
          <w:bCs/>
          <w:iCs/>
          <w:lang w:val="el-GR"/>
        </w:rPr>
        <w:t xml:space="preserve">ΥΠΟΥΡΓΕΙΟ ΕΝΕΡΓΕΙΑΣ, ΕΜΠΟΡΙΟΥ ΚΑΙ ΒΙΟΜΗΧΑΝΙΑΣ </w:t>
      </w:r>
    </w:p>
    <w:p w14:paraId="1237E7F6" w14:textId="2830A675" w:rsidR="00E51519" w:rsidRPr="00A46B47" w:rsidRDefault="00104959" w:rsidP="005C1CC0">
      <w:pPr>
        <w:jc w:val="right"/>
        <w:rPr>
          <w:b/>
          <w:bCs/>
          <w:lang w:val="el-GR"/>
        </w:rPr>
      </w:pPr>
      <w:r w:rsidRPr="00A46B47">
        <w:rPr>
          <w:b/>
          <w:bCs/>
          <w:iCs/>
          <w:lang w:val="el-GR"/>
        </w:rPr>
        <w:t>0</w:t>
      </w:r>
      <w:r>
        <w:rPr>
          <w:b/>
          <w:bCs/>
          <w:iCs/>
          <w:lang w:val="el-GR"/>
        </w:rPr>
        <w:t>8</w:t>
      </w:r>
      <w:r w:rsidRPr="00A46B47">
        <w:rPr>
          <w:b/>
          <w:bCs/>
          <w:iCs/>
          <w:lang w:val="el-GR"/>
        </w:rPr>
        <w:t xml:space="preserve"> </w:t>
      </w:r>
      <w:r w:rsidR="00B75E7E" w:rsidRPr="00A46B47">
        <w:rPr>
          <w:b/>
          <w:bCs/>
          <w:iCs/>
          <w:lang w:val="el-GR"/>
        </w:rPr>
        <w:t>Νοεμβρίου</w:t>
      </w:r>
      <w:r w:rsidR="00E51519" w:rsidRPr="00A46B47">
        <w:rPr>
          <w:b/>
          <w:bCs/>
          <w:iCs/>
          <w:lang w:val="el-GR"/>
        </w:rPr>
        <w:t xml:space="preserve"> 2021</w:t>
      </w:r>
    </w:p>
    <w:sectPr w:rsidR="00E51519" w:rsidRPr="00A46B47" w:rsidSect="00A46B47">
      <w:pgSz w:w="12240" w:h="15840"/>
      <w:pgMar w:top="1440" w:right="1797" w:bottom="119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FA9"/>
    <w:multiLevelType w:val="hybridMultilevel"/>
    <w:tmpl w:val="9FDE8846"/>
    <w:lvl w:ilvl="0" w:tplc="DBE2133C">
      <w:numFmt w:val="bullet"/>
      <w:lvlText w:val=""/>
      <w:lvlJc w:val="left"/>
      <w:pPr>
        <w:ind w:left="720" w:hanging="360"/>
      </w:pPr>
      <w:rPr>
        <w:rFonts w:ascii="Symbol" w:eastAsia="Times New Roman"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DC4B1D"/>
    <w:multiLevelType w:val="hybridMultilevel"/>
    <w:tmpl w:val="B3F2D9C4"/>
    <w:lvl w:ilvl="0" w:tplc="0408001B">
      <w:start w:val="1"/>
      <w:numFmt w:val="lowerRoman"/>
      <w:lvlText w:val="%1."/>
      <w:lvlJc w:val="right"/>
      <w:pPr>
        <w:ind w:left="502" w:hanging="360"/>
      </w:pPr>
    </w:lvl>
    <w:lvl w:ilvl="1" w:tplc="04080019" w:tentative="1">
      <w:start w:val="1"/>
      <w:numFmt w:val="lowerLetter"/>
      <w:lvlText w:val="%2."/>
      <w:lvlJc w:val="left"/>
      <w:pPr>
        <w:ind w:left="2722" w:hanging="360"/>
      </w:pPr>
    </w:lvl>
    <w:lvl w:ilvl="2" w:tplc="0408001B" w:tentative="1">
      <w:start w:val="1"/>
      <w:numFmt w:val="lowerRoman"/>
      <w:lvlText w:val="%3."/>
      <w:lvlJc w:val="right"/>
      <w:pPr>
        <w:ind w:left="3442" w:hanging="180"/>
      </w:pPr>
    </w:lvl>
    <w:lvl w:ilvl="3" w:tplc="0408000F" w:tentative="1">
      <w:start w:val="1"/>
      <w:numFmt w:val="decimal"/>
      <w:lvlText w:val="%4."/>
      <w:lvlJc w:val="left"/>
      <w:pPr>
        <w:ind w:left="4162" w:hanging="360"/>
      </w:pPr>
    </w:lvl>
    <w:lvl w:ilvl="4" w:tplc="04080019" w:tentative="1">
      <w:start w:val="1"/>
      <w:numFmt w:val="lowerLetter"/>
      <w:lvlText w:val="%5."/>
      <w:lvlJc w:val="left"/>
      <w:pPr>
        <w:ind w:left="4882" w:hanging="360"/>
      </w:pPr>
    </w:lvl>
    <w:lvl w:ilvl="5" w:tplc="0408001B" w:tentative="1">
      <w:start w:val="1"/>
      <w:numFmt w:val="lowerRoman"/>
      <w:lvlText w:val="%6."/>
      <w:lvlJc w:val="right"/>
      <w:pPr>
        <w:ind w:left="5602" w:hanging="180"/>
      </w:pPr>
    </w:lvl>
    <w:lvl w:ilvl="6" w:tplc="0408000F" w:tentative="1">
      <w:start w:val="1"/>
      <w:numFmt w:val="decimal"/>
      <w:lvlText w:val="%7."/>
      <w:lvlJc w:val="left"/>
      <w:pPr>
        <w:ind w:left="6322" w:hanging="360"/>
      </w:pPr>
    </w:lvl>
    <w:lvl w:ilvl="7" w:tplc="04080019" w:tentative="1">
      <w:start w:val="1"/>
      <w:numFmt w:val="lowerLetter"/>
      <w:lvlText w:val="%8."/>
      <w:lvlJc w:val="left"/>
      <w:pPr>
        <w:ind w:left="7042" w:hanging="360"/>
      </w:pPr>
    </w:lvl>
    <w:lvl w:ilvl="8" w:tplc="0408001B" w:tentative="1">
      <w:start w:val="1"/>
      <w:numFmt w:val="lowerRoman"/>
      <w:lvlText w:val="%9."/>
      <w:lvlJc w:val="right"/>
      <w:pPr>
        <w:ind w:left="7762" w:hanging="180"/>
      </w:pPr>
    </w:lvl>
  </w:abstractNum>
  <w:abstractNum w:abstractNumId="2" w15:restartNumberingAfterBreak="0">
    <w:nsid w:val="374A5E33"/>
    <w:multiLevelType w:val="hybridMultilevel"/>
    <w:tmpl w:val="B3F2D9C4"/>
    <w:lvl w:ilvl="0" w:tplc="0408001B">
      <w:start w:val="1"/>
      <w:numFmt w:val="lowerRoman"/>
      <w:lvlText w:val="%1."/>
      <w:lvlJc w:val="right"/>
      <w:pPr>
        <w:ind w:left="502" w:hanging="360"/>
      </w:pPr>
    </w:lvl>
    <w:lvl w:ilvl="1" w:tplc="04080019">
      <w:start w:val="1"/>
      <w:numFmt w:val="lowerLetter"/>
      <w:lvlText w:val="%2."/>
      <w:lvlJc w:val="left"/>
      <w:pPr>
        <w:ind w:left="2722" w:hanging="360"/>
      </w:pPr>
    </w:lvl>
    <w:lvl w:ilvl="2" w:tplc="0408001B" w:tentative="1">
      <w:start w:val="1"/>
      <w:numFmt w:val="lowerRoman"/>
      <w:lvlText w:val="%3."/>
      <w:lvlJc w:val="right"/>
      <w:pPr>
        <w:ind w:left="3442" w:hanging="180"/>
      </w:pPr>
    </w:lvl>
    <w:lvl w:ilvl="3" w:tplc="0408000F" w:tentative="1">
      <w:start w:val="1"/>
      <w:numFmt w:val="decimal"/>
      <w:lvlText w:val="%4."/>
      <w:lvlJc w:val="left"/>
      <w:pPr>
        <w:ind w:left="4162" w:hanging="360"/>
      </w:pPr>
    </w:lvl>
    <w:lvl w:ilvl="4" w:tplc="04080019" w:tentative="1">
      <w:start w:val="1"/>
      <w:numFmt w:val="lowerLetter"/>
      <w:lvlText w:val="%5."/>
      <w:lvlJc w:val="left"/>
      <w:pPr>
        <w:ind w:left="4882" w:hanging="360"/>
      </w:pPr>
    </w:lvl>
    <w:lvl w:ilvl="5" w:tplc="0408001B" w:tentative="1">
      <w:start w:val="1"/>
      <w:numFmt w:val="lowerRoman"/>
      <w:lvlText w:val="%6."/>
      <w:lvlJc w:val="right"/>
      <w:pPr>
        <w:ind w:left="5602" w:hanging="180"/>
      </w:pPr>
    </w:lvl>
    <w:lvl w:ilvl="6" w:tplc="0408000F" w:tentative="1">
      <w:start w:val="1"/>
      <w:numFmt w:val="decimal"/>
      <w:lvlText w:val="%7."/>
      <w:lvlJc w:val="left"/>
      <w:pPr>
        <w:ind w:left="6322" w:hanging="360"/>
      </w:pPr>
    </w:lvl>
    <w:lvl w:ilvl="7" w:tplc="04080019" w:tentative="1">
      <w:start w:val="1"/>
      <w:numFmt w:val="lowerLetter"/>
      <w:lvlText w:val="%8."/>
      <w:lvlJc w:val="left"/>
      <w:pPr>
        <w:ind w:left="7042" w:hanging="360"/>
      </w:pPr>
    </w:lvl>
    <w:lvl w:ilvl="8" w:tplc="0408001B" w:tentative="1">
      <w:start w:val="1"/>
      <w:numFmt w:val="lowerRoman"/>
      <w:lvlText w:val="%9."/>
      <w:lvlJc w:val="right"/>
      <w:pPr>
        <w:ind w:left="77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19"/>
    <w:rsid w:val="000A32DB"/>
    <w:rsid w:val="00104959"/>
    <w:rsid w:val="002D0D78"/>
    <w:rsid w:val="00304BDD"/>
    <w:rsid w:val="00470E23"/>
    <w:rsid w:val="00507942"/>
    <w:rsid w:val="005C1CC0"/>
    <w:rsid w:val="00713D9E"/>
    <w:rsid w:val="007633A4"/>
    <w:rsid w:val="007E3185"/>
    <w:rsid w:val="00800566"/>
    <w:rsid w:val="008A659F"/>
    <w:rsid w:val="008D22E7"/>
    <w:rsid w:val="00A46B47"/>
    <w:rsid w:val="00A95E36"/>
    <w:rsid w:val="00B75E7E"/>
    <w:rsid w:val="00C558F9"/>
    <w:rsid w:val="00E51519"/>
    <w:rsid w:val="00F2481B"/>
    <w:rsid w:val="00F3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DA06"/>
  <w15:chartTrackingRefBased/>
  <w15:docId w15:val="{50A03233-3911-4573-A2F6-A9C45B18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519"/>
    <w:pPr>
      <w:spacing w:after="0" w:line="240" w:lineRule="auto"/>
    </w:pPr>
    <w:rPr>
      <w:rFonts w:ascii="Arial" w:eastAsia="Times New Roman" w:hAnsi="Arial" w:cs="Arial"/>
      <w:sz w:val="24"/>
      <w:szCs w:val="24"/>
      <w:lang w:val="en-GB"/>
    </w:rPr>
  </w:style>
  <w:style w:type="paragraph" w:styleId="Heading2">
    <w:name w:val="heading 2"/>
    <w:basedOn w:val="Normal"/>
    <w:next w:val="Normal"/>
    <w:link w:val="Heading2Char"/>
    <w:qFormat/>
    <w:rsid w:val="00E51519"/>
    <w:pPr>
      <w:keepNext/>
      <w:spacing w:line="360" w:lineRule="auto"/>
      <w:jc w:val="both"/>
      <w:outlineLvl w:val="1"/>
    </w:pPr>
    <w:rPr>
      <w:rFonts w:cs="Times New Roman"/>
      <w:b/>
      <w:bCs/>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1519"/>
    <w:rPr>
      <w:rFonts w:ascii="Arial" w:eastAsia="Times New Roman" w:hAnsi="Arial" w:cs="Times New Roman"/>
      <w:b/>
      <w:bCs/>
      <w:sz w:val="24"/>
      <w:szCs w:val="20"/>
      <w:lang w:val="el-GR"/>
    </w:rPr>
  </w:style>
  <w:style w:type="paragraph" w:styleId="BodyText2">
    <w:name w:val="Body Text 2"/>
    <w:basedOn w:val="Normal"/>
    <w:link w:val="BodyText2Char"/>
    <w:rsid w:val="00E51519"/>
    <w:pPr>
      <w:spacing w:line="360" w:lineRule="auto"/>
      <w:jc w:val="center"/>
    </w:pPr>
    <w:rPr>
      <w:b/>
      <w:bCs/>
      <w:lang w:val="el-GR"/>
    </w:rPr>
  </w:style>
  <w:style w:type="character" w:customStyle="1" w:styleId="BodyText2Char">
    <w:name w:val="Body Text 2 Char"/>
    <w:basedOn w:val="DefaultParagraphFont"/>
    <w:link w:val="BodyText2"/>
    <w:rsid w:val="00E51519"/>
    <w:rPr>
      <w:rFonts w:ascii="Arial" w:eastAsia="Times New Roman" w:hAnsi="Arial" w:cs="Arial"/>
      <w:b/>
      <w:bCs/>
      <w:sz w:val="24"/>
      <w:szCs w:val="24"/>
      <w:lang w:val="el-GR"/>
    </w:rPr>
  </w:style>
  <w:style w:type="paragraph" w:styleId="ListParagraph">
    <w:name w:val="List Paragraph"/>
    <w:basedOn w:val="Normal"/>
    <w:uiPriority w:val="34"/>
    <w:qFormat/>
    <w:rsid w:val="00E51519"/>
    <w:pPr>
      <w:spacing w:after="200" w:line="276" w:lineRule="auto"/>
      <w:ind w:left="720"/>
    </w:pPr>
    <w:rPr>
      <w:rFonts w:ascii="Tahoma" w:hAnsi="Tahoma" w:cs="Tahoma"/>
      <w:lang w:val="en-US"/>
    </w:rPr>
  </w:style>
  <w:style w:type="character" w:styleId="CommentReference">
    <w:name w:val="annotation reference"/>
    <w:basedOn w:val="DefaultParagraphFont"/>
    <w:uiPriority w:val="99"/>
    <w:semiHidden/>
    <w:unhideWhenUsed/>
    <w:rsid w:val="00F368F9"/>
    <w:rPr>
      <w:sz w:val="16"/>
      <w:szCs w:val="16"/>
    </w:rPr>
  </w:style>
  <w:style w:type="paragraph" w:styleId="CommentText">
    <w:name w:val="annotation text"/>
    <w:basedOn w:val="Normal"/>
    <w:link w:val="CommentTextChar"/>
    <w:uiPriority w:val="99"/>
    <w:semiHidden/>
    <w:unhideWhenUsed/>
    <w:rsid w:val="00F368F9"/>
    <w:rPr>
      <w:sz w:val="20"/>
      <w:szCs w:val="20"/>
    </w:rPr>
  </w:style>
  <w:style w:type="character" w:customStyle="1" w:styleId="CommentTextChar">
    <w:name w:val="Comment Text Char"/>
    <w:basedOn w:val="DefaultParagraphFont"/>
    <w:link w:val="CommentText"/>
    <w:uiPriority w:val="99"/>
    <w:semiHidden/>
    <w:rsid w:val="00F368F9"/>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368F9"/>
    <w:rPr>
      <w:b/>
      <w:bCs/>
    </w:rPr>
  </w:style>
  <w:style w:type="character" w:customStyle="1" w:styleId="CommentSubjectChar">
    <w:name w:val="Comment Subject Char"/>
    <w:basedOn w:val="CommentTextChar"/>
    <w:link w:val="CommentSubject"/>
    <w:uiPriority w:val="99"/>
    <w:semiHidden/>
    <w:rsid w:val="00F368F9"/>
    <w:rPr>
      <w:rFonts w:ascii="Arial" w:eastAsia="Times New Roman" w:hAnsi="Arial" w:cs="Arial"/>
      <w:b/>
      <w:bCs/>
      <w:sz w:val="20"/>
      <w:szCs w:val="20"/>
      <w:lang w:val="en-GB"/>
    </w:rPr>
  </w:style>
  <w:style w:type="paragraph" w:styleId="BalloonText">
    <w:name w:val="Balloon Text"/>
    <w:basedOn w:val="Normal"/>
    <w:link w:val="BalloonTextChar"/>
    <w:uiPriority w:val="99"/>
    <w:semiHidden/>
    <w:unhideWhenUsed/>
    <w:rsid w:val="00F24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81B"/>
    <w:rPr>
      <w:rFonts w:ascii="Segoe UI" w:eastAsia="Times New Roman" w:hAnsi="Segoe UI" w:cs="Segoe UI"/>
      <w:sz w:val="18"/>
      <w:szCs w:val="18"/>
      <w:lang w:val="en-GB"/>
    </w:rPr>
  </w:style>
  <w:style w:type="paragraph" w:styleId="BodyTextIndent">
    <w:name w:val="Body Text Indent"/>
    <w:basedOn w:val="Normal"/>
    <w:link w:val="BodyTextIndentChar"/>
    <w:uiPriority w:val="99"/>
    <w:semiHidden/>
    <w:unhideWhenUsed/>
    <w:rsid w:val="000A32DB"/>
    <w:pPr>
      <w:spacing w:after="120"/>
      <w:ind w:left="283"/>
    </w:pPr>
  </w:style>
  <w:style w:type="character" w:customStyle="1" w:styleId="BodyTextIndentChar">
    <w:name w:val="Body Text Indent Char"/>
    <w:basedOn w:val="DefaultParagraphFont"/>
    <w:link w:val="BodyTextIndent"/>
    <w:uiPriority w:val="99"/>
    <w:semiHidden/>
    <w:rsid w:val="000A32DB"/>
    <w:rPr>
      <w:rFonts w:ascii="Arial" w:eastAsia="Times New Roman" w:hAnsi="Arial" w:cs="Arial"/>
      <w:sz w:val="24"/>
      <w:szCs w:val="24"/>
      <w:lang w:val="en-GB"/>
    </w:rPr>
  </w:style>
  <w:style w:type="paragraph" w:styleId="Revision">
    <w:name w:val="Revision"/>
    <w:hidden/>
    <w:uiPriority w:val="99"/>
    <w:semiHidden/>
    <w:rsid w:val="00A46B47"/>
    <w:pPr>
      <w:spacing w:after="0" w:line="240" w:lineRule="auto"/>
    </w:pPr>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Savvas Ioannou</dc:creator>
  <cp:keywords/>
  <dc:description/>
  <cp:lastModifiedBy>Savvas Ioannou</cp:lastModifiedBy>
  <cp:revision>2</cp:revision>
  <cp:lastPrinted>2021-11-08T11:16:00Z</cp:lastPrinted>
  <dcterms:created xsi:type="dcterms:W3CDTF">2021-11-08T11:16:00Z</dcterms:created>
  <dcterms:modified xsi:type="dcterms:W3CDTF">2021-11-08T11:16:00Z</dcterms:modified>
</cp:coreProperties>
</file>