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5673" w14:textId="537E64F3" w:rsidR="002D0057" w:rsidRPr="00A44E3F" w:rsidRDefault="009D2FC6" w:rsidP="00363BEF">
      <w:pPr>
        <w:tabs>
          <w:tab w:val="left" w:pos="567"/>
        </w:tabs>
        <w:spacing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A44E3F">
        <w:rPr>
          <w:rFonts w:ascii="Arial" w:hAnsi="Arial" w:cs="Arial"/>
          <w:bCs/>
          <w:sz w:val="24"/>
          <w:szCs w:val="24"/>
          <w:lang w:val="el-GR"/>
        </w:rPr>
        <w:t>ΝΟΜ</w:t>
      </w:r>
      <w:r w:rsidR="00CF6EDC" w:rsidRPr="00A44E3F">
        <w:rPr>
          <w:rFonts w:ascii="Arial" w:hAnsi="Arial" w:cs="Arial"/>
          <w:bCs/>
          <w:sz w:val="24"/>
          <w:szCs w:val="24"/>
          <w:lang w:val="el-GR"/>
        </w:rPr>
        <w:t>Ο</w:t>
      </w:r>
      <w:r w:rsidR="00A44E3F" w:rsidRPr="00A44E3F">
        <w:rPr>
          <w:rFonts w:ascii="Arial" w:hAnsi="Arial" w:cs="Arial"/>
          <w:bCs/>
          <w:sz w:val="24"/>
          <w:szCs w:val="24"/>
          <w:lang w:val="el-GR"/>
        </w:rPr>
        <w:t>Σ</w:t>
      </w:r>
      <w:r w:rsidR="00CF6EDC" w:rsidRPr="00A44E3F">
        <w:rPr>
          <w:rFonts w:ascii="Arial" w:hAnsi="Arial" w:cs="Arial"/>
          <w:bCs/>
          <w:sz w:val="24"/>
          <w:szCs w:val="24"/>
          <w:lang w:val="el-GR"/>
        </w:rPr>
        <w:t xml:space="preserve"> ΠΟΥ ΤΡΟΠΟΠΟΙΕΙ </w:t>
      </w:r>
      <w:r w:rsidR="007F295F" w:rsidRPr="00A44E3F">
        <w:rPr>
          <w:rFonts w:ascii="Arial" w:hAnsi="Arial" w:cs="Arial"/>
          <w:bCs/>
          <w:sz w:val="24"/>
          <w:szCs w:val="24"/>
          <w:lang w:val="el-GR"/>
        </w:rPr>
        <w:t>ΤΟ</w:t>
      </w:r>
      <w:r w:rsidR="00705692" w:rsidRPr="00A44E3F">
        <w:rPr>
          <w:rFonts w:ascii="Arial" w:hAnsi="Arial" w:cs="Arial"/>
          <w:bCs/>
          <w:sz w:val="24"/>
          <w:szCs w:val="24"/>
          <w:lang w:val="el-GR"/>
        </w:rPr>
        <w:t>ΥΣ</w:t>
      </w:r>
      <w:r w:rsidR="00CF6EDC" w:rsidRPr="00A44E3F">
        <w:rPr>
          <w:rFonts w:ascii="Arial" w:hAnsi="Arial" w:cs="Arial"/>
          <w:bCs/>
          <w:sz w:val="24"/>
          <w:szCs w:val="24"/>
          <w:lang w:val="el-GR"/>
        </w:rPr>
        <w:t xml:space="preserve"> ΠΕΡΙ </w:t>
      </w:r>
      <w:r w:rsidR="00B06961" w:rsidRPr="00A44E3F">
        <w:rPr>
          <w:rFonts w:ascii="Arial" w:hAnsi="Arial" w:cs="Arial"/>
          <w:bCs/>
          <w:sz w:val="24"/>
          <w:szCs w:val="24"/>
          <w:lang w:val="el-GR"/>
        </w:rPr>
        <w:t>ΒΕΒΑΙΩΣΕΩΣ ΚΑΙ ΕΙΣΠΡΑΞΕΩΣ ΦΟΡΩΝ</w:t>
      </w:r>
      <w:r w:rsidR="00B276B9" w:rsidRPr="00A44E3F">
        <w:rPr>
          <w:rFonts w:ascii="Arial" w:hAnsi="Arial" w:cs="Arial"/>
          <w:bCs/>
          <w:sz w:val="24"/>
          <w:szCs w:val="24"/>
          <w:lang w:val="el-GR"/>
        </w:rPr>
        <w:t xml:space="preserve"> ΝΟΜΟΥΣ ΤΟΥ </w:t>
      </w:r>
      <w:r w:rsidR="00B06961" w:rsidRPr="00A44E3F">
        <w:rPr>
          <w:rFonts w:ascii="Arial" w:hAnsi="Arial" w:cs="Arial"/>
          <w:bCs/>
          <w:sz w:val="24"/>
          <w:szCs w:val="24"/>
          <w:lang w:val="el-GR"/>
        </w:rPr>
        <w:t>197</w:t>
      </w:r>
      <w:r w:rsidR="00B276B9" w:rsidRPr="00A44E3F">
        <w:rPr>
          <w:rFonts w:ascii="Arial" w:hAnsi="Arial" w:cs="Arial"/>
          <w:bCs/>
          <w:sz w:val="24"/>
          <w:szCs w:val="24"/>
          <w:lang w:val="el-GR"/>
        </w:rPr>
        <w:t xml:space="preserve">8 </w:t>
      </w:r>
      <w:r w:rsidR="007D6178" w:rsidRPr="00A44E3F">
        <w:rPr>
          <w:rFonts w:ascii="Arial" w:hAnsi="Arial" w:cs="Arial"/>
          <w:bCs/>
          <w:sz w:val="24"/>
          <w:szCs w:val="24"/>
          <w:lang w:val="el-GR"/>
        </w:rPr>
        <w:t>ΕΩΣ</w:t>
      </w:r>
      <w:r w:rsidR="00B276B9" w:rsidRPr="00A44E3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6961" w:rsidRPr="00A44E3F">
        <w:rPr>
          <w:rFonts w:ascii="Arial" w:hAnsi="Arial" w:cs="Arial"/>
          <w:bCs/>
          <w:sz w:val="24"/>
          <w:szCs w:val="24"/>
          <w:lang w:val="el-GR"/>
        </w:rPr>
        <w:t>(ΑΡ. 3) ΤΟΥ 2021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2"/>
        <w:gridCol w:w="2932"/>
        <w:gridCol w:w="616"/>
        <w:gridCol w:w="4192"/>
      </w:tblGrid>
      <w:tr w:rsidR="00A44E3F" w:rsidRPr="009D103B" w14:paraId="7852231C" w14:textId="77777777" w:rsidTr="009D7A3B">
        <w:trPr>
          <w:trHeight w:val="397"/>
        </w:trPr>
        <w:tc>
          <w:tcPr>
            <w:tcW w:w="1119" w:type="pct"/>
          </w:tcPr>
          <w:p w14:paraId="4C2B1805" w14:textId="77777777" w:rsidR="00A44E3F" w:rsidRPr="00C13818" w:rsidRDefault="00A44E3F" w:rsidP="00CD7029">
            <w:pPr>
              <w:tabs>
                <w:tab w:val="left" w:pos="567"/>
              </w:tabs>
              <w:spacing w:after="0" w:line="360" w:lineRule="auto"/>
              <w:ind w:right="11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1" w:type="pct"/>
            <w:gridSpan w:val="3"/>
          </w:tcPr>
          <w:p w14:paraId="2C454418" w14:textId="09EDF92C" w:rsidR="00A44E3F" w:rsidRPr="00C13818" w:rsidRDefault="009D103B" w:rsidP="00A44E3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A44E3F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A44E3F" w:rsidRPr="009D103B" w14:paraId="35B953E0" w14:textId="77777777" w:rsidTr="009D7A3B">
        <w:trPr>
          <w:trHeight w:val="397"/>
        </w:trPr>
        <w:tc>
          <w:tcPr>
            <w:tcW w:w="1119" w:type="pct"/>
          </w:tcPr>
          <w:p w14:paraId="3332AA99" w14:textId="77777777" w:rsidR="00A44E3F" w:rsidRPr="00C13818" w:rsidRDefault="00A44E3F" w:rsidP="00CD7029">
            <w:pPr>
              <w:tabs>
                <w:tab w:val="left" w:pos="567"/>
              </w:tabs>
              <w:spacing w:after="0" w:line="360" w:lineRule="auto"/>
              <w:ind w:right="11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1" w:type="pct"/>
            <w:gridSpan w:val="3"/>
          </w:tcPr>
          <w:p w14:paraId="39C78154" w14:textId="77777777" w:rsidR="00A44E3F" w:rsidRPr="00C13818" w:rsidRDefault="00A44E3F" w:rsidP="00A44E3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A5278" w:rsidRPr="009D103B" w14:paraId="04F0EEDD" w14:textId="77777777" w:rsidTr="00CD7029">
        <w:trPr>
          <w:trHeight w:val="560"/>
        </w:trPr>
        <w:tc>
          <w:tcPr>
            <w:tcW w:w="1119" w:type="pct"/>
          </w:tcPr>
          <w:p w14:paraId="027C1414" w14:textId="77777777" w:rsidR="00CD7029" w:rsidRDefault="007A5278" w:rsidP="00CD7029">
            <w:pPr>
              <w:tabs>
                <w:tab w:val="left" w:pos="567"/>
              </w:tabs>
              <w:spacing w:after="0" w:line="360" w:lineRule="auto"/>
              <w:ind w:right="113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67AC405C" w14:textId="66450FCD" w:rsidR="007A5278" w:rsidRDefault="007A5278" w:rsidP="00CD7029">
            <w:pPr>
              <w:tabs>
                <w:tab w:val="left" w:pos="567"/>
              </w:tabs>
              <w:spacing w:after="0" w:line="360" w:lineRule="auto"/>
              <w:ind w:right="113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>τίτλος</w:t>
            </w:r>
            <w:r w:rsidRPr="0078098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3EAB11CC" w14:textId="5797D9D3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1978</w:t>
            </w:r>
          </w:p>
          <w:p w14:paraId="43D69EB8" w14:textId="3469AF65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1978</w:t>
            </w:r>
          </w:p>
          <w:p w14:paraId="1B93C9FE" w14:textId="55BF55AB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41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0FB8E440" w14:textId="3118FEA4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164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1987</w:t>
            </w:r>
          </w:p>
          <w:p w14:paraId="43192FF6" w14:textId="04AA8858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159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1988</w:t>
            </w:r>
          </w:p>
          <w:p w14:paraId="3851B97F" w14:textId="54C057DC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196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1989</w:t>
            </w:r>
          </w:p>
          <w:p w14:paraId="324621C4" w14:textId="3D113B22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1991</w:t>
            </w:r>
          </w:p>
          <w:p w14:paraId="478A33DE" w14:textId="47F504FE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57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1991</w:t>
            </w:r>
          </w:p>
          <w:p w14:paraId="1BF4B96C" w14:textId="6C9479B4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86(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1994</w:t>
            </w:r>
          </w:p>
          <w:p w14:paraId="167A1BAF" w14:textId="087C3D87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104(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1995</w:t>
            </w:r>
          </w:p>
          <w:p w14:paraId="6584CBEF" w14:textId="3E174577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80(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1999</w:t>
            </w:r>
          </w:p>
          <w:p w14:paraId="329074FB" w14:textId="0E28F26E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153(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1999</w:t>
            </w:r>
          </w:p>
          <w:p w14:paraId="6AE47CE6" w14:textId="53E92DAB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122(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2002</w:t>
            </w:r>
          </w:p>
          <w:p w14:paraId="5A987AD7" w14:textId="6B636F8B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146(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2004</w:t>
            </w:r>
          </w:p>
          <w:p w14:paraId="26AD6A8A" w14:textId="03991643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214(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2004</w:t>
            </w:r>
          </w:p>
          <w:p w14:paraId="65DD0134" w14:textId="1665A1A9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106(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2005</w:t>
            </w:r>
          </w:p>
          <w:p w14:paraId="6A841642" w14:textId="590F393E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135(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2005</w:t>
            </w:r>
          </w:p>
          <w:p w14:paraId="6856D12B" w14:textId="70048E3C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72(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2008</w:t>
            </w:r>
          </w:p>
          <w:p w14:paraId="65A34DBD" w14:textId="75BD9179" w:rsidR="00C84776" w:rsidRPr="00DF4A5E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>46(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DF4A5E">
              <w:rPr>
                <w:rFonts w:ascii="Arial" w:hAnsi="Arial" w:cs="Arial"/>
                <w:sz w:val="24"/>
                <w:szCs w:val="24"/>
                <w:lang w:val="el-GR"/>
              </w:rPr>
              <w:t xml:space="preserve"> 2009</w:t>
            </w:r>
          </w:p>
          <w:p w14:paraId="44EA33CF" w14:textId="29D0A3F4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136(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2010</w:t>
            </w:r>
          </w:p>
          <w:p w14:paraId="67D27878" w14:textId="48C28237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163(Ι)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2012</w:t>
            </w:r>
          </w:p>
          <w:p w14:paraId="10647F7E" w14:textId="49AA3137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197(Ι)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2012</w:t>
            </w:r>
          </w:p>
          <w:p w14:paraId="7A7BCDD3" w14:textId="380AB75B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198(Ι)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2012</w:t>
            </w:r>
          </w:p>
          <w:p w14:paraId="7A941BAC" w14:textId="35A4DE6A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91(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2013</w:t>
            </w:r>
          </w:p>
          <w:p w14:paraId="1EF697C9" w14:textId="5619D4EF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78(Ι)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2014</w:t>
            </w:r>
          </w:p>
          <w:p w14:paraId="7529CF0F" w14:textId="4CF7D3B5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79(Ι)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2014</w:t>
            </w:r>
          </w:p>
          <w:p w14:paraId="5FF978DE" w14:textId="393FE14C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108(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2015</w:t>
            </w:r>
          </w:p>
          <w:p w14:paraId="009ED7C3" w14:textId="0713C165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188(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2015</w:t>
            </w:r>
          </w:p>
          <w:p w14:paraId="68C7F1A9" w14:textId="36A644CE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37(Ι)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2016</w:t>
            </w:r>
          </w:p>
          <w:p w14:paraId="598EC579" w14:textId="5C1E4160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97(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2017</w:t>
            </w:r>
          </w:p>
          <w:p w14:paraId="553A9988" w14:textId="7045D279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44(</w:t>
            </w:r>
            <w:r w:rsidRPr="00C84776">
              <w:rPr>
                <w:rFonts w:ascii="Arial" w:hAnsi="Arial" w:cs="Arial"/>
                <w:sz w:val="24"/>
                <w:szCs w:val="24"/>
              </w:rPr>
              <w:t>I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2018</w:t>
            </w:r>
          </w:p>
          <w:p w14:paraId="4420E9CC" w14:textId="0FBEF6F0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50(I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3DB60675" w14:textId="2C1420B7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26(I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B229E0F" w14:textId="3A5DF535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77(I)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4A1659F9" w14:textId="02B759CB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126(I)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56868BF5" w14:textId="4698F9A8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62(I)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02B4226E" w14:textId="1B37E9EB" w:rsidR="00C84776" w:rsidRPr="00C84776" w:rsidRDefault="00C84776" w:rsidP="00CD7029">
            <w:pPr>
              <w:tabs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776">
              <w:rPr>
                <w:rFonts w:ascii="Arial" w:hAnsi="Arial" w:cs="Arial"/>
                <w:sz w:val="24"/>
                <w:szCs w:val="24"/>
              </w:rPr>
              <w:t>63(I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Pr="00C84776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3A0F8C07" w14:textId="03780F08" w:rsidR="007A5278" w:rsidRPr="00847604" w:rsidRDefault="00C84776" w:rsidP="00CD7029">
            <w:pPr>
              <w:tabs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64(I)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C84776">
              <w:rPr>
                <w:rFonts w:ascii="Arial" w:hAnsi="Arial" w:cs="Arial"/>
                <w:sz w:val="24"/>
                <w:szCs w:val="24"/>
                <w:lang w:val="el-GR"/>
              </w:rPr>
              <w:t>2021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881" w:type="pct"/>
            <w:gridSpan w:val="3"/>
          </w:tcPr>
          <w:p w14:paraId="017BC994" w14:textId="4AC00AE1" w:rsidR="007A5278" w:rsidRPr="007D08C6" w:rsidRDefault="007A5278" w:rsidP="007A2741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Ο παρών Νόμος θα αναφέρεται ως 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Βεβαιώσεως και Εισπράξεως Φόρων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(Τροποποιητικός)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>Νόμος του 20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0B60B7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τους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76B9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</w:t>
            </w:r>
            <w:r w:rsidR="00B06961" w:rsidRPr="00B06961">
              <w:rPr>
                <w:rFonts w:ascii="Arial" w:hAnsi="Arial" w:cs="Arial"/>
                <w:sz w:val="24"/>
                <w:szCs w:val="24"/>
                <w:lang w:val="el-GR"/>
              </w:rPr>
              <w:t xml:space="preserve">Βεβαιώσεως και Εισπράξεως Φόρων 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>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1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97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 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έως (</w:t>
            </w:r>
            <w:proofErr w:type="spellStart"/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. 3) του 2021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>(που στο εξής θα αναφέρ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οντα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>ι ως «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>βασικός νόμος») κ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αι ο βασικός νόμος και ο παρών Ν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όμος θα αναφέρονται μαζί ως οι </w:t>
            </w:r>
            <w:r w:rsidRPr="00B276B9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</w:t>
            </w:r>
            <w:r w:rsidR="00B06961" w:rsidRPr="00B06961">
              <w:rPr>
                <w:rFonts w:ascii="Arial" w:hAnsi="Arial" w:cs="Arial"/>
                <w:sz w:val="24"/>
                <w:szCs w:val="24"/>
                <w:lang w:val="el-GR"/>
              </w:rPr>
              <w:t xml:space="preserve">Βεβαιώσεως και Εισπράξεως Φόρων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Νόμοι</w:t>
            </w:r>
            <w:r w:rsidRPr="0009465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97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8 έως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202</w:t>
            </w:r>
            <w:r w:rsidR="000B60B7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C1381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7A5278" w:rsidRPr="009D103B" w14:paraId="4CDD4045" w14:textId="77777777" w:rsidTr="009D7A3B">
        <w:trPr>
          <w:trHeight w:val="397"/>
        </w:trPr>
        <w:tc>
          <w:tcPr>
            <w:tcW w:w="1119" w:type="pct"/>
          </w:tcPr>
          <w:p w14:paraId="2A083B53" w14:textId="77777777" w:rsidR="007A5278" w:rsidRPr="009D2FC6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70" w:type="pct"/>
          </w:tcPr>
          <w:p w14:paraId="576DB7C3" w14:textId="77777777" w:rsidR="007A5278" w:rsidRPr="009D2FC6" w:rsidRDefault="007A5278" w:rsidP="00285A2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411" w:type="pct"/>
            <w:gridSpan w:val="2"/>
          </w:tcPr>
          <w:p w14:paraId="18D8B67B" w14:textId="37B5E061" w:rsidR="007A5278" w:rsidRPr="009D2FC6" w:rsidRDefault="007A5278" w:rsidP="00285A2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A5278" w:rsidRPr="009D103B" w14:paraId="2A343D48" w14:textId="77777777" w:rsidTr="00CD7029">
        <w:trPr>
          <w:trHeight w:val="460"/>
        </w:trPr>
        <w:tc>
          <w:tcPr>
            <w:tcW w:w="1119" w:type="pct"/>
          </w:tcPr>
          <w:p w14:paraId="37387183" w14:textId="77777777" w:rsidR="00103035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7B04A146" w14:textId="49EC9CA7" w:rsidR="00664E80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</w:t>
            </w:r>
            <w:r w:rsidR="00B06961">
              <w:rPr>
                <w:rFonts w:ascii="Arial" w:hAnsi="Arial" w:cs="Arial"/>
                <w:sz w:val="24"/>
                <w:szCs w:val="24"/>
                <w:lang w:val="el-GR"/>
              </w:rPr>
              <w:t>50ΣΤ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9542DE4" w14:textId="7D7134D4" w:rsidR="00664E80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5EF7865F" w14:textId="50D1526E" w:rsidR="007A5278" w:rsidRPr="009D2FC6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81" w:type="pct"/>
            <w:gridSpan w:val="3"/>
          </w:tcPr>
          <w:p w14:paraId="435B8CC5" w14:textId="01A517C5" w:rsidR="007A5278" w:rsidRPr="00931766" w:rsidRDefault="007A5278" w:rsidP="00285A2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664E80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 </w:t>
            </w:r>
            <w:r w:rsidR="00664E80">
              <w:rPr>
                <w:rFonts w:ascii="Arial" w:hAnsi="Arial" w:cs="Arial"/>
                <w:sz w:val="24"/>
                <w:szCs w:val="24"/>
                <w:lang w:val="el-GR"/>
              </w:rPr>
              <w:t>50ΣΤ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με την </w:t>
            </w:r>
            <w:r w:rsidR="00664E80">
              <w:rPr>
                <w:rFonts w:ascii="Arial" w:hAnsi="Arial" w:cs="Arial"/>
                <w:sz w:val="24"/>
                <w:szCs w:val="24"/>
                <w:lang w:val="el-GR"/>
              </w:rPr>
              <w:t>αντικατάσταση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E35A1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 w:rsidR="008E35A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35198">
              <w:rPr>
                <w:rFonts w:ascii="Arial" w:hAnsi="Arial" w:cs="Arial"/>
                <w:sz w:val="24"/>
                <w:szCs w:val="24"/>
                <w:lang w:val="el-GR"/>
              </w:rPr>
              <w:t>εδ</w:t>
            </w:r>
            <w:r w:rsidR="007D6178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="008E35A1" w:rsidRPr="00C35198">
              <w:rPr>
                <w:rFonts w:ascii="Arial" w:hAnsi="Arial" w:cs="Arial"/>
                <w:sz w:val="24"/>
                <w:szCs w:val="24"/>
                <w:lang w:val="el-GR"/>
              </w:rPr>
              <w:t>φ</w:t>
            </w:r>
            <w:r w:rsidR="007D6178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8E35A1" w:rsidRPr="00C35198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C35198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="00664E80" w:rsidRPr="00C35198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C35198">
              <w:rPr>
                <w:rFonts w:ascii="Arial" w:hAnsi="Arial" w:cs="Arial"/>
                <w:sz w:val="24"/>
                <w:szCs w:val="24"/>
                <w:lang w:val="el-GR"/>
              </w:rPr>
              <w:t xml:space="preserve">) αυτού </w:t>
            </w:r>
            <w:r w:rsidR="00664E80" w:rsidRPr="00C35198">
              <w:rPr>
                <w:rFonts w:ascii="Arial" w:hAnsi="Arial" w:cs="Arial"/>
                <w:sz w:val="24"/>
                <w:szCs w:val="24"/>
                <w:lang w:val="el-GR"/>
              </w:rPr>
              <w:t>των λέξεων και του ποσού «δύο χιλιάδες ευρώ (€2.000)» (έκτη και έβδομη γραμμή)</w:t>
            </w:r>
            <w:r w:rsidR="009D103B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664E80" w:rsidRPr="00C35198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τις λέξεις και το ποσό «</w:t>
            </w:r>
            <w:r w:rsidR="00DF4A5E" w:rsidRPr="00C35198">
              <w:rPr>
                <w:rFonts w:ascii="Arial" w:hAnsi="Arial" w:cs="Arial"/>
                <w:sz w:val="24"/>
                <w:szCs w:val="24"/>
                <w:lang w:val="el-GR"/>
              </w:rPr>
              <w:t>τέσσερις</w:t>
            </w:r>
            <w:r w:rsidR="00664E80" w:rsidRPr="00C35198">
              <w:rPr>
                <w:rFonts w:ascii="Arial" w:hAnsi="Arial" w:cs="Arial"/>
                <w:sz w:val="24"/>
                <w:szCs w:val="24"/>
                <w:lang w:val="el-GR"/>
              </w:rPr>
              <w:t xml:space="preserve"> χιλιάδες ευρώ (€</w:t>
            </w:r>
            <w:r w:rsidR="00DF4A5E" w:rsidRPr="00C35198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664E80" w:rsidRPr="00C35198">
              <w:rPr>
                <w:rFonts w:ascii="Arial" w:hAnsi="Arial" w:cs="Arial"/>
                <w:sz w:val="24"/>
                <w:szCs w:val="24"/>
                <w:lang w:val="el-GR"/>
              </w:rPr>
              <w:t>.000)»</w:t>
            </w:r>
            <w:r w:rsidR="0085265B" w:rsidRPr="00C35198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7A5278" w:rsidRPr="009D103B" w14:paraId="1F94AED5" w14:textId="77777777" w:rsidTr="009D7A3B">
        <w:trPr>
          <w:trHeight w:val="397"/>
        </w:trPr>
        <w:tc>
          <w:tcPr>
            <w:tcW w:w="1119" w:type="pct"/>
          </w:tcPr>
          <w:p w14:paraId="311FB339" w14:textId="77777777" w:rsidR="007A5278" w:rsidRDefault="007A5278" w:rsidP="00285A2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70" w:type="pct"/>
          </w:tcPr>
          <w:p w14:paraId="0E0E9550" w14:textId="77777777" w:rsidR="007A5278" w:rsidRDefault="007A5278" w:rsidP="00285A2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9" w:type="pct"/>
          </w:tcPr>
          <w:p w14:paraId="282B50CC" w14:textId="13325C60" w:rsidR="007A5278" w:rsidRDefault="007A5278" w:rsidP="00285A2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02" w:type="pct"/>
          </w:tcPr>
          <w:p w14:paraId="20C779B4" w14:textId="4752EB9A" w:rsidR="007A5278" w:rsidRDefault="007A5278" w:rsidP="00CC3CD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BD118CA" w14:textId="77777777" w:rsidR="00F46E81" w:rsidRDefault="00F46E81" w:rsidP="00285A23">
      <w:pPr>
        <w:tabs>
          <w:tab w:val="left" w:pos="567"/>
        </w:tabs>
        <w:rPr>
          <w:rFonts w:ascii="Arial" w:hAnsi="Arial" w:cs="Arial"/>
          <w:sz w:val="24"/>
          <w:szCs w:val="24"/>
          <w:lang w:val="el-GR"/>
        </w:rPr>
      </w:pPr>
    </w:p>
    <w:p w14:paraId="1BB3D49C" w14:textId="221D2889" w:rsidR="00F46E81" w:rsidRDefault="00F01E21" w:rsidP="00285A23">
      <w:pPr>
        <w:tabs>
          <w:tab w:val="left" w:pos="567"/>
        </w:tabs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>.:</w:t>
      </w:r>
      <w:r w:rsidR="00AC737C">
        <w:rPr>
          <w:rFonts w:ascii="Arial" w:hAnsi="Arial" w:cs="Arial"/>
          <w:sz w:val="24"/>
          <w:szCs w:val="24"/>
          <w:lang w:val="el-GR"/>
        </w:rPr>
        <w:t xml:space="preserve"> </w:t>
      </w:r>
      <w:r w:rsidR="007D6178">
        <w:rPr>
          <w:rFonts w:ascii="Arial" w:hAnsi="Arial" w:cs="Arial"/>
          <w:sz w:val="24"/>
          <w:szCs w:val="24"/>
          <w:lang w:val="el-GR"/>
        </w:rPr>
        <w:t>23.02.062.196-2021</w:t>
      </w:r>
    </w:p>
    <w:p w14:paraId="5CF02256" w14:textId="3FE9486A" w:rsidR="00F46E81" w:rsidRPr="00197DC4" w:rsidRDefault="00497C3A" w:rsidP="00285A23">
      <w:pPr>
        <w:tabs>
          <w:tab w:val="left" w:pos="56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ΧΑ</w:t>
      </w:r>
      <w:r w:rsidR="00197DC4">
        <w:rPr>
          <w:rFonts w:ascii="Arial" w:hAnsi="Arial" w:cs="Arial"/>
          <w:sz w:val="24"/>
          <w:szCs w:val="24"/>
          <w:lang w:val="el-GR"/>
        </w:rPr>
        <w:t>/</w:t>
      </w:r>
      <w:r w:rsidR="007D6178">
        <w:rPr>
          <w:rFonts w:ascii="Arial" w:hAnsi="Arial" w:cs="Arial"/>
          <w:sz w:val="24"/>
          <w:szCs w:val="24"/>
          <w:lang w:val="el-GR"/>
        </w:rPr>
        <w:t>ΡΠ/</w:t>
      </w:r>
      <w:proofErr w:type="spellStart"/>
      <w:r w:rsidR="00197DC4">
        <w:rPr>
          <w:rFonts w:ascii="Arial" w:hAnsi="Arial" w:cs="Arial"/>
          <w:sz w:val="24"/>
          <w:szCs w:val="24"/>
          <w:lang w:val="el-GR"/>
        </w:rPr>
        <w:t>Ελ.Π</w:t>
      </w:r>
      <w:proofErr w:type="spellEnd"/>
    </w:p>
    <w:p w14:paraId="77DC1D90" w14:textId="56A4DE06" w:rsidR="009772AA" w:rsidRPr="003234E5" w:rsidRDefault="009772AA" w:rsidP="003234E5">
      <w:pPr>
        <w:tabs>
          <w:tab w:val="left" w:pos="567"/>
        </w:tabs>
        <w:spacing w:after="0" w:line="360" w:lineRule="auto"/>
        <w:rPr>
          <w:rFonts w:ascii="Arial" w:hAnsi="Arial" w:cs="Arial"/>
          <w:sz w:val="12"/>
          <w:szCs w:val="12"/>
          <w:lang w:val="el-GR"/>
        </w:rPr>
      </w:pPr>
    </w:p>
    <w:sectPr w:rsidR="009772AA" w:rsidRPr="003234E5" w:rsidSect="00CD7029">
      <w:headerReference w:type="defaul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8268" w14:textId="77777777" w:rsidR="00746C07" w:rsidRDefault="00746C07" w:rsidP="00AA6952">
      <w:pPr>
        <w:spacing w:after="0" w:line="240" w:lineRule="auto"/>
      </w:pPr>
      <w:r>
        <w:separator/>
      </w:r>
    </w:p>
  </w:endnote>
  <w:endnote w:type="continuationSeparator" w:id="0">
    <w:p w14:paraId="63117C77" w14:textId="77777777" w:rsidR="00746C07" w:rsidRDefault="00746C07" w:rsidP="00A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909C" w14:textId="77777777" w:rsidR="00746C07" w:rsidRDefault="00746C07" w:rsidP="00AA6952">
      <w:pPr>
        <w:spacing w:after="0" w:line="240" w:lineRule="auto"/>
      </w:pPr>
      <w:r>
        <w:separator/>
      </w:r>
    </w:p>
  </w:footnote>
  <w:footnote w:type="continuationSeparator" w:id="0">
    <w:p w14:paraId="433EC1C0" w14:textId="77777777" w:rsidR="00746C07" w:rsidRDefault="00746C07" w:rsidP="00AA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31962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AD2574" w14:textId="4D5FE3CD" w:rsidR="00AA6952" w:rsidRPr="00AA6952" w:rsidRDefault="00AA695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A6952">
          <w:rPr>
            <w:rFonts w:ascii="Arial" w:hAnsi="Arial" w:cs="Arial"/>
            <w:sz w:val="24"/>
            <w:szCs w:val="24"/>
          </w:rPr>
          <w:fldChar w:fldCharType="begin"/>
        </w:r>
        <w:r w:rsidRPr="00AA695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6952">
          <w:rPr>
            <w:rFonts w:ascii="Arial" w:hAnsi="Arial" w:cs="Arial"/>
            <w:sz w:val="24"/>
            <w:szCs w:val="24"/>
          </w:rPr>
          <w:fldChar w:fldCharType="separate"/>
        </w:r>
        <w:r w:rsidRPr="00AA6952">
          <w:rPr>
            <w:rFonts w:ascii="Arial" w:hAnsi="Arial" w:cs="Arial"/>
            <w:noProof/>
            <w:sz w:val="24"/>
            <w:szCs w:val="24"/>
          </w:rPr>
          <w:t>2</w:t>
        </w:r>
        <w:r w:rsidRPr="00AA695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A6F9B7" w14:textId="77777777" w:rsidR="00AA6952" w:rsidRDefault="00AA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155"/>
    <w:multiLevelType w:val="hybridMultilevel"/>
    <w:tmpl w:val="A2BC99FC"/>
    <w:lvl w:ilvl="0" w:tplc="F1EA36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CB5"/>
    <w:multiLevelType w:val="hybridMultilevel"/>
    <w:tmpl w:val="47E4583C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3E9"/>
    <w:multiLevelType w:val="hybridMultilevel"/>
    <w:tmpl w:val="4CD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0B30"/>
    <w:multiLevelType w:val="hybridMultilevel"/>
    <w:tmpl w:val="8416D4C4"/>
    <w:lvl w:ilvl="0" w:tplc="A0CE7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ABF"/>
    <w:multiLevelType w:val="hybridMultilevel"/>
    <w:tmpl w:val="F73EB516"/>
    <w:lvl w:ilvl="0" w:tplc="5818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61147"/>
    <w:multiLevelType w:val="hybridMultilevel"/>
    <w:tmpl w:val="0F5A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6"/>
    <w:rsid w:val="0003213F"/>
    <w:rsid w:val="00053F61"/>
    <w:rsid w:val="0005729C"/>
    <w:rsid w:val="00063B63"/>
    <w:rsid w:val="000727C5"/>
    <w:rsid w:val="00094655"/>
    <w:rsid w:val="000A2CC9"/>
    <w:rsid w:val="000A5A97"/>
    <w:rsid w:val="000A67FB"/>
    <w:rsid w:val="000B60B7"/>
    <w:rsid w:val="000C01E0"/>
    <w:rsid w:val="000C5F76"/>
    <w:rsid w:val="000F1F21"/>
    <w:rsid w:val="000F670F"/>
    <w:rsid w:val="00100C25"/>
    <w:rsid w:val="00103035"/>
    <w:rsid w:val="00114F68"/>
    <w:rsid w:val="00121AF7"/>
    <w:rsid w:val="00151F7E"/>
    <w:rsid w:val="0016417F"/>
    <w:rsid w:val="001701D8"/>
    <w:rsid w:val="00184432"/>
    <w:rsid w:val="00197DC4"/>
    <w:rsid w:val="001B1868"/>
    <w:rsid w:val="001C00C6"/>
    <w:rsid w:val="001D5653"/>
    <w:rsid w:val="002003D3"/>
    <w:rsid w:val="002148B9"/>
    <w:rsid w:val="00222EC9"/>
    <w:rsid w:val="00234D91"/>
    <w:rsid w:val="002465C8"/>
    <w:rsid w:val="002518E2"/>
    <w:rsid w:val="00253409"/>
    <w:rsid w:val="00274406"/>
    <w:rsid w:val="00282182"/>
    <w:rsid w:val="00285A23"/>
    <w:rsid w:val="00293055"/>
    <w:rsid w:val="002A0A10"/>
    <w:rsid w:val="002D0057"/>
    <w:rsid w:val="002E4797"/>
    <w:rsid w:val="00302C2E"/>
    <w:rsid w:val="00304D16"/>
    <w:rsid w:val="003234E5"/>
    <w:rsid w:val="00324CA7"/>
    <w:rsid w:val="00325067"/>
    <w:rsid w:val="0033408F"/>
    <w:rsid w:val="00334CEE"/>
    <w:rsid w:val="003523EF"/>
    <w:rsid w:val="00363BEF"/>
    <w:rsid w:val="003752E4"/>
    <w:rsid w:val="003A274F"/>
    <w:rsid w:val="003A3170"/>
    <w:rsid w:val="003B66D3"/>
    <w:rsid w:val="003C6801"/>
    <w:rsid w:val="003D364B"/>
    <w:rsid w:val="003F082E"/>
    <w:rsid w:val="003F7184"/>
    <w:rsid w:val="00404BE7"/>
    <w:rsid w:val="00415F90"/>
    <w:rsid w:val="00422748"/>
    <w:rsid w:val="00431137"/>
    <w:rsid w:val="0046224F"/>
    <w:rsid w:val="00495289"/>
    <w:rsid w:val="00497C3A"/>
    <w:rsid w:val="004A2EA0"/>
    <w:rsid w:val="004A6C2F"/>
    <w:rsid w:val="004B166E"/>
    <w:rsid w:val="004C1FCE"/>
    <w:rsid w:val="004D1010"/>
    <w:rsid w:val="004E0E13"/>
    <w:rsid w:val="00503099"/>
    <w:rsid w:val="00521516"/>
    <w:rsid w:val="00540F8C"/>
    <w:rsid w:val="00571201"/>
    <w:rsid w:val="0058293C"/>
    <w:rsid w:val="0059001A"/>
    <w:rsid w:val="005A62A3"/>
    <w:rsid w:val="005C4BBB"/>
    <w:rsid w:val="005E0186"/>
    <w:rsid w:val="005E4387"/>
    <w:rsid w:val="005F0056"/>
    <w:rsid w:val="0061335C"/>
    <w:rsid w:val="00615D71"/>
    <w:rsid w:val="00630455"/>
    <w:rsid w:val="00641188"/>
    <w:rsid w:val="0065076D"/>
    <w:rsid w:val="0065646D"/>
    <w:rsid w:val="006606F8"/>
    <w:rsid w:val="00664E80"/>
    <w:rsid w:val="00672761"/>
    <w:rsid w:val="006812B1"/>
    <w:rsid w:val="00683DE3"/>
    <w:rsid w:val="006941AD"/>
    <w:rsid w:val="006B7C9E"/>
    <w:rsid w:val="006D0BA7"/>
    <w:rsid w:val="006D17A2"/>
    <w:rsid w:val="006D6697"/>
    <w:rsid w:val="007014A7"/>
    <w:rsid w:val="00702467"/>
    <w:rsid w:val="007055EF"/>
    <w:rsid w:val="00705692"/>
    <w:rsid w:val="00725DB0"/>
    <w:rsid w:val="007409B2"/>
    <w:rsid w:val="00746C07"/>
    <w:rsid w:val="00754EA9"/>
    <w:rsid w:val="00774973"/>
    <w:rsid w:val="00780981"/>
    <w:rsid w:val="00783500"/>
    <w:rsid w:val="00792623"/>
    <w:rsid w:val="00793E79"/>
    <w:rsid w:val="007A2741"/>
    <w:rsid w:val="007A5278"/>
    <w:rsid w:val="007B2668"/>
    <w:rsid w:val="007C31E4"/>
    <w:rsid w:val="007D08C6"/>
    <w:rsid w:val="007D6178"/>
    <w:rsid w:val="007E21BA"/>
    <w:rsid w:val="007F295F"/>
    <w:rsid w:val="0080129C"/>
    <w:rsid w:val="00824D52"/>
    <w:rsid w:val="0083336F"/>
    <w:rsid w:val="00847604"/>
    <w:rsid w:val="0085265B"/>
    <w:rsid w:val="00863027"/>
    <w:rsid w:val="0086321E"/>
    <w:rsid w:val="00873549"/>
    <w:rsid w:val="008909CA"/>
    <w:rsid w:val="00894D11"/>
    <w:rsid w:val="008A4F21"/>
    <w:rsid w:val="008A79AB"/>
    <w:rsid w:val="008C4B32"/>
    <w:rsid w:val="008E35A1"/>
    <w:rsid w:val="008E5AE4"/>
    <w:rsid w:val="00911543"/>
    <w:rsid w:val="009218A8"/>
    <w:rsid w:val="00926179"/>
    <w:rsid w:val="009308F6"/>
    <w:rsid w:val="00931766"/>
    <w:rsid w:val="00934F16"/>
    <w:rsid w:val="00937C79"/>
    <w:rsid w:val="009537A2"/>
    <w:rsid w:val="00966AFF"/>
    <w:rsid w:val="009772AA"/>
    <w:rsid w:val="00992543"/>
    <w:rsid w:val="009A322D"/>
    <w:rsid w:val="009B5FBA"/>
    <w:rsid w:val="009C77AE"/>
    <w:rsid w:val="009C7BDD"/>
    <w:rsid w:val="009D103B"/>
    <w:rsid w:val="009D2FC6"/>
    <w:rsid w:val="009D7A3B"/>
    <w:rsid w:val="00A07872"/>
    <w:rsid w:val="00A07BE6"/>
    <w:rsid w:val="00A1042F"/>
    <w:rsid w:val="00A2427A"/>
    <w:rsid w:val="00A26085"/>
    <w:rsid w:val="00A3642B"/>
    <w:rsid w:val="00A44E3F"/>
    <w:rsid w:val="00A72962"/>
    <w:rsid w:val="00A81B2A"/>
    <w:rsid w:val="00A83F31"/>
    <w:rsid w:val="00A91381"/>
    <w:rsid w:val="00A92978"/>
    <w:rsid w:val="00A954B7"/>
    <w:rsid w:val="00A96940"/>
    <w:rsid w:val="00AA6952"/>
    <w:rsid w:val="00AC16AF"/>
    <w:rsid w:val="00AC737C"/>
    <w:rsid w:val="00AD2EC3"/>
    <w:rsid w:val="00AD3395"/>
    <w:rsid w:val="00AD745D"/>
    <w:rsid w:val="00AE064F"/>
    <w:rsid w:val="00AE4063"/>
    <w:rsid w:val="00AF351A"/>
    <w:rsid w:val="00B02121"/>
    <w:rsid w:val="00B027A3"/>
    <w:rsid w:val="00B03452"/>
    <w:rsid w:val="00B03C95"/>
    <w:rsid w:val="00B06961"/>
    <w:rsid w:val="00B0736C"/>
    <w:rsid w:val="00B276B9"/>
    <w:rsid w:val="00B67631"/>
    <w:rsid w:val="00B716BB"/>
    <w:rsid w:val="00B720A9"/>
    <w:rsid w:val="00B72B4E"/>
    <w:rsid w:val="00B9160A"/>
    <w:rsid w:val="00B97D3F"/>
    <w:rsid w:val="00BA52F2"/>
    <w:rsid w:val="00BB12A4"/>
    <w:rsid w:val="00BB4999"/>
    <w:rsid w:val="00BC27A5"/>
    <w:rsid w:val="00C1055B"/>
    <w:rsid w:val="00C13818"/>
    <w:rsid w:val="00C3006D"/>
    <w:rsid w:val="00C35198"/>
    <w:rsid w:val="00C4171F"/>
    <w:rsid w:val="00C4376C"/>
    <w:rsid w:val="00C53DE5"/>
    <w:rsid w:val="00C74FA0"/>
    <w:rsid w:val="00C77A9F"/>
    <w:rsid w:val="00C84776"/>
    <w:rsid w:val="00C87F3B"/>
    <w:rsid w:val="00C923D9"/>
    <w:rsid w:val="00C938C0"/>
    <w:rsid w:val="00CC3CD9"/>
    <w:rsid w:val="00CD47DD"/>
    <w:rsid w:val="00CD6650"/>
    <w:rsid w:val="00CD7029"/>
    <w:rsid w:val="00CE60FC"/>
    <w:rsid w:val="00CF4B68"/>
    <w:rsid w:val="00CF6CC2"/>
    <w:rsid w:val="00CF6EDC"/>
    <w:rsid w:val="00D330B2"/>
    <w:rsid w:val="00D63285"/>
    <w:rsid w:val="00D63A09"/>
    <w:rsid w:val="00D663A2"/>
    <w:rsid w:val="00D73A7C"/>
    <w:rsid w:val="00D81995"/>
    <w:rsid w:val="00D81AF6"/>
    <w:rsid w:val="00D83DDC"/>
    <w:rsid w:val="00D8594F"/>
    <w:rsid w:val="00D87B8E"/>
    <w:rsid w:val="00D96396"/>
    <w:rsid w:val="00DC568D"/>
    <w:rsid w:val="00DE7BC6"/>
    <w:rsid w:val="00DF4A5E"/>
    <w:rsid w:val="00DF7535"/>
    <w:rsid w:val="00E02DC2"/>
    <w:rsid w:val="00E665DB"/>
    <w:rsid w:val="00E7720B"/>
    <w:rsid w:val="00E913BE"/>
    <w:rsid w:val="00EA52AC"/>
    <w:rsid w:val="00ED5184"/>
    <w:rsid w:val="00EF36E9"/>
    <w:rsid w:val="00EF4933"/>
    <w:rsid w:val="00F01E21"/>
    <w:rsid w:val="00F033F7"/>
    <w:rsid w:val="00F1201D"/>
    <w:rsid w:val="00F13A93"/>
    <w:rsid w:val="00F3280C"/>
    <w:rsid w:val="00F35DA2"/>
    <w:rsid w:val="00F368AF"/>
    <w:rsid w:val="00F46E81"/>
    <w:rsid w:val="00F63D0D"/>
    <w:rsid w:val="00F764A8"/>
    <w:rsid w:val="00F92446"/>
    <w:rsid w:val="00FB0C49"/>
    <w:rsid w:val="00FC5A49"/>
    <w:rsid w:val="00FD2B5A"/>
    <w:rsid w:val="00FD5E93"/>
    <w:rsid w:val="00FE391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DF5B"/>
  <w15:chartTrackingRefBased/>
  <w15:docId w15:val="{4235E45B-085E-4003-95BF-BAF2CAA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4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5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6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5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Chryso Antoniou</cp:lastModifiedBy>
  <cp:revision>74</cp:revision>
  <cp:lastPrinted>2017-09-26T12:16:00Z</cp:lastPrinted>
  <dcterms:created xsi:type="dcterms:W3CDTF">2021-10-18T08:33:00Z</dcterms:created>
  <dcterms:modified xsi:type="dcterms:W3CDTF">2022-02-01T17:47:00Z</dcterms:modified>
</cp:coreProperties>
</file>