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AD94" w14:textId="3811DB05" w:rsidR="00AB2F83" w:rsidRPr="0086544B" w:rsidRDefault="00AB2F83" w:rsidP="00435221">
      <w:pPr>
        <w:tabs>
          <w:tab w:val="left" w:pos="567"/>
          <w:tab w:val="left" w:pos="4961"/>
        </w:tabs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Οικονομικών και Προϋπολογισμού για το νομοσχέδιο «Ο περί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Προϋπολογισμού του </w:t>
      </w:r>
      <w:r w:rsidR="001E1DE4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Κυπριακού </w:t>
      </w: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>Οργανισμού Αγροτικών Πληρωμών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2C2C36" w:rsidRPr="002C2C36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Νόμος του 20</w:t>
      </w:r>
      <w:r w:rsidR="00F63271">
        <w:rPr>
          <w:rFonts w:ascii="Arial" w:eastAsia="Times New Roman" w:hAnsi="Arial" w:cs="Arial"/>
          <w:b/>
          <w:bCs/>
          <w:sz w:val="24"/>
          <w:szCs w:val="24"/>
          <w:lang w:val="el-GR"/>
        </w:rPr>
        <w:t>2</w:t>
      </w:r>
      <w:r w:rsidR="002C2C36" w:rsidRPr="002C2C36">
        <w:rPr>
          <w:rFonts w:ascii="Arial" w:eastAsia="Times New Roman" w:hAnsi="Arial" w:cs="Arial"/>
          <w:b/>
          <w:bCs/>
          <w:sz w:val="24"/>
          <w:szCs w:val="24"/>
          <w:lang w:val="el-GR"/>
        </w:rPr>
        <w:t>1</w:t>
      </w: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>»</w:t>
      </w:r>
    </w:p>
    <w:p w14:paraId="770BC3E7" w14:textId="77777777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C35056"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Παρόντες:</w:t>
      </w:r>
    </w:p>
    <w:p w14:paraId="19677D84" w14:textId="459F3152" w:rsidR="00AB2F83" w:rsidRPr="00C71F86" w:rsidRDefault="00AB2F83" w:rsidP="00435221">
      <w:pPr>
        <w:tabs>
          <w:tab w:val="left" w:pos="567"/>
          <w:tab w:val="left" w:pos="5103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>Χριστιάνα Ερωτοκρίτου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, πρόεδρος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Χρίστος Χριστοφίδης</w:t>
      </w:r>
    </w:p>
    <w:p w14:paraId="3246E986" w14:textId="6AEDB86F" w:rsidR="00AB2F83" w:rsidRPr="00AB2F83" w:rsidRDefault="00AB2F83" w:rsidP="00435221">
      <w:pPr>
        <w:tabs>
          <w:tab w:val="left" w:pos="567"/>
          <w:tab w:val="left" w:pos="5103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Χρύσης Παντελίδης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Σωτήρης Ιωάννου</w:t>
      </w:r>
    </w:p>
    <w:p w14:paraId="657998D6" w14:textId="0EE78E43" w:rsidR="00F41706" w:rsidRPr="00F41706" w:rsidRDefault="00AB2F83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Χάρης Γεωργιάδης</w:t>
      </w:r>
      <w:r w:rsidR="00F41706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Ηλίας Μυριάνθους</w:t>
      </w:r>
    </w:p>
    <w:p w14:paraId="04E93DCF" w14:textId="3CC966AC" w:rsidR="00AB2F83" w:rsidRPr="00065DA0" w:rsidRDefault="00F41706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Ονούφριος Κουλλά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Αλέκος Τρυφωνίδης</w:t>
      </w:r>
    </w:p>
    <w:p w14:paraId="6217CA07" w14:textId="1574A124" w:rsidR="00065DA0" w:rsidRPr="004A076A" w:rsidRDefault="00065DA0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Σάβια Ορφανίδου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 w:rsidRPr="001E1DE4">
        <w:rPr>
          <w:rFonts w:ascii="Arial" w:eastAsia="Times New Roman" w:hAnsi="Arial" w:cs="Arial"/>
          <w:b/>
          <w:sz w:val="24"/>
          <w:szCs w:val="24"/>
          <w:lang w:val="el-GR"/>
        </w:rPr>
        <w:t>Μη μέλη της επιτροπής:</w:t>
      </w:r>
    </w:p>
    <w:p w14:paraId="2D6DA97C" w14:textId="36568E96" w:rsidR="001E1DE4" w:rsidRDefault="00AB2F83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200072" w:rsidRPr="00200072">
        <w:rPr>
          <w:rFonts w:ascii="Arial" w:eastAsia="Times New Roman" w:hAnsi="Arial" w:cs="Arial"/>
          <w:sz w:val="24"/>
          <w:szCs w:val="24"/>
          <w:lang w:val="el-GR"/>
        </w:rPr>
        <w:t>Άριστος Δαμιανού</w:t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bCs/>
          <w:sz w:val="24"/>
          <w:szCs w:val="24"/>
          <w:lang w:val="el-GR"/>
        </w:rPr>
        <w:t>Μάριος Μαυρίδης</w:t>
      </w:r>
    </w:p>
    <w:p w14:paraId="73002C97" w14:textId="31A8E649" w:rsidR="00200072" w:rsidRDefault="00200072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>Αντρέας Καυκαλιάς</w:t>
      </w:r>
      <w:r w:rsidRPr="0020007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435221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Σταύρος Παπαδούρης</w:t>
      </w:r>
    </w:p>
    <w:p w14:paraId="3501D87C" w14:textId="38894BFB" w:rsidR="00AB2F83" w:rsidRDefault="001E1DE4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/>
        </w:rPr>
        <w:tab/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Η Κοινοβουλευτική Επιτροπή </w:t>
      </w:r>
      <w:r w:rsidR="00AB2F83" w:rsidRPr="0086544B">
        <w:rPr>
          <w:rFonts w:ascii="Arial" w:eastAsia="Times New Roman" w:hAnsi="Arial" w:cs="Arial"/>
          <w:bCs/>
          <w:sz w:val="24"/>
          <w:szCs w:val="24"/>
          <w:lang w:val="el-GR"/>
        </w:rPr>
        <w:t>Οικονομικών και Προϋπολογισμού</w:t>
      </w:r>
      <w:r w:rsidR="00AB2F83" w:rsidRPr="0086544B">
        <w:rPr>
          <w:rFonts w:ascii="Arial" w:eastAsia="Times New Roman" w:hAnsi="Arial" w:cs="Arial"/>
          <w:b/>
          <w:bCs/>
          <w:sz w:val="24"/>
          <w:szCs w:val="24"/>
          <w:lang w:val="el-GR"/>
        </w:rPr>
        <w:t xml:space="preserve">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μελέτησε </w:t>
      </w:r>
      <w:r w:rsidR="00F41706">
        <w:rPr>
          <w:rFonts w:ascii="Arial" w:eastAsia="Times New Roman" w:hAnsi="Arial" w:cs="Arial"/>
          <w:sz w:val="24"/>
          <w:szCs w:val="24"/>
          <w:lang w:val="el-GR"/>
        </w:rPr>
        <w:t>το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πιο 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 xml:space="preserve">πάνω </w:t>
      </w:r>
      <w:r w:rsidR="00F766BA">
        <w:rPr>
          <w:rFonts w:ascii="Arial" w:eastAsia="Times New Roman" w:hAnsi="Arial" w:cs="Arial"/>
          <w:sz w:val="24"/>
          <w:szCs w:val="24"/>
          <w:lang w:val="el-GR"/>
        </w:rPr>
        <w:t>προϋπολογισμό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σε δύο συνεδρίες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της,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που πραγματοποιήθηκαν στις </w:t>
      </w:r>
      <w:r>
        <w:rPr>
          <w:rFonts w:ascii="Arial" w:eastAsia="Times New Roman" w:hAnsi="Arial" w:cs="Arial"/>
          <w:sz w:val="24"/>
          <w:szCs w:val="24"/>
          <w:lang w:val="el-GR"/>
        </w:rPr>
        <w:t>17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και </w:t>
      </w:r>
      <w:r w:rsidR="00C85D33">
        <w:rPr>
          <w:rFonts w:ascii="Arial" w:eastAsia="Times New Roman" w:hAnsi="Arial" w:cs="Arial"/>
          <w:sz w:val="24"/>
          <w:szCs w:val="24"/>
          <w:lang w:val="el-GR"/>
        </w:rPr>
        <w:t xml:space="preserve">στις </w:t>
      </w:r>
      <w:r>
        <w:rPr>
          <w:rFonts w:ascii="Arial" w:eastAsia="Times New Roman" w:hAnsi="Arial" w:cs="Arial"/>
          <w:sz w:val="24"/>
          <w:szCs w:val="24"/>
          <w:lang w:val="el-GR"/>
        </w:rPr>
        <w:t>24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Ιανουαρίου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AB2F83" w:rsidRPr="0086544B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F63271" w:rsidRPr="00F63271">
        <w:rPr>
          <w:rFonts w:ascii="Arial" w:eastAsia="Times New Roman" w:hAnsi="Arial" w:cs="Arial"/>
          <w:sz w:val="24"/>
          <w:szCs w:val="24"/>
          <w:lang w:val="el-GR"/>
        </w:rPr>
        <w:t>Στην πρώτη συνεδρία της επιτροπής κλήθηκαν και παρευρέθηκαν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 ο Επίτροπος Αγροτικών Πληρωμών</w:t>
      </w:r>
      <w:r w:rsidR="00C85D33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συνοδευόμενος από εκπρόσωπους του Κυπριακού Οργανισμού Αγροτικών Πληρωμών</w:t>
      </w:r>
      <w:r w:rsidR="00C85D3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85D3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(</w:t>
      </w:r>
      <w:r w:rsidR="00C85D33"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="00C85D3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ΟΑΠ)</w:t>
      </w:r>
      <w:r w:rsidR="00F63271">
        <w:rPr>
          <w:rFonts w:ascii="Arial" w:eastAsia="Times New Roman" w:hAnsi="Arial" w:cs="Arial"/>
          <w:sz w:val="24"/>
          <w:szCs w:val="24"/>
          <w:lang w:val="el-GR"/>
        </w:rPr>
        <w:t xml:space="preserve">, καθώς και εκπρόσωποι του Υπουργείου Οικονομικών και του Υπουργείου Γεωργίας, Αγροτικής Ανάπτυξης και Περιβάλλοντος. </w:t>
      </w:r>
    </w:p>
    <w:p w14:paraId="22DAE77D" w14:textId="40016527" w:rsidR="00AB2F83" w:rsidRDefault="001E1DE4" w:rsidP="00435221">
      <w:pPr>
        <w:tabs>
          <w:tab w:val="left" w:pos="567"/>
          <w:tab w:val="left" w:pos="4961"/>
          <w:tab w:val="left" w:pos="5387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Ο προϋπολογισμός του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ΟΑΠ για το έτος 20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προβλέπει συνολικές δαπάνες ύψους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€1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350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8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6</w:t>
      </w:r>
      <w:r w:rsidR="003700B8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και συνολικά έσοδα ύψους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€1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00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, τα οποία προέρχονται κυρίως από 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κρατική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χορηγί</w:t>
      </w:r>
      <w:r w:rsidR="00192C1A">
        <w:rPr>
          <w:rFonts w:ascii="Arial" w:eastAsia="Times New Roman" w:hAnsi="Arial" w:cs="Arial"/>
          <w:bCs/>
          <w:sz w:val="24"/>
          <w:szCs w:val="24"/>
          <w:lang w:val="el-GR"/>
        </w:rPr>
        <w:t>α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ύψους €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1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0.000 και από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άλλες πηγές</w:t>
      </w:r>
      <w:r w:rsidR="00C85D33">
        <w:rPr>
          <w:rFonts w:ascii="Arial" w:eastAsia="Times New Roman" w:hAnsi="Arial" w:cs="Arial"/>
          <w:bCs/>
          <w:sz w:val="24"/>
          <w:szCs w:val="24"/>
          <w:lang w:val="el-GR"/>
        </w:rPr>
        <w:t>,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ύψους €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AB2F83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4649FB">
        <w:rPr>
          <w:rFonts w:ascii="Arial" w:eastAsia="Times New Roman" w:hAnsi="Arial" w:cs="Arial"/>
          <w:bCs/>
          <w:sz w:val="24"/>
          <w:szCs w:val="24"/>
          <w:lang w:val="el-GR"/>
        </w:rPr>
        <w:t>5</w:t>
      </w:r>
      <w:r w:rsidR="00AB2F83" w:rsidRPr="004A076A">
        <w:rPr>
          <w:rFonts w:ascii="Arial" w:eastAsia="Times New Roman" w:hAnsi="Arial" w:cs="Arial"/>
          <w:bCs/>
          <w:sz w:val="24"/>
          <w:szCs w:val="24"/>
          <w:lang w:val="el-GR"/>
        </w:rPr>
        <w:t>00.</w:t>
      </w:r>
    </w:p>
    <w:p w14:paraId="42EF631A" w14:textId="1B629DED" w:rsidR="00AB2F83" w:rsidRDefault="00AB2F83" w:rsidP="00AB2F83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 xml:space="preserve">Οι προϋπολογιζόμενες δαπάνες 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για το έτος 20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αφορούν κυρίως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τα ακόλουθα:</w:t>
      </w:r>
    </w:p>
    <w:p w14:paraId="74B9BB3A" w14:textId="01F8298C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Δ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απάνες προσωπικού (€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8.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963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50)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145097A9" w14:textId="3D1D8E92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Λ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ειτουργικές δαπάνες (€</w:t>
      </w:r>
      <w:r w:rsidR="000D46D0">
        <w:rPr>
          <w:rFonts w:ascii="Arial" w:eastAsia="Times New Roman" w:hAnsi="Arial" w:cs="Arial"/>
          <w:bCs/>
          <w:sz w:val="24"/>
          <w:szCs w:val="24"/>
          <w:lang w:val="el-GR"/>
        </w:rPr>
        <w:t>2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508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410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17446C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72D6DDF9" w14:textId="12FAC6BC" w:rsidR="00AB2F83" w:rsidRDefault="00AB2F83" w:rsidP="00AB2F83">
      <w:pPr>
        <w:numPr>
          <w:ilvl w:val="0"/>
          <w:numId w:val="2"/>
        </w:numPr>
        <w:tabs>
          <w:tab w:val="left" w:pos="567"/>
          <w:tab w:val="left" w:pos="4961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Κ</w:t>
      </w:r>
      <w:r w:rsidRPr="004A076A">
        <w:rPr>
          <w:rFonts w:ascii="Arial" w:eastAsia="Times New Roman" w:hAnsi="Arial" w:cs="Arial"/>
          <w:bCs/>
          <w:sz w:val="24"/>
          <w:szCs w:val="24"/>
          <w:lang w:val="el-GR"/>
        </w:rPr>
        <w:t>εφαλαιουχικές δαπάνες (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€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879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4</w:t>
      </w:r>
      <w:r w:rsidR="001E1DE4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 w:rsidR="00B56667">
        <w:rPr>
          <w:rFonts w:ascii="Arial" w:eastAsia="Times New Roman" w:hAnsi="Arial" w:cs="Arial"/>
          <w:bCs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)</w:t>
      </w:r>
      <w:r w:rsidR="00F766BA">
        <w:rPr>
          <w:rFonts w:ascii="Arial" w:eastAsia="Times New Roman" w:hAnsi="Arial" w:cs="Arial"/>
          <w:bCs/>
          <w:sz w:val="24"/>
          <w:szCs w:val="24"/>
          <w:lang w:val="el-GR"/>
        </w:rPr>
        <w:t>.</w:t>
      </w:r>
    </w:p>
    <w:p w14:paraId="380E8069" w14:textId="590FEADE" w:rsidR="00AB2F83" w:rsidRDefault="00AB2F83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τα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κατατεθέντα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στοιχεία, αποστολή του </w:t>
      </w:r>
      <w:r w:rsidR="001E1DE4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ΟΑΠ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>είναι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η διαχείριση των κονδυλίων που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διατίθενται στον τομέα της γεωργίας στο πλαίσιο της Κοινής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Αγροτικής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 Πολιτικής 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(ΚΑΠ) </w:t>
      </w:r>
      <w:r w:rsidR="00746397">
        <w:rPr>
          <w:rFonts w:ascii="Arial" w:eastAsia="Times New Roman" w:hAnsi="Arial" w:cs="Arial"/>
          <w:sz w:val="24"/>
          <w:szCs w:val="24"/>
          <w:lang w:val="el-GR"/>
        </w:rPr>
        <w:t xml:space="preserve">της ΕΕ.  Στα κονδύλια </w:t>
      </w:r>
      <w:r w:rsidR="00ED619F">
        <w:rPr>
          <w:rFonts w:ascii="Arial" w:eastAsia="Times New Roman" w:hAnsi="Arial" w:cs="Arial"/>
          <w:sz w:val="24"/>
          <w:szCs w:val="24"/>
          <w:lang w:val="el-GR"/>
        </w:rPr>
        <w:t xml:space="preserve">αυτά περιλαμβάνονται τα ποσά που αναλογούν στην κοινοτική χρηματοδότηση από το 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Ευρωπαϊκό Γ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εωργικό Ταμείο Επενδύσεων</w:t>
      </w:r>
      <w:r w:rsidR="009B4874">
        <w:rPr>
          <w:rFonts w:ascii="Arial" w:eastAsia="Times New Roman" w:hAnsi="Arial" w:cs="Arial"/>
          <w:sz w:val="24"/>
          <w:szCs w:val="24"/>
          <w:lang w:val="el-GR"/>
        </w:rPr>
        <w:t>, το μερίδιο της εθνικής συγχρηματοδότησης όπως προνοείται από την ευρωπαϊκή νομοθεσία για το Ευρωπαϊκό Γεωργικό Τα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μείο Αγροτικής Ανάπτυξης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, καθώς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και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οποιεσδήποτε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συμπληρωματικές ενισχύσεις που δύναται να καταβάλλει η Κυπριακή Δημοκρατία από εθνικούς πόρους.</w:t>
      </w:r>
    </w:p>
    <w:p w14:paraId="1F6105CD" w14:textId="158CB8FC" w:rsidR="00CD2BB9" w:rsidRDefault="00CD2BB9" w:rsidP="00ED619F">
      <w:pPr>
        <w:tabs>
          <w:tab w:val="left" w:pos="567"/>
          <w:tab w:val="left" w:pos="4961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Σύμφωνα με τα ίδια στοιχεία στο πλαίσιο της άσκησης των δραστηριοτήτων και αρμοδιοτήτων του ο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>Κ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>ΟΑΠ κατά το έτος 20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2</w:t>
      </w:r>
      <w:r w:rsidR="000A622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92C1A">
        <w:rPr>
          <w:rFonts w:ascii="Arial" w:eastAsia="Times New Roman" w:hAnsi="Arial" w:cs="Arial"/>
          <w:sz w:val="24"/>
          <w:szCs w:val="24"/>
          <w:lang w:val="el-GR"/>
        </w:rPr>
        <w:t>προβλέπεται να</w:t>
      </w:r>
      <w:r w:rsidR="002A7970">
        <w:rPr>
          <w:rFonts w:ascii="Arial" w:eastAsia="Times New Roman" w:hAnsi="Arial" w:cs="Arial"/>
          <w:sz w:val="24"/>
          <w:szCs w:val="24"/>
          <w:lang w:val="el-GR"/>
        </w:rPr>
        <w:t xml:space="preserve"> καταβάλει τις ακόλουθες πληρωμές:</w:t>
      </w:r>
    </w:p>
    <w:p w14:paraId="68285227" w14:textId="52492643" w:rsidR="00AB2F83" w:rsidRPr="00975AC9" w:rsidRDefault="00AB2F83" w:rsidP="00CC4418">
      <w:pPr>
        <w:pStyle w:val="ListParagraph"/>
        <w:numPr>
          <w:ilvl w:val="0"/>
          <w:numId w:val="5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975AC9"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6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,5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 εκατομ. για τη στήριξη των Κοινών Οργανώσεων Αγοράς, το οποίο θα χρηματοδοτηθεί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σχεδόν εξ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 xml:space="preserve">ολοκλήρου 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 xml:space="preserve">από την </w:t>
      </w:r>
      <w:r w:rsidR="001E0B9E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975AC9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6DE48359" w14:textId="34623327" w:rsidR="00AB2F83" w:rsidRPr="00E97276" w:rsidRDefault="00AB2F83" w:rsidP="00E97276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€5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>0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εκατομ. περίπου για την καταβολή άμεσων ενισχύσεων στο πλαίσιο του Σχεδίου Ενιαίας Εκταρικής Επιδότησης, καθώς και των 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>Ά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μεσων 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>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νισχύσεων για την </w:t>
      </w:r>
      <w:r w:rsidR="00E97276">
        <w:rPr>
          <w:rFonts w:ascii="Arial" w:eastAsia="Times New Roman" w:hAnsi="Arial" w:cs="Arial"/>
          <w:sz w:val="24"/>
          <w:szCs w:val="24"/>
          <w:lang w:val="el-GR"/>
        </w:rPr>
        <w:t>Κ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 xml:space="preserve">τηνοτροφία, το οποίο χρηματοδοτείται εξ ολοκλήρου από την 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ΕΕ</w:t>
      </w:r>
      <w:r w:rsidRPr="00E97276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728FDDB9" w14:textId="6ED808FB" w:rsidR="00AB2F83" w:rsidRDefault="00AB2F83" w:rsidP="00CC4418">
      <w:pPr>
        <w:numPr>
          <w:ilvl w:val="0"/>
          <w:numId w:val="5"/>
        </w:num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Ποσό ύψους €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>3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7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 xml:space="preserve"> εκατομ. περίπου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για τη στήριξη της αγροτικής ανάπτυξης στο πλαίσιο του Προγράμματος Αγροτικής Ανάπτυξης 2014-2020, το οποίο θα συγχρηματοδοτηθεί από την Ε</w:t>
      </w:r>
      <w:r w:rsidR="004E1ECE">
        <w:rPr>
          <w:rFonts w:ascii="Arial" w:eastAsia="Times New Roman" w:hAnsi="Arial" w:cs="Arial"/>
          <w:sz w:val="24"/>
          <w:szCs w:val="24"/>
          <w:lang w:val="el-GR"/>
        </w:rPr>
        <w:t>Ε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κατά ποσοστό </w:t>
      </w:r>
      <w:r w:rsidR="0065688D">
        <w:rPr>
          <w:rFonts w:ascii="Arial" w:eastAsia="Times New Roman" w:hAnsi="Arial" w:cs="Arial"/>
          <w:sz w:val="24"/>
          <w:szCs w:val="24"/>
          <w:lang w:val="el-GR"/>
        </w:rPr>
        <w:t xml:space="preserve">περίπου 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68</w:t>
      </w:r>
      <w:r>
        <w:rPr>
          <w:rFonts w:ascii="Arial" w:eastAsia="Times New Roman" w:hAnsi="Arial" w:cs="Arial"/>
          <w:sz w:val="24"/>
          <w:szCs w:val="24"/>
          <w:lang w:val="el-GR"/>
        </w:rPr>
        <w:t>%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 xml:space="preserve"> και το υπόλοιπο </w:t>
      </w:r>
      <w:r w:rsidR="00616981">
        <w:rPr>
          <w:rFonts w:ascii="Arial" w:eastAsia="Times New Roman" w:hAnsi="Arial" w:cs="Arial"/>
          <w:sz w:val="24"/>
          <w:szCs w:val="24"/>
          <w:lang w:val="el-GR"/>
        </w:rPr>
        <w:t>32</w:t>
      </w:r>
      <w:r w:rsidR="00975AC9">
        <w:rPr>
          <w:rFonts w:ascii="Arial" w:eastAsia="Times New Roman" w:hAnsi="Arial" w:cs="Arial"/>
          <w:sz w:val="24"/>
          <w:szCs w:val="24"/>
          <w:lang w:val="el-GR"/>
        </w:rPr>
        <w:t>% από εθνικούς πόρους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7E4E5572" w14:textId="52A14A14" w:rsidR="00AF703A" w:rsidRDefault="00C04E6C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8A6781">
        <w:rPr>
          <w:rFonts w:ascii="Arial" w:eastAsia="Times New Roman" w:hAnsi="Arial" w:cs="Arial"/>
          <w:sz w:val="24"/>
          <w:szCs w:val="24"/>
          <w:lang w:val="el-GR"/>
        </w:rPr>
        <w:t>Ο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Επίτροπος Αγροτικών Πληρωμών δήλωσε μεταξύ άλλων ότι </w:t>
      </w:r>
      <w:r w:rsidR="00AF703A">
        <w:rPr>
          <w:rFonts w:ascii="Arial" w:eastAsia="Times New Roman" w:hAnsi="Arial" w:cs="Arial"/>
          <w:sz w:val="24"/>
          <w:szCs w:val="24"/>
          <w:lang w:val="el-GR"/>
        </w:rPr>
        <w:t xml:space="preserve">ο προϋπολογισμός για το έτος 2022 παρουσιάζει αύξηση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σε </w:t>
      </w:r>
      <w:r w:rsidR="00AF703A">
        <w:rPr>
          <w:rFonts w:ascii="Arial" w:eastAsia="Times New Roman" w:hAnsi="Arial" w:cs="Arial"/>
          <w:sz w:val="24"/>
          <w:szCs w:val="24"/>
          <w:lang w:val="el-GR"/>
        </w:rPr>
        <w:t>ποσοστ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AF703A">
        <w:rPr>
          <w:rFonts w:ascii="Arial" w:eastAsia="Times New Roman" w:hAnsi="Arial" w:cs="Arial"/>
          <w:sz w:val="24"/>
          <w:szCs w:val="24"/>
          <w:lang w:val="el-GR"/>
        </w:rPr>
        <w:t xml:space="preserve"> ύψους 4,3% σε σχέση με τον προϋπολογισμό του προηγούμενου έτους, η οποία οφείλεται κυρίως- </w:t>
      </w:r>
    </w:p>
    <w:p w14:paraId="63631758" w14:textId="77777777" w:rsidR="00AF703A" w:rsidRDefault="00AF703A" w:rsidP="00AF703A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στη συντήρηση των λογισμικών του οργανισμού, </w:t>
      </w:r>
    </w:p>
    <w:p w14:paraId="218FD7E6" w14:textId="7E877743" w:rsidR="00AF703A" w:rsidRDefault="00AF703A" w:rsidP="00AF703A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>2.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στην αυξημένη επιβάρυνση </w:t>
      </w:r>
      <w:r w:rsidR="006A6469">
        <w:rPr>
          <w:rFonts w:ascii="Arial" w:eastAsia="Times New Roman" w:hAnsi="Arial" w:cs="Arial"/>
          <w:sz w:val="24"/>
          <w:szCs w:val="24"/>
          <w:lang w:val="el-GR"/>
        </w:rPr>
        <w:t xml:space="preserve">των ημερήσιων υπολοίπων των τραπεζικών λογαριασμών του ΚΟΑΠ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 αρνητικό επιτόκιο, </w:t>
      </w:r>
    </w:p>
    <w:p w14:paraId="21DB71CF" w14:textId="6A26B594" w:rsidR="00616981" w:rsidRDefault="00AF703A" w:rsidP="00AF703A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3.</w:t>
      </w:r>
      <w:r w:rsidR="006A6469">
        <w:rPr>
          <w:rFonts w:ascii="Arial" w:eastAsia="Times New Roman" w:hAnsi="Arial" w:cs="Arial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στις αυξημένες </w:t>
      </w:r>
      <w:r w:rsidR="006A6469">
        <w:rPr>
          <w:rFonts w:ascii="Arial" w:eastAsia="Times New Roman" w:hAnsi="Arial" w:cs="Arial"/>
          <w:sz w:val="24"/>
          <w:szCs w:val="24"/>
          <w:lang w:val="el-GR"/>
        </w:rPr>
        <w:t>δαπάνες προσωπικού</w:t>
      </w:r>
      <w:r>
        <w:rPr>
          <w:rFonts w:ascii="Arial" w:eastAsia="Times New Roman" w:hAnsi="Arial" w:cs="Arial"/>
          <w:sz w:val="24"/>
          <w:szCs w:val="24"/>
          <w:lang w:val="el-GR"/>
        </w:rPr>
        <w:t>, λόγω της παραχώρησης των ετήσιων προσαυξήσεων, της αύξησης της Αυτόματης Τιμαριθμικής Προσαρμογής, της συνακόλουθης αύξησης των συνεισφορών του εργοδότη στα διάφορα ταμεία και της παροχής συμπληρωματικής ιατροφαρμακευτικής περίθαλψης</w:t>
      </w:r>
      <w:r w:rsidR="006A6469">
        <w:rPr>
          <w:rFonts w:ascii="Arial" w:eastAsia="Times New Roman" w:hAnsi="Arial" w:cs="Arial"/>
          <w:sz w:val="24"/>
          <w:szCs w:val="24"/>
          <w:lang w:val="el-GR"/>
        </w:rPr>
        <w:t>, και</w:t>
      </w:r>
    </w:p>
    <w:p w14:paraId="6A10ED2B" w14:textId="05EEA797" w:rsidR="006A6469" w:rsidRPr="00BC1E0E" w:rsidRDefault="006A6469" w:rsidP="00AF703A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4.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στην αυξημένη πρόνοια για προμήθεια δορυφορικών εικόνων για σκοπούς διεκπεραίωσης επιτόπιων ελέγχων στο πλαίσιο 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εξέτασης αιτήσεων για καταβολή πληρωμών.</w:t>
      </w:r>
    </w:p>
    <w:p w14:paraId="42EF7A53" w14:textId="10A3B364" w:rsidR="00FF5891" w:rsidRDefault="008A6781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Στο πλαίσιο της συζήτησης, 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ν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 επιτροπή 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απασχόλησε σωρεία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 ζητ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ημάτων</w:t>
      </w:r>
      <w:r w:rsidR="00FF5891">
        <w:rPr>
          <w:rFonts w:ascii="Arial" w:eastAsia="Times New Roman" w:hAnsi="Arial" w:cs="Arial"/>
          <w:sz w:val="24"/>
          <w:szCs w:val="24"/>
          <w:lang w:val="el-GR"/>
        </w:rPr>
        <w:t xml:space="preserve"> που αφορούν μεταξύ άλλων </w:t>
      </w:r>
      <w:r w:rsidR="00FF5891" w:rsidRPr="000A0475">
        <w:rPr>
          <w:rFonts w:ascii="Arial" w:eastAsia="Times New Roman" w:hAnsi="Arial" w:cs="Arial"/>
          <w:sz w:val="24"/>
          <w:szCs w:val="24"/>
          <w:lang w:val="el-GR"/>
        </w:rPr>
        <w:t xml:space="preserve">στην </w:t>
      </w:r>
      <w:r w:rsidR="002C6938">
        <w:rPr>
          <w:rFonts w:ascii="Arial" w:eastAsia="Times New Roman" w:hAnsi="Arial" w:cs="Arial"/>
          <w:sz w:val="24"/>
          <w:szCs w:val="24"/>
          <w:lang w:val="el-GR"/>
        </w:rPr>
        <w:t>επιβάρυνση του οργανισμού με αρνητικό επιτόκιο επί των τραπεζικών του υπολοίπων, καθώς και με άλλες</w:t>
      </w:r>
      <w:r w:rsidR="00FF5891" w:rsidRPr="000A0475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D79D3" w:rsidRPr="000A0475">
        <w:rPr>
          <w:rFonts w:ascii="Arial" w:eastAsia="Times New Roman" w:hAnsi="Arial" w:cs="Arial"/>
          <w:sz w:val="24"/>
          <w:szCs w:val="24"/>
          <w:lang w:val="el-GR"/>
        </w:rPr>
        <w:t xml:space="preserve">τραπεζικές </w:t>
      </w:r>
      <w:r w:rsidR="002C6938">
        <w:rPr>
          <w:rFonts w:ascii="Arial" w:eastAsia="Times New Roman" w:hAnsi="Arial" w:cs="Arial"/>
          <w:sz w:val="24"/>
          <w:szCs w:val="24"/>
          <w:lang w:val="el-GR"/>
        </w:rPr>
        <w:t>χρεώσεις</w:t>
      </w:r>
      <w:r w:rsidR="00FF5891" w:rsidRPr="000A0475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2C6938">
        <w:rPr>
          <w:rFonts w:ascii="Arial" w:eastAsia="Times New Roman" w:hAnsi="Arial" w:cs="Arial"/>
          <w:sz w:val="24"/>
          <w:szCs w:val="24"/>
          <w:lang w:val="el-GR"/>
        </w:rPr>
        <w:t xml:space="preserve">στην αδυναμία 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 xml:space="preserve">ορισμένων αιτητών σχεδίων και προγραμμάτων του οργανισμού να καλύψουν </w:t>
      </w:r>
      <w:r w:rsidR="005D79D3">
        <w:rPr>
          <w:rFonts w:ascii="Arial" w:eastAsia="Times New Roman" w:hAnsi="Arial" w:cs="Arial"/>
          <w:sz w:val="24"/>
          <w:szCs w:val="24"/>
          <w:lang w:val="el-GR"/>
        </w:rPr>
        <w:t>τ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 xml:space="preserve">ο ποσό </w:t>
      </w:r>
      <w:r w:rsidR="002C6938">
        <w:rPr>
          <w:rFonts w:ascii="Arial" w:eastAsia="Times New Roman" w:hAnsi="Arial" w:cs="Arial"/>
          <w:sz w:val="24"/>
          <w:szCs w:val="24"/>
          <w:lang w:val="el-GR"/>
        </w:rPr>
        <w:t>ί</w:t>
      </w:r>
      <w:r w:rsidR="005D79D3"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17446C">
        <w:rPr>
          <w:rFonts w:ascii="Arial" w:eastAsia="Times New Roman" w:hAnsi="Arial" w:cs="Arial"/>
          <w:sz w:val="24"/>
          <w:szCs w:val="24"/>
          <w:lang w:val="el-GR"/>
        </w:rPr>
        <w:t>ι</w:t>
      </w:r>
      <w:r w:rsidR="005D79D3">
        <w:rPr>
          <w:rFonts w:ascii="Arial" w:eastAsia="Times New Roman" w:hAnsi="Arial" w:cs="Arial"/>
          <w:sz w:val="24"/>
          <w:szCs w:val="24"/>
          <w:lang w:val="el-GR"/>
        </w:rPr>
        <w:t>ας συμμετοχής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 xml:space="preserve"> που τους αναλογεί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, στην 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 xml:space="preserve">ανάγκη 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>μείωσης της γραφειοκρατίας στο πλαίσιο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 εξέταση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 των αιτήσεων και έγκαιρης καταβολής των αγροτικών πληρωμών στους δικαιούχους, στ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>α μέτρα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 στήριξη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>ς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 νέων </w:t>
      </w:r>
      <w:r w:rsidR="0008089B">
        <w:rPr>
          <w:rFonts w:ascii="Arial" w:eastAsia="Times New Roman" w:hAnsi="Arial" w:cs="Arial"/>
          <w:sz w:val="24"/>
          <w:szCs w:val="24"/>
          <w:lang w:val="el-GR"/>
        </w:rPr>
        <w:t>αγροτών</w:t>
      </w:r>
      <w:r w:rsidR="00D817AB">
        <w:rPr>
          <w:rFonts w:ascii="Arial" w:eastAsia="Times New Roman" w:hAnsi="Arial" w:cs="Arial"/>
          <w:sz w:val="24"/>
          <w:szCs w:val="24"/>
          <w:lang w:val="el-GR"/>
        </w:rPr>
        <w:t xml:space="preserve"> και των ορεινών περιοχών λόγω εγκατάλειψης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στις </w:t>
      </w:r>
      <w:r w:rsidR="00F33739">
        <w:rPr>
          <w:rFonts w:ascii="Arial" w:eastAsia="Times New Roman" w:hAnsi="Arial" w:cs="Arial"/>
          <w:sz w:val="24"/>
          <w:szCs w:val="24"/>
          <w:lang w:val="el-GR"/>
        </w:rPr>
        <w:t>επιδοτήσεις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που </w:t>
      </w:r>
      <w:r w:rsidR="00F33739">
        <w:rPr>
          <w:rFonts w:ascii="Arial" w:eastAsia="Times New Roman" w:hAnsi="Arial" w:cs="Arial"/>
          <w:sz w:val="24"/>
          <w:szCs w:val="24"/>
          <w:lang w:val="el-GR"/>
        </w:rPr>
        <w:t>καταβλήθηκαν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από τον οργανισμό κατά το έτος 2021</w:t>
      </w:r>
      <w:r w:rsidR="005F1A90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B4827">
        <w:rPr>
          <w:rFonts w:ascii="Arial" w:eastAsia="Times New Roman" w:hAnsi="Arial" w:cs="Arial"/>
          <w:sz w:val="24"/>
          <w:szCs w:val="24"/>
          <w:lang w:val="el-GR"/>
        </w:rPr>
        <w:t>στ</w:t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r w:rsidR="005B4827">
        <w:rPr>
          <w:rFonts w:ascii="Arial" w:eastAsia="Times New Roman" w:hAnsi="Arial" w:cs="Arial"/>
          <w:sz w:val="24"/>
          <w:szCs w:val="24"/>
          <w:lang w:val="el-GR"/>
        </w:rPr>
        <w:t xml:space="preserve">στήριξη των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πυρ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πλ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κτων</w:t>
      </w:r>
      <w:r w:rsidR="005B4827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 xml:space="preserve">καθώς και </w:t>
      </w:r>
      <w:r w:rsidR="00BC1E0E">
        <w:rPr>
          <w:rFonts w:ascii="Arial" w:eastAsia="Times New Roman" w:hAnsi="Arial" w:cs="Arial"/>
          <w:sz w:val="24"/>
          <w:szCs w:val="24"/>
          <w:lang w:val="el-GR"/>
        </w:rPr>
        <w:t>στο συσσωρευμένο έλλειμμα στα ίδια κεφάλαια</w:t>
      </w:r>
      <w:r w:rsidR="008E7F4D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0C0CF7D1" w14:textId="235F5DBB" w:rsidR="00FF5891" w:rsidRDefault="00FF5891" w:rsidP="00C04E6C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Συναφώς, σε σχέση με τα πιο πάνω ζητήματα</w:t>
      </w:r>
      <w:r w:rsidR="00CD69C0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3784E">
        <w:rPr>
          <w:rFonts w:ascii="Arial" w:eastAsia="Times New Roman" w:hAnsi="Arial" w:cs="Arial"/>
          <w:sz w:val="24"/>
          <w:szCs w:val="24"/>
          <w:lang w:val="el-GR"/>
        </w:rPr>
        <w:t xml:space="preserve">οι </w:t>
      </w:r>
      <w:r>
        <w:rPr>
          <w:rFonts w:ascii="Arial" w:eastAsia="Times New Roman" w:hAnsi="Arial" w:cs="Arial"/>
          <w:sz w:val="24"/>
          <w:szCs w:val="24"/>
          <w:lang w:val="el-GR"/>
        </w:rPr>
        <w:t>εκπρ</w:t>
      </w:r>
      <w:r w:rsidR="0053784E">
        <w:rPr>
          <w:rFonts w:ascii="Arial" w:eastAsia="Times New Roman" w:hAnsi="Arial" w:cs="Arial"/>
          <w:sz w:val="24"/>
          <w:szCs w:val="24"/>
          <w:lang w:val="el-GR"/>
        </w:rPr>
        <w:t xml:space="preserve">όσωποι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του </w:t>
      </w:r>
      <w:r w:rsidR="002B1974">
        <w:rPr>
          <w:rFonts w:ascii="Arial" w:eastAsia="Times New Roman" w:hAnsi="Arial" w:cs="Arial"/>
          <w:sz w:val="24"/>
          <w:szCs w:val="24"/>
          <w:lang w:val="el-GR"/>
        </w:rPr>
        <w:t>Κ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ΟΑΠ </w:t>
      </w:r>
      <w:r w:rsidR="0053784E">
        <w:rPr>
          <w:rFonts w:ascii="Arial" w:eastAsia="Times New Roman" w:hAnsi="Arial" w:cs="Arial"/>
          <w:sz w:val="24"/>
          <w:szCs w:val="24"/>
          <w:lang w:val="el-GR"/>
        </w:rPr>
        <w:t xml:space="preserve">δήλωσαν μεταξύ άλλων </w:t>
      </w:r>
      <w:r>
        <w:rPr>
          <w:rFonts w:ascii="Arial" w:eastAsia="Times New Roman" w:hAnsi="Arial" w:cs="Arial"/>
          <w:sz w:val="24"/>
          <w:szCs w:val="24"/>
          <w:lang w:val="el-GR"/>
        </w:rPr>
        <w:t>τα ακόλουθα:</w:t>
      </w:r>
    </w:p>
    <w:p w14:paraId="31A72886" w14:textId="755414F6" w:rsidR="005F1A90" w:rsidRDefault="00FF5891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1.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ΚΟΑΠ από την ίδρυσή του μέχρι σήμερα 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έχει καταβάλει 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 xml:space="preserve">σε δικαιούχους </w:t>
      </w:r>
      <w:r w:rsidR="00520879">
        <w:rPr>
          <w:rFonts w:ascii="Arial" w:eastAsia="Times New Roman" w:hAnsi="Arial" w:cs="Arial"/>
          <w:sz w:val="24"/>
          <w:szCs w:val="24"/>
          <w:lang w:val="el-GR"/>
        </w:rPr>
        <w:t xml:space="preserve">συνολικά 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πέραν </w:t>
      </w:r>
      <w:r w:rsidR="00497F1F">
        <w:rPr>
          <w:rFonts w:ascii="Arial" w:eastAsia="Times New Roman" w:hAnsi="Arial" w:cs="Arial"/>
          <w:sz w:val="24"/>
          <w:szCs w:val="24"/>
          <w:lang w:val="el-GR"/>
        </w:rPr>
        <w:t>του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>€1,9 δις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 xml:space="preserve"> ενώ για το έτος 2021 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οι πληρωμές </w:t>
      </w:r>
      <w:r w:rsidR="00CD5A8E">
        <w:rPr>
          <w:rFonts w:ascii="Arial" w:eastAsia="Times New Roman" w:hAnsi="Arial" w:cs="Arial"/>
          <w:sz w:val="24"/>
          <w:szCs w:val="24"/>
          <w:lang w:val="el-GR"/>
        </w:rPr>
        <w:t>ανήλθαν στα €94 εκατομ.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>, εκ των οποίων ποσό ύψους €57 εκατομ. καταβλήθηκε μέχρι την 7</w:t>
      </w:r>
      <w:r w:rsidR="009A4696" w:rsidRPr="009A4696">
        <w:rPr>
          <w:rFonts w:ascii="Arial" w:eastAsia="Times New Roman" w:hAnsi="Arial" w:cs="Arial"/>
          <w:sz w:val="24"/>
          <w:szCs w:val="24"/>
          <w:vertAlign w:val="superscript"/>
          <w:lang w:val="el-GR"/>
        </w:rPr>
        <w:t>η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 Δεκεμβρίου 2021.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4E0F41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E668D7">
        <w:rPr>
          <w:rFonts w:ascii="Arial" w:eastAsia="Times New Roman" w:hAnsi="Arial" w:cs="Arial"/>
          <w:sz w:val="24"/>
          <w:szCs w:val="24"/>
          <w:lang w:val="el-GR"/>
        </w:rPr>
        <w:t xml:space="preserve"> ΚΟΑΠ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>αναγνωρίζοντας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 xml:space="preserve"> την ανάγκη έγκαιρης καταβολής των πληρωμών στους δικαιούχους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lastRenderedPageBreak/>
        <w:t xml:space="preserve">προβαίνει </w:t>
      </w:r>
      <w:r w:rsidR="007A6D7F">
        <w:rPr>
          <w:rFonts w:ascii="Arial" w:eastAsia="Times New Roman" w:hAnsi="Arial" w:cs="Arial"/>
          <w:sz w:val="24"/>
          <w:szCs w:val="24"/>
          <w:lang w:val="el-GR"/>
        </w:rPr>
        <w:t>στις δέουσες ενέργειες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7A6D7F">
        <w:rPr>
          <w:rFonts w:ascii="Arial" w:eastAsia="Times New Roman" w:hAnsi="Arial" w:cs="Arial"/>
          <w:sz w:val="24"/>
          <w:szCs w:val="24"/>
          <w:lang w:val="el-GR"/>
        </w:rPr>
        <w:t xml:space="preserve"> προκειμένου αυτό να καθίσταται εφικτό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 στον μέγιστο δυνατό βαθμό</w:t>
      </w:r>
      <w:r w:rsidR="007A6D7F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4E0F41">
        <w:rPr>
          <w:rFonts w:ascii="Arial" w:eastAsia="Times New Roman" w:hAnsi="Arial" w:cs="Arial"/>
          <w:sz w:val="24"/>
          <w:szCs w:val="24"/>
          <w:lang w:val="el-GR"/>
        </w:rPr>
        <w:t xml:space="preserve">    </w:t>
      </w:r>
      <w:r w:rsidR="00E668D7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357E5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46118799" w14:textId="2581DB72" w:rsidR="00C83672" w:rsidRDefault="005F1A90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2.</w:t>
      </w:r>
      <w:r w:rsidR="0064383C">
        <w:rPr>
          <w:rFonts w:ascii="Arial" w:eastAsia="Times New Roman" w:hAnsi="Arial" w:cs="Arial"/>
          <w:sz w:val="24"/>
          <w:szCs w:val="24"/>
          <w:lang w:val="el-GR"/>
        </w:rPr>
        <w:tab/>
        <w:t xml:space="preserve">Η αδυναμία των αιτητών σε σχέδια του οργανισμού για κάλυψη της συμμετοχής </w:t>
      </w:r>
      <w:r w:rsidR="00C83672">
        <w:rPr>
          <w:rFonts w:ascii="Arial" w:eastAsia="Times New Roman" w:hAnsi="Arial" w:cs="Arial"/>
          <w:sz w:val="24"/>
          <w:szCs w:val="24"/>
          <w:lang w:val="el-GR"/>
        </w:rPr>
        <w:t xml:space="preserve">τους </w:t>
      </w:r>
      <w:r w:rsidR="0064383C">
        <w:rPr>
          <w:rFonts w:ascii="Arial" w:eastAsia="Times New Roman" w:hAnsi="Arial" w:cs="Arial"/>
          <w:sz w:val="24"/>
          <w:szCs w:val="24"/>
          <w:lang w:val="el-GR"/>
        </w:rPr>
        <w:t xml:space="preserve">είτε μέσω ιδίων πόρων είτε μέσω χρηματοδότησης από πιστωτικά ιδρύματα </w:t>
      </w:r>
      <w:r w:rsidR="00E061DF">
        <w:rPr>
          <w:rFonts w:ascii="Arial" w:eastAsia="Times New Roman" w:hAnsi="Arial" w:cs="Arial"/>
          <w:sz w:val="24"/>
          <w:szCs w:val="24"/>
          <w:lang w:val="el-GR"/>
        </w:rPr>
        <w:t>αποτελεί ζήτημα το οποίο απασχολεί το Υπουργείο Γεωργίας, Αγροτικής Ανάπτυξης και Περιβάλλοντος</w:t>
      </w:r>
      <w:r w:rsidR="00394DB2">
        <w:rPr>
          <w:rFonts w:ascii="Arial" w:eastAsia="Times New Roman" w:hAnsi="Arial" w:cs="Arial"/>
          <w:sz w:val="24"/>
          <w:szCs w:val="24"/>
          <w:lang w:val="el-GR"/>
        </w:rPr>
        <w:t xml:space="preserve"> και το οποίο </w:t>
      </w:r>
      <w:r w:rsidR="00C83672">
        <w:rPr>
          <w:rFonts w:ascii="Arial" w:eastAsia="Times New Roman" w:hAnsi="Arial" w:cs="Arial"/>
          <w:sz w:val="24"/>
          <w:szCs w:val="24"/>
          <w:lang w:val="el-GR"/>
        </w:rPr>
        <w:t xml:space="preserve">ο ΚΟΑΠ έχει θέσει στα πιστωτικά ιδρύματα με σκοπό την εξεύρεση λύσης ως προς την εξασφάλιση χρηματοδότησης.  Αναμένεται ότι στο πλαίσιο της νέας Αγροτικής Πολιτικής για τα έτη 2023-2027 θα καταστεί δυνατή η εξεύρεση λύσης στο 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>ζήτημα</w:t>
      </w:r>
      <w:r w:rsidR="00C83672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19DB5A68" w14:textId="4519E96B" w:rsidR="00497F1F" w:rsidRDefault="00C83672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3.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 xml:space="preserve">Ο ΚΟΑΠ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>με βάση προηγούμενη σύμβαση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>με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>εμπορική τράπεζα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απολάμβανε πιστωτικό επιτόκιο επί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 xml:space="preserve">των </w:t>
      </w:r>
      <w:r w:rsidR="00F03D66">
        <w:rPr>
          <w:rFonts w:ascii="Arial" w:eastAsia="Times New Roman" w:hAnsi="Arial" w:cs="Arial"/>
          <w:sz w:val="24"/>
          <w:szCs w:val="24"/>
          <w:lang w:val="el-GR"/>
        </w:rPr>
        <w:t xml:space="preserve">υπολοίπων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των </w:t>
      </w:r>
      <w:r w:rsidR="00F03D66">
        <w:rPr>
          <w:rFonts w:ascii="Arial" w:eastAsia="Times New Roman" w:hAnsi="Arial" w:cs="Arial"/>
          <w:sz w:val="24"/>
          <w:szCs w:val="24"/>
          <w:lang w:val="el-GR"/>
        </w:rPr>
        <w:t>τραπεζικών του λογαριασμών</w:t>
      </w:r>
      <w:r>
        <w:rPr>
          <w:rFonts w:ascii="Arial" w:eastAsia="Times New Roman" w:hAnsi="Arial" w:cs="Arial"/>
          <w:sz w:val="24"/>
          <w:szCs w:val="24"/>
          <w:lang w:val="el-GR"/>
        </w:rPr>
        <w:t>, το οποίο αν</w:t>
      </w:r>
      <w:r w:rsidR="00F03D66">
        <w:rPr>
          <w:rFonts w:ascii="Arial" w:eastAsia="Times New Roman" w:hAnsi="Arial" w:cs="Arial"/>
          <w:sz w:val="24"/>
          <w:szCs w:val="24"/>
          <w:lang w:val="el-GR"/>
        </w:rPr>
        <w:t>τιστοιχούσε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σε έσοδα ύψους €700.000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>, καθώς και μηδενικό κόστος εκτέλεσης εμβασμάτων επιδοτήσεων προς τους δικαιούχους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>Με τη λήξη της εν λόγω σύμβασης ο</w:t>
      </w:r>
      <w:r w:rsidR="00E11C3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οργανισμός 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 xml:space="preserve">έχει συνάψει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 xml:space="preserve">νέα σύμβαση με πιστωτικό ίδρυμα κατόπιν </w:t>
      </w:r>
      <w:r w:rsidR="00520879">
        <w:rPr>
          <w:rFonts w:ascii="Arial" w:eastAsia="Times New Roman" w:hAnsi="Arial" w:cs="Arial"/>
          <w:sz w:val="24"/>
          <w:szCs w:val="24"/>
          <w:lang w:val="el-GR"/>
        </w:rPr>
        <w:t>προκήρυξης ευρωπαϊκού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 xml:space="preserve"> διαγωνισμού</w:t>
      </w:r>
      <w:r w:rsidR="001B2973">
        <w:rPr>
          <w:rFonts w:ascii="Arial" w:eastAsia="Times New Roman" w:hAnsi="Arial" w:cs="Arial"/>
          <w:sz w:val="24"/>
          <w:szCs w:val="24"/>
          <w:lang w:val="el-GR"/>
        </w:rPr>
        <w:t xml:space="preserve">, </w:t>
      </w:r>
      <w:r w:rsidR="00D37ECC">
        <w:rPr>
          <w:rFonts w:ascii="Arial" w:eastAsia="Times New Roman" w:hAnsi="Arial" w:cs="Arial"/>
          <w:sz w:val="24"/>
          <w:szCs w:val="24"/>
          <w:lang w:val="el-GR"/>
        </w:rPr>
        <w:t>σύμφωνα με την οποία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F5739A">
        <w:rPr>
          <w:rFonts w:ascii="Arial" w:eastAsia="Times New Roman" w:hAnsi="Arial" w:cs="Arial"/>
          <w:sz w:val="24"/>
          <w:szCs w:val="24"/>
          <w:lang w:val="el-GR"/>
        </w:rPr>
        <w:t>επιβάλλονται</w:t>
      </w:r>
      <w:r w:rsidR="00CE76D9">
        <w:rPr>
          <w:rFonts w:ascii="Arial" w:eastAsia="Times New Roman" w:hAnsi="Arial" w:cs="Arial"/>
          <w:sz w:val="24"/>
          <w:szCs w:val="24"/>
          <w:lang w:val="el-GR"/>
        </w:rPr>
        <w:t xml:space="preserve"> αρνητικό επιτόκιο επί των καταθέσεών του, καθώς και κόστος εκτέλεσης των εμβασμάτων των επιδοτήσεων προς τους δικαιούχους</w:t>
      </w:r>
      <w:r w:rsidR="00F5739A">
        <w:rPr>
          <w:rFonts w:ascii="Arial" w:eastAsia="Times New Roman" w:hAnsi="Arial" w:cs="Arial"/>
          <w:sz w:val="24"/>
          <w:szCs w:val="24"/>
          <w:lang w:val="el-GR"/>
        </w:rPr>
        <w:t xml:space="preserve"> συνεπεία της αναθεώρησης της τιμολογιακής πολιτικής των πιστωτικών ιδρυμάτων</w:t>
      </w:r>
      <w:r w:rsidR="00CE76D9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4B81866A" w14:textId="437B4CF0" w:rsidR="00C83672" w:rsidRDefault="00497F1F" w:rsidP="00497F1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 xml:space="preserve">Ειδικότερα, το κόστος από την επιβολή αρνητικού επιτοκίου επί των καταθέσεων του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οργανισμού </w:t>
      </w:r>
      <w:r w:rsidR="00814602">
        <w:rPr>
          <w:rFonts w:ascii="Arial" w:eastAsia="Times New Roman" w:hAnsi="Arial" w:cs="Arial"/>
          <w:sz w:val="24"/>
          <w:szCs w:val="24"/>
          <w:lang w:val="el-GR"/>
        </w:rPr>
        <w:t>και τραπεζικών τελών κυμάνθη</w:t>
      </w:r>
      <w:bookmarkStart w:id="0" w:name="_GoBack"/>
      <w:bookmarkEnd w:id="0"/>
      <w:r w:rsidR="00814602">
        <w:rPr>
          <w:rFonts w:ascii="Arial" w:eastAsia="Times New Roman" w:hAnsi="Arial" w:cs="Arial"/>
          <w:sz w:val="24"/>
          <w:szCs w:val="24"/>
          <w:lang w:val="el-GR"/>
        </w:rPr>
        <w:t xml:space="preserve">κε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 xml:space="preserve">για το έτος 2021 στις €245.000.  </w:t>
      </w:r>
      <w:r w:rsidR="00F5739A">
        <w:rPr>
          <w:rFonts w:ascii="Arial" w:eastAsia="Times New Roman" w:hAnsi="Arial" w:cs="Arial"/>
          <w:sz w:val="24"/>
          <w:szCs w:val="24"/>
          <w:lang w:val="el-GR"/>
        </w:rPr>
        <w:t>Γ</w:t>
      </w:r>
      <w:r w:rsidR="00F03959">
        <w:rPr>
          <w:rFonts w:ascii="Arial" w:eastAsia="Times New Roman" w:hAnsi="Arial" w:cs="Arial"/>
          <w:sz w:val="24"/>
          <w:szCs w:val="24"/>
          <w:lang w:val="el-GR"/>
        </w:rPr>
        <w:t>ια τη σύναψη της νέας σύμβασης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F5739A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οργανισμός </w:t>
      </w:r>
      <w:r w:rsidR="00F5739A">
        <w:rPr>
          <w:rFonts w:ascii="Arial" w:eastAsia="Times New Roman" w:hAnsi="Arial" w:cs="Arial"/>
          <w:sz w:val="24"/>
          <w:szCs w:val="24"/>
          <w:lang w:val="el-GR"/>
        </w:rPr>
        <w:t>έχει επιλέξει</w:t>
      </w:r>
      <w:r w:rsidR="00F03959">
        <w:rPr>
          <w:rFonts w:ascii="Arial" w:eastAsia="Times New Roman" w:hAnsi="Arial" w:cs="Arial"/>
          <w:sz w:val="24"/>
          <w:szCs w:val="24"/>
          <w:lang w:val="el-GR"/>
        </w:rPr>
        <w:t xml:space="preserve"> το πιστωτικό ίδρυμα με το χαμηλότερο αρνητικό επιτόκιο</w:t>
      </w:r>
      <w:r>
        <w:rPr>
          <w:rFonts w:ascii="Arial" w:eastAsia="Times New Roman" w:hAnsi="Arial" w:cs="Arial"/>
          <w:sz w:val="24"/>
          <w:szCs w:val="24"/>
          <w:lang w:val="el-GR"/>
        </w:rPr>
        <w:t>, ενώ παράλληλα σ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 xml:space="preserve">το πλαίσιο της </w:t>
      </w:r>
      <w:r w:rsidR="000E5508">
        <w:rPr>
          <w:rFonts w:ascii="Arial" w:eastAsia="Times New Roman" w:hAnsi="Arial" w:cs="Arial"/>
          <w:sz w:val="24"/>
          <w:szCs w:val="24"/>
          <w:lang w:val="el-GR"/>
        </w:rPr>
        <w:t xml:space="preserve">περαιτέρω 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>προσπάθειας μείωσης του κόστους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0E5508">
        <w:rPr>
          <w:rFonts w:ascii="Arial" w:eastAsia="Times New Roman" w:hAnsi="Arial" w:cs="Arial"/>
          <w:sz w:val="24"/>
          <w:szCs w:val="24"/>
          <w:lang w:val="el-GR"/>
        </w:rPr>
        <w:t xml:space="preserve">των </w:t>
      </w:r>
      <w:r w:rsidR="00F03959">
        <w:rPr>
          <w:rFonts w:ascii="Arial" w:eastAsia="Times New Roman" w:hAnsi="Arial" w:cs="Arial"/>
          <w:sz w:val="24"/>
          <w:szCs w:val="24"/>
          <w:lang w:val="el-GR"/>
        </w:rPr>
        <w:t>αρνητικών επιτοκίων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 xml:space="preserve">ο ΚΟΑΠ έχει καταμερίσει τα </w:t>
      </w:r>
      <w:r w:rsidR="00557A3E">
        <w:rPr>
          <w:rFonts w:ascii="Arial" w:eastAsia="Times New Roman" w:hAnsi="Arial" w:cs="Arial"/>
          <w:sz w:val="24"/>
          <w:szCs w:val="24"/>
          <w:lang w:val="el-GR"/>
        </w:rPr>
        <w:t xml:space="preserve">μη άμεσα απαιτητά για πληρωμές 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>τραπεζικ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 xml:space="preserve">του 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>υπ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>όλοιπα</w:t>
      </w:r>
      <w:r w:rsidR="004F0689">
        <w:rPr>
          <w:rFonts w:ascii="Arial" w:eastAsia="Times New Roman" w:hAnsi="Arial" w:cs="Arial"/>
          <w:sz w:val="24"/>
          <w:szCs w:val="24"/>
          <w:lang w:val="el-GR"/>
        </w:rPr>
        <w:t xml:space="preserve"> σε λογαριασμούς προθεσμίας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 xml:space="preserve"> σ</w:t>
      </w:r>
      <w:r w:rsidR="00557A3E">
        <w:rPr>
          <w:rFonts w:ascii="Arial" w:eastAsia="Times New Roman" w:hAnsi="Arial" w:cs="Arial"/>
          <w:sz w:val="24"/>
          <w:szCs w:val="24"/>
          <w:lang w:val="el-GR"/>
        </w:rPr>
        <w:t>ε</w:t>
      </w:r>
      <w:r w:rsidR="004F068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57A3E">
        <w:rPr>
          <w:rFonts w:ascii="Arial" w:eastAsia="Times New Roman" w:hAnsi="Arial" w:cs="Arial"/>
          <w:sz w:val="24"/>
          <w:szCs w:val="24"/>
          <w:lang w:val="el-GR"/>
        </w:rPr>
        <w:t xml:space="preserve">άλλα </w:t>
      </w:r>
      <w:r w:rsidR="004F0689">
        <w:rPr>
          <w:rFonts w:ascii="Arial" w:eastAsia="Times New Roman" w:hAnsi="Arial" w:cs="Arial"/>
          <w:sz w:val="24"/>
          <w:szCs w:val="24"/>
          <w:lang w:val="el-GR"/>
        </w:rPr>
        <w:t>πιστωτικά ιδρύματα</w:t>
      </w:r>
      <w:r w:rsidR="0083075C"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  <w:r w:rsidR="004F068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531C0">
        <w:rPr>
          <w:rFonts w:ascii="Arial" w:eastAsia="Times New Roman" w:hAnsi="Arial" w:cs="Arial"/>
          <w:sz w:val="24"/>
          <w:szCs w:val="24"/>
          <w:lang w:val="el-GR"/>
        </w:rPr>
        <w:t xml:space="preserve">    </w:t>
      </w:r>
      <w:r w:rsidR="00E11C3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0F1AB56E" w14:textId="77777777" w:rsidR="00734EBA" w:rsidRDefault="0083075C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>4.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5C6581">
        <w:rPr>
          <w:rFonts w:ascii="Arial" w:eastAsia="Times New Roman" w:hAnsi="Arial" w:cs="Arial"/>
          <w:sz w:val="24"/>
          <w:szCs w:val="24"/>
          <w:lang w:val="el-GR"/>
        </w:rPr>
        <w:t>Η μείωση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 xml:space="preserve"> της γραφειοκρατίας αποτελεί στόχο του ΚΟΑΠ, ο οποίος θα επιτευχθεί μέσω των νέων πολιτικών του, καθώς και </w:t>
      </w:r>
      <w:r w:rsidR="00734EBA">
        <w:rPr>
          <w:rFonts w:ascii="Arial" w:eastAsia="Times New Roman" w:hAnsi="Arial" w:cs="Arial"/>
          <w:sz w:val="24"/>
          <w:szCs w:val="24"/>
          <w:lang w:val="el-GR"/>
        </w:rPr>
        <w:t xml:space="preserve">της εφαρμογής νέου 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>συστ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>ήματος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 xml:space="preserve"> παρακολούθησης 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των καλλιεργειών </w:t>
      </w:r>
      <w:r w:rsidR="00BA0746">
        <w:rPr>
          <w:rFonts w:ascii="Arial" w:eastAsia="Times New Roman" w:hAnsi="Arial" w:cs="Arial"/>
          <w:sz w:val="24"/>
          <w:szCs w:val="24"/>
          <w:lang w:val="el-GR"/>
        </w:rPr>
        <w:t>στο πλαίσιο της νέας ΚΑΠ.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  Επιπλέον, ο ΚΟΑΠ προγραμματίζει εκστρατεί</w:t>
      </w:r>
      <w:r w:rsidR="005C6581">
        <w:rPr>
          <w:rFonts w:ascii="Arial" w:eastAsia="Times New Roman" w:hAnsi="Arial" w:cs="Arial"/>
          <w:sz w:val="24"/>
          <w:szCs w:val="24"/>
          <w:lang w:val="el-GR"/>
        </w:rPr>
        <w:t>ες</w:t>
      </w:r>
      <w:r w:rsidR="009A4696">
        <w:rPr>
          <w:rFonts w:ascii="Arial" w:eastAsia="Times New Roman" w:hAnsi="Arial" w:cs="Arial"/>
          <w:sz w:val="24"/>
          <w:szCs w:val="24"/>
          <w:lang w:val="el-GR"/>
        </w:rPr>
        <w:t xml:space="preserve"> ενημέρωσης </w:t>
      </w:r>
      <w:r w:rsidR="005C6581">
        <w:rPr>
          <w:rFonts w:ascii="Arial" w:eastAsia="Times New Roman" w:hAnsi="Arial" w:cs="Arial"/>
          <w:sz w:val="24"/>
          <w:szCs w:val="24"/>
          <w:lang w:val="el-GR"/>
        </w:rPr>
        <w:t>των αγροτών τόσο για τα προγράμματα επιδότησης και την ΚΑΠ όσο και για την ορθή και έγκαιρη υποβολή των αιτήσεων με σκοπό τον περιορισμό του χρόνου εξέτασης των αιτήσεων.</w:t>
      </w:r>
    </w:p>
    <w:p w14:paraId="186820DA" w14:textId="5D3D571A" w:rsidR="00F33739" w:rsidRDefault="00734EBA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5.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08089B">
        <w:rPr>
          <w:rFonts w:ascii="Arial" w:eastAsia="Times New Roman" w:hAnsi="Arial" w:cs="Arial"/>
          <w:sz w:val="24"/>
          <w:szCs w:val="24"/>
          <w:lang w:val="el-GR"/>
        </w:rPr>
        <w:t xml:space="preserve">Η κυβέρνηση παρέχει </w:t>
      </w:r>
      <w:r w:rsidR="004A4744">
        <w:rPr>
          <w:rFonts w:ascii="Arial" w:eastAsia="Times New Roman" w:hAnsi="Arial" w:cs="Arial"/>
          <w:sz w:val="24"/>
          <w:szCs w:val="24"/>
          <w:lang w:val="el-GR"/>
        </w:rPr>
        <w:t>επιχειρηματικά σχέδια, καθώς και</w:t>
      </w:r>
      <w:r w:rsidR="0008089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A4744">
        <w:rPr>
          <w:rFonts w:ascii="Arial" w:eastAsia="Times New Roman" w:hAnsi="Arial" w:cs="Arial"/>
          <w:sz w:val="24"/>
          <w:szCs w:val="24"/>
          <w:lang w:val="el-GR"/>
        </w:rPr>
        <w:t>διάφορα κίνητρα μέσω της ΚΑΠ προς</w:t>
      </w:r>
      <w:r w:rsidR="0008089B">
        <w:rPr>
          <w:rFonts w:ascii="Arial" w:eastAsia="Times New Roman" w:hAnsi="Arial" w:cs="Arial"/>
          <w:sz w:val="24"/>
          <w:szCs w:val="24"/>
          <w:lang w:val="el-GR"/>
        </w:rPr>
        <w:t xml:space="preserve"> νέους αγρότες</w:t>
      </w:r>
      <w:r w:rsidR="00953149">
        <w:rPr>
          <w:rFonts w:ascii="Arial" w:eastAsia="Times New Roman" w:hAnsi="Arial" w:cs="Arial"/>
          <w:sz w:val="24"/>
          <w:szCs w:val="24"/>
          <w:lang w:val="el-GR"/>
        </w:rPr>
        <w:t>, για τα οποία ωστόσο παρατηρείται ελλιπής ενημέρωση του κοινού.  Προς τον σκοπό αυτό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953149">
        <w:rPr>
          <w:rFonts w:ascii="Arial" w:eastAsia="Times New Roman" w:hAnsi="Arial" w:cs="Arial"/>
          <w:sz w:val="24"/>
          <w:szCs w:val="24"/>
          <w:lang w:val="el-GR"/>
        </w:rPr>
        <w:t>ο</w:t>
      </w:r>
      <w:r w:rsidR="004A4744">
        <w:rPr>
          <w:rFonts w:ascii="Arial" w:eastAsia="Times New Roman" w:hAnsi="Arial" w:cs="Arial"/>
          <w:sz w:val="24"/>
          <w:szCs w:val="24"/>
          <w:lang w:val="el-GR"/>
        </w:rPr>
        <w:t xml:space="preserve"> ΚΟΑΠ προγραμματίζει την ενημέρωση του κοινού για τα σχετικά προγράμματα</w:t>
      </w:r>
      <w:r w:rsidR="0008089B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4A4744">
        <w:rPr>
          <w:rFonts w:ascii="Arial" w:eastAsia="Times New Roman" w:hAnsi="Arial" w:cs="Arial"/>
          <w:sz w:val="24"/>
          <w:szCs w:val="24"/>
          <w:lang w:val="el-GR"/>
        </w:rPr>
        <w:t xml:space="preserve">  Επιπροσθέτως, μέσω των προγραμμάτων της ΚΑΠ, καθώς και άλλων εθνικών σχεδίων παρέχονται κίνητρα για </w:t>
      </w:r>
      <w:r w:rsidR="003018A1">
        <w:rPr>
          <w:rFonts w:ascii="Arial" w:eastAsia="Times New Roman" w:hAnsi="Arial" w:cs="Arial"/>
          <w:sz w:val="24"/>
          <w:szCs w:val="24"/>
          <w:lang w:val="el-GR"/>
        </w:rPr>
        <w:t xml:space="preserve">εγκατάσταση </w:t>
      </w:r>
      <w:r w:rsidR="00F33739">
        <w:rPr>
          <w:rFonts w:ascii="Arial" w:eastAsia="Times New Roman" w:hAnsi="Arial" w:cs="Arial"/>
          <w:sz w:val="24"/>
          <w:szCs w:val="24"/>
          <w:lang w:val="el-GR"/>
        </w:rPr>
        <w:t xml:space="preserve">ατόμων </w:t>
      </w:r>
      <w:r w:rsidR="003018A1">
        <w:rPr>
          <w:rFonts w:ascii="Arial" w:eastAsia="Times New Roman" w:hAnsi="Arial" w:cs="Arial"/>
          <w:sz w:val="24"/>
          <w:szCs w:val="24"/>
          <w:lang w:val="el-GR"/>
        </w:rPr>
        <w:t>στην ύπαιθρο.</w:t>
      </w:r>
      <w:r w:rsidR="00F33739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</w:p>
    <w:p w14:paraId="509BDCCD" w14:textId="536A1A03" w:rsidR="00E105E3" w:rsidRDefault="00F33739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6.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>Ο ΚΟΑΠ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57A3E">
        <w:rPr>
          <w:rFonts w:ascii="Arial" w:eastAsia="Times New Roman" w:hAnsi="Arial" w:cs="Arial"/>
          <w:sz w:val="24"/>
          <w:szCs w:val="24"/>
          <w:lang w:val="el-GR"/>
        </w:rPr>
        <w:t xml:space="preserve">αφού </w:t>
      </w:r>
      <w:r w:rsidR="00E105E3">
        <w:rPr>
          <w:rFonts w:ascii="Arial" w:eastAsia="Times New Roman" w:hAnsi="Arial" w:cs="Arial"/>
          <w:sz w:val="24"/>
          <w:szCs w:val="24"/>
          <w:lang w:val="el-GR"/>
        </w:rPr>
        <w:t>λάβει τη σχετική βάση δεδομένων την οποία καταρτίζει το</w:t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 xml:space="preserve"> Υπουργείο Γεωργίας, Αγροτικής Ανάπτυξης και Περιβάλλοντος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557A3E">
        <w:rPr>
          <w:rFonts w:ascii="Arial" w:eastAsia="Times New Roman" w:hAnsi="Arial" w:cs="Arial"/>
          <w:sz w:val="24"/>
          <w:szCs w:val="24"/>
          <w:lang w:val="el-GR"/>
        </w:rPr>
        <w:t xml:space="preserve"> θα προβεί αμέσως στις πληρωμές για αποζημίωση των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πυρ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πλ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κτων</w:t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>.</w:t>
      </w:r>
      <w:r w:rsidR="00E105E3">
        <w:rPr>
          <w:rFonts w:ascii="Arial" w:eastAsia="Times New Roman" w:hAnsi="Arial" w:cs="Arial"/>
          <w:sz w:val="24"/>
          <w:szCs w:val="24"/>
          <w:lang w:val="el-GR"/>
        </w:rPr>
        <w:t xml:space="preserve">  Επιπρόσθετα, αναμένεται η προκήρυξη </w:t>
      </w:r>
      <w:r w:rsidR="00E41B4F">
        <w:rPr>
          <w:rFonts w:ascii="Arial" w:eastAsia="Times New Roman" w:hAnsi="Arial" w:cs="Arial"/>
          <w:sz w:val="24"/>
          <w:szCs w:val="24"/>
          <w:lang w:val="el-GR"/>
        </w:rPr>
        <w:t xml:space="preserve">από την κυβέρνηση </w:t>
      </w:r>
      <w:r w:rsidR="00E105E3">
        <w:rPr>
          <w:rFonts w:ascii="Arial" w:eastAsia="Times New Roman" w:hAnsi="Arial" w:cs="Arial"/>
          <w:sz w:val="24"/>
          <w:szCs w:val="24"/>
          <w:lang w:val="el-GR"/>
        </w:rPr>
        <w:t xml:space="preserve">νέου </w:t>
      </w:r>
      <w:r w:rsidR="00E41B4F">
        <w:rPr>
          <w:rFonts w:ascii="Arial" w:eastAsia="Times New Roman" w:hAnsi="Arial" w:cs="Arial"/>
          <w:sz w:val="24"/>
          <w:szCs w:val="24"/>
          <w:lang w:val="el-GR"/>
        </w:rPr>
        <w:t>επενδυτικού σχεδίου</w:t>
      </w:r>
      <w:r w:rsidR="00E105E3">
        <w:rPr>
          <w:rFonts w:ascii="Arial" w:eastAsia="Times New Roman" w:hAnsi="Arial" w:cs="Arial"/>
          <w:sz w:val="24"/>
          <w:szCs w:val="24"/>
          <w:lang w:val="el-GR"/>
        </w:rPr>
        <w:t xml:space="preserve"> για επαναδραστηριοποίηση των 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πυρόπληκτων</w:t>
      </w:r>
      <w:r w:rsidR="00E105E3"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08A95DA6" w14:textId="2AF656C4" w:rsidR="003018A1" w:rsidRDefault="00E105E3" w:rsidP="007A4B9F">
      <w:pPr>
        <w:tabs>
          <w:tab w:val="left" w:pos="567"/>
        </w:tabs>
        <w:spacing w:after="0" w:line="480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7.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>Το συσσωρευμένο έλλειμμα στα ίδια κεφάλαια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ύψους €</w:t>
      </w:r>
      <w:r w:rsidR="0087687A">
        <w:rPr>
          <w:rFonts w:ascii="Arial" w:eastAsia="Times New Roman" w:hAnsi="Arial" w:cs="Arial"/>
          <w:sz w:val="24"/>
          <w:szCs w:val="24"/>
          <w:lang w:val="el-GR"/>
        </w:rPr>
        <w:t>20,5 εκατομ.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87687A">
        <w:rPr>
          <w:rFonts w:ascii="Arial" w:eastAsia="Times New Roman" w:hAnsi="Arial" w:cs="Arial"/>
          <w:sz w:val="24"/>
          <w:szCs w:val="24"/>
          <w:lang w:val="el-GR"/>
        </w:rPr>
        <w:t xml:space="preserve"> αφορά στη μη χρηματοδοτηθείσα υποχρέωση του οργανισμού προς το σχέδιο συντάξεων, το οποίο είναι αντίστοιχο του κυβερνητικού συνταξιοδοτικού σχεδίου.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  </w:t>
      </w:r>
      <w:r w:rsidR="00EC5FCD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F33739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953149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51C7345B" w14:textId="30FE87B1" w:rsidR="002B4922" w:rsidRDefault="0087687A" w:rsidP="0087687A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  <w:t>Σημειώνεται  ότ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ι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στο πλαίσιο της συζήτησης του θέματος ο Επίτροπος Αγροτικών Πληρωμών κατέθεσε αναλυτικά στοιχεία σε σχέση με τις πληρωμές του ΚΟΑΠ τόσο για το έτος 2021 όσο και για τις συνολικές πληρωμές από το έτος ίδρυσης του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οργανισμού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. </w:t>
      </w:r>
    </w:p>
    <w:p w14:paraId="2D3CC84B" w14:textId="77777777" w:rsidR="00092CD3" w:rsidRDefault="00557A3E" w:rsidP="0087687A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ab/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Ο εκπρόσωπος του Υπουργείου Γεωργίας, Αγροτικής Ανάπτυξης και Περιβάλλοντος δήλωσε μεταξύ άλλων </w:t>
      </w:r>
      <w:r w:rsidR="00092CD3">
        <w:rPr>
          <w:rFonts w:ascii="Arial" w:eastAsia="Times New Roman" w:hAnsi="Arial" w:cs="Arial"/>
          <w:sz w:val="24"/>
          <w:szCs w:val="24"/>
          <w:lang w:val="el-GR"/>
        </w:rPr>
        <w:t>τα ακόλουθα:</w:t>
      </w:r>
    </w:p>
    <w:p w14:paraId="68B387C7" w14:textId="2FA863CC" w:rsidR="00092CD3" w:rsidRDefault="00092CD3" w:rsidP="00092CD3">
      <w:pPr>
        <w:tabs>
          <w:tab w:val="left" w:pos="567"/>
        </w:tabs>
        <w:spacing w:after="0" w:line="48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lastRenderedPageBreak/>
        <w:t>1.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>Τ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ο </w:t>
      </w:r>
      <w:r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πουργείο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Γεωργίας, Αγροτικής Ανάπτυξης και Περιβάλλοντος </w:t>
      </w:r>
      <w:r w:rsidR="0074142C">
        <w:rPr>
          <w:rFonts w:ascii="Arial" w:eastAsia="Times New Roman" w:hAnsi="Arial" w:cs="Arial"/>
          <w:sz w:val="24"/>
          <w:szCs w:val="24"/>
          <w:lang w:val="el-GR"/>
        </w:rPr>
        <w:t>έχει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837457">
        <w:rPr>
          <w:rFonts w:ascii="Arial" w:eastAsia="Times New Roman" w:hAnsi="Arial" w:cs="Arial"/>
          <w:sz w:val="24"/>
          <w:szCs w:val="24"/>
          <w:lang w:val="el-GR"/>
        </w:rPr>
        <w:t>καταρτίσει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νέο επενδυτικό 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>σχέδιο</w:t>
      </w:r>
      <w:r>
        <w:rPr>
          <w:rFonts w:ascii="Arial" w:eastAsia="Times New Roman" w:hAnsi="Arial" w:cs="Arial"/>
          <w:sz w:val="24"/>
          <w:szCs w:val="24"/>
          <w:lang w:val="el-GR"/>
        </w:rPr>
        <w:t>,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 το οποίο θα αφορά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μεταξύ άλλων τους 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>νέους αγρότες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και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τους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πυρ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ό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πλ</w:t>
      </w:r>
      <w:r w:rsidR="00307BFB">
        <w:rPr>
          <w:rFonts w:ascii="Arial" w:eastAsia="Times New Roman" w:hAnsi="Arial" w:cs="Arial"/>
          <w:sz w:val="24"/>
          <w:szCs w:val="24"/>
          <w:lang w:val="el-GR"/>
        </w:rPr>
        <w:t>η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κτους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CCA4EC3" w14:textId="0511B6DC" w:rsidR="009A4696" w:rsidRDefault="00092CD3" w:rsidP="00092CD3">
      <w:pPr>
        <w:tabs>
          <w:tab w:val="left" w:pos="567"/>
        </w:tabs>
        <w:spacing w:after="0" w:line="480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2.</w:t>
      </w:r>
      <w:r>
        <w:rPr>
          <w:rFonts w:ascii="Arial" w:eastAsia="Times New Roman" w:hAnsi="Arial" w:cs="Arial"/>
          <w:sz w:val="24"/>
          <w:szCs w:val="24"/>
          <w:lang w:val="el-GR"/>
        </w:rPr>
        <w:tab/>
        <w:t>Η κυβέρνηση παρέχει επενδυτικά σχέδια σε αγρότες των ορεινών περιοχών, τα οποία θα συνεχίσουν και για την τρέχουσα περίοδο.  Επιπροσθέτως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εισάγονται ειδικά επενδυτικά σχέδια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>για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τη χρηματοδότηση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 xml:space="preserve">κατά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75% 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ως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>μ</w:t>
      </w:r>
      <w:r>
        <w:rPr>
          <w:rFonts w:ascii="Arial" w:eastAsia="Times New Roman" w:hAnsi="Arial" w:cs="Arial"/>
          <w:sz w:val="24"/>
          <w:szCs w:val="24"/>
          <w:lang w:val="el-GR"/>
        </w:rPr>
        <w:t>έγιστο</w:t>
      </w:r>
      <w:r w:rsidR="00E6586F">
        <w:rPr>
          <w:rFonts w:ascii="Arial" w:eastAsia="Times New Roman" w:hAnsi="Arial" w:cs="Arial"/>
          <w:sz w:val="24"/>
          <w:szCs w:val="24"/>
          <w:lang w:val="el-GR"/>
        </w:rPr>
        <w:t xml:space="preserve"> ποσοστό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 xml:space="preserve">πράσινων </w:t>
      </w:r>
      <w:r>
        <w:rPr>
          <w:rFonts w:ascii="Arial" w:eastAsia="Times New Roman" w:hAnsi="Arial" w:cs="Arial"/>
          <w:sz w:val="24"/>
          <w:szCs w:val="24"/>
          <w:lang w:val="el-GR"/>
        </w:rPr>
        <w:t>επενδύσε</w:t>
      </w:r>
      <w:r w:rsidR="00200072">
        <w:rPr>
          <w:rFonts w:ascii="Arial" w:eastAsia="Times New Roman" w:hAnsi="Arial" w:cs="Arial"/>
          <w:sz w:val="24"/>
          <w:szCs w:val="24"/>
          <w:lang w:val="el-GR"/>
        </w:rPr>
        <w:t xml:space="preserve">ων. 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16207D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D817AB">
        <w:rPr>
          <w:rFonts w:ascii="Arial" w:eastAsia="Times New Roman" w:hAnsi="Arial" w:cs="Arial"/>
          <w:sz w:val="24"/>
          <w:szCs w:val="24"/>
          <w:lang w:val="el-GR"/>
        </w:rPr>
        <w:t xml:space="preserve">  </w:t>
      </w:r>
      <w:r w:rsidR="00DA3606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B4922">
        <w:rPr>
          <w:rFonts w:ascii="Arial" w:eastAsia="Times New Roman" w:hAnsi="Arial" w:cs="Arial"/>
          <w:sz w:val="24"/>
          <w:szCs w:val="24"/>
          <w:lang w:val="el-GR"/>
        </w:rPr>
        <w:t xml:space="preserve">   </w:t>
      </w:r>
      <w:r w:rsidR="0087687A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C6581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233E8259" w14:textId="62CE167C" w:rsidR="00200072" w:rsidRPr="00200072" w:rsidRDefault="00200072" w:rsidP="00200072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/>
          <w:sz w:val="24"/>
          <w:szCs w:val="20"/>
          <w:lang w:val="el-GR"/>
        </w:rPr>
      </w:pPr>
      <w:r>
        <w:rPr>
          <w:rFonts w:ascii="Arial" w:hAnsi="Arial" w:cs="Arial"/>
          <w:sz w:val="24"/>
          <w:lang w:val="el-GR"/>
        </w:rPr>
        <w:tab/>
      </w:r>
      <w:r w:rsidRPr="00200072">
        <w:rPr>
          <w:rFonts w:ascii="Arial" w:hAnsi="Arial" w:cs="Arial"/>
          <w:sz w:val="24"/>
          <w:lang w:val="el-GR"/>
        </w:rPr>
        <w:t xml:space="preserve">Η Κοινοβουλευτική Επιτροπή Οικονομικών και Προϋπολογισμού, αφού διεξήλθε τις επιμέρους πρόνοιες του νομοσχεδίου, </w:t>
      </w:r>
      <w:r w:rsidRPr="00200072">
        <w:rPr>
          <w:rFonts w:ascii="Arial" w:eastAsia="Times New Roman" w:hAnsi="Arial"/>
          <w:sz w:val="24"/>
          <w:szCs w:val="20"/>
          <w:lang w:val="el-GR"/>
        </w:rPr>
        <w:t>κατέληξε στις ακόλουθες θέσεις:</w:t>
      </w:r>
    </w:p>
    <w:p w14:paraId="301B4FF3" w14:textId="13A0BF6F" w:rsidR="00200072" w:rsidRPr="00200072" w:rsidRDefault="00200072" w:rsidP="0020007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0"/>
          <w:lang w:val="el-GR"/>
        </w:rPr>
      </w:pPr>
      <w:r w:rsidRPr="00200072">
        <w:rPr>
          <w:rFonts w:ascii="Arial" w:eastAsia="Times New Roman" w:hAnsi="Arial"/>
          <w:sz w:val="24"/>
          <w:szCs w:val="20"/>
          <w:lang w:val="el-GR"/>
        </w:rPr>
        <w:t xml:space="preserve">Η πρόεδρος της επιτροπής και το μέλος της βουλευτές της κοινοβουλευτικής ομάδας του Δημοκρατικού Κόμματος, τα μέλη της βουλευτές της κοινοβουλευτικής ομάδας ΑΚΕΛ-Αριστερά-Νέες Δυνάμεις, </w:t>
      </w:r>
      <w:r w:rsidR="004D0479">
        <w:rPr>
          <w:rFonts w:ascii="Arial" w:eastAsia="Times New Roman" w:hAnsi="Arial"/>
          <w:sz w:val="24"/>
          <w:szCs w:val="20"/>
          <w:lang w:val="el-GR"/>
        </w:rPr>
        <w:t xml:space="preserve">το μέλος της βουλευτής του Εθνικού Λαϊκού Μετώπου, </w:t>
      </w:r>
      <w:r>
        <w:rPr>
          <w:rFonts w:ascii="Arial" w:eastAsia="Times New Roman" w:hAnsi="Arial"/>
          <w:sz w:val="24"/>
          <w:szCs w:val="20"/>
          <w:lang w:val="el-GR"/>
        </w:rPr>
        <w:t xml:space="preserve">το μέλος της βουλευτής του Κινήματος Σοσιαλδημοκρατών ΕΔΕΚ, </w:t>
      </w:r>
      <w:r w:rsidR="004D0479">
        <w:rPr>
          <w:rFonts w:ascii="Arial" w:eastAsia="Times New Roman" w:hAnsi="Arial"/>
          <w:sz w:val="24"/>
          <w:szCs w:val="20"/>
          <w:lang w:val="el-GR"/>
        </w:rPr>
        <w:t xml:space="preserve">καθώς και </w:t>
      </w:r>
      <w:r w:rsidRPr="00200072">
        <w:rPr>
          <w:rFonts w:ascii="Arial" w:eastAsia="Times New Roman" w:hAnsi="Arial"/>
          <w:sz w:val="24"/>
          <w:szCs w:val="20"/>
          <w:lang w:val="el-GR"/>
        </w:rPr>
        <w:t>το μέλος της βουλευτής της Δημοκρατικής Παράταξης επιφυλάχθηκαν να τοποθετηθούν κατά τη συζήτηση του θέματος στην ολομέλεια του σώματος.</w:t>
      </w:r>
    </w:p>
    <w:p w14:paraId="31977877" w14:textId="72493C3A" w:rsidR="00200072" w:rsidRPr="00200072" w:rsidRDefault="00200072" w:rsidP="00200072">
      <w:pPr>
        <w:numPr>
          <w:ilvl w:val="0"/>
          <w:numId w:val="6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Times New Roman" w:hAnsi="Arial"/>
          <w:sz w:val="24"/>
          <w:szCs w:val="20"/>
          <w:lang w:val="el-GR"/>
        </w:rPr>
      </w:pPr>
      <w:r w:rsidRPr="00200072">
        <w:rPr>
          <w:rFonts w:ascii="Arial" w:eastAsia="Times New Roman" w:hAnsi="Arial"/>
          <w:sz w:val="24"/>
          <w:szCs w:val="20"/>
          <w:lang w:val="el-GR"/>
        </w:rPr>
        <w:t>Τα μέλη της επιτροπής βουλευτές της κοινοβουλευτικής ομάδας του Δημοκρατικού Συναγερμού τάχθηκαν υπέρ της ψήφισης του νομοσχεδίου σε νόμο</w:t>
      </w:r>
      <w:r>
        <w:rPr>
          <w:rFonts w:ascii="Arial" w:eastAsia="Times New Roman" w:hAnsi="Arial"/>
          <w:sz w:val="24"/>
          <w:szCs w:val="20"/>
          <w:lang w:val="el-GR"/>
        </w:rPr>
        <w:t xml:space="preserve"> </w:t>
      </w:r>
      <w:r w:rsidRPr="00200072">
        <w:rPr>
          <w:rFonts w:ascii="Arial" w:eastAsia="Times New Roman" w:hAnsi="Arial"/>
          <w:sz w:val="24"/>
          <w:szCs w:val="20"/>
          <w:lang w:val="el-GR"/>
        </w:rPr>
        <w:t xml:space="preserve">για την κατά νόμο έγκριση του προϋπολογισμού του </w:t>
      </w:r>
      <w:r>
        <w:rPr>
          <w:rFonts w:ascii="Arial" w:eastAsia="Times New Roman" w:hAnsi="Arial"/>
          <w:sz w:val="24"/>
          <w:szCs w:val="20"/>
          <w:lang w:val="el-GR"/>
        </w:rPr>
        <w:t>Κ</w:t>
      </w:r>
      <w:r w:rsidRPr="00200072">
        <w:rPr>
          <w:rFonts w:ascii="Arial" w:eastAsia="Times New Roman" w:hAnsi="Arial"/>
          <w:sz w:val="24"/>
          <w:szCs w:val="20"/>
          <w:lang w:val="el-GR"/>
        </w:rPr>
        <w:t>ΟΑΠ για το έτος 202</w:t>
      </w:r>
      <w:r>
        <w:rPr>
          <w:rFonts w:ascii="Arial" w:eastAsia="Times New Roman" w:hAnsi="Arial"/>
          <w:sz w:val="24"/>
          <w:szCs w:val="20"/>
          <w:lang w:val="el-GR"/>
        </w:rPr>
        <w:t>2</w:t>
      </w:r>
      <w:r w:rsidRPr="00200072">
        <w:rPr>
          <w:rFonts w:ascii="Arial" w:eastAsia="Times New Roman" w:hAnsi="Arial"/>
          <w:sz w:val="24"/>
          <w:szCs w:val="20"/>
          <w:lang w:val="el-GR"/>
        </w:rPr>
        <w:t>.</w:t>
      </w:r>
    </w:p>
    <w:p w14:paraId="274C9FB1" w14:textId="77777777" w:rsidR="00200072" w:rsidRPr="00200072" w:rsidRDefault="00200072" w:rsidP="0020007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lang w:val="el-GR"/>
        </w:rPr>
      </w:pPr>
      <w:r w:rsidRPr="00200072">
        <w:rPr>
          <w:rFonts w:ascii="Arial" w:eastAsia="Times New Roman" w:hAnsi="Arial"/>
          <w:sz w:val="24"/>
          <w:szCs w:val="20"/>
          <w:lang w:val="el-GR"/>
        </w:rPr>
        <w:tab/>
      </w:r>
      <w:r w:rsidRPr="00200072">
        <w:rPr>
          <w:rFonts w:ascii="Arial" w:hAnsi="Arial" w:cs="Arial"/>
          <w:sz w:val="24"/>
          <w:lang w:val="el-GR"/>
        </w:rPr>
        <w:t>Υπό το φως των πιο πάνω θέσεων, η Κοινοβουλευτική Επιτροπή Οικονομικών και Προϋπολογισμού με την παρούσα έκθεσή της υποβάλλει το υπό αναφορά νομοσχέδιο για τη λήψη τελικής απόφασης κατά τη συζήτησή του στην ολομέλεια του σώματος.</w:t>
      </w:r>
    </w:p>
    <w:p w14:paraId="33824C50" w14:textId="77777777" w:rsidR="00435221" w:rsidRDefault="00435221" w:rsidP="00AB2F8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EFA1692" w14:textId="4405F484" w:rsidR="00AB2F83" w:rsidRDefault="004D0479" w:rsidP="00AB2F8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25</w:t>
      </w:r>
      <w:r w:rsidR="00AB2F83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l-GR"/>
        </w:rPr>
        <w:t>Ιανουα</w:t>
      </w:r>
      <w:r w:rsidR="0032304F">
        <w:rPr>
          <w:rFonts w:ascii="Arial" w:eastAsia="Times New Roman" w:hAnsi="Arial" w:cs="Arial"/>
          <w:sz w:val="24"/>
          <w:szCs w:val="24"/>
          <w:lang w:val="el-GR"/>
        </w:rPr>
        <w:t>ρίου</w:t>
      </w:r>
      <w:r w:rsidR="00AB2F83">
        <w:rPr>
          <w:rFonts w:ascii="Arial" w:eastAsia="Times New Roman" w:hAnsi="Arial" w:cs="Arial"/>
          <w:sz w:val="24"/>
          <w:szCs w:val="24"/>
          <w:lang w:val="el-GR"/>
        </w:rPr>
        <w:t xml:space="preserve"> 20</w:t>
      </w:r>
      <w:r w:rsidR="0032304F">
        <w:rPr>
          <w:rFonts w:ascii="Arial" w:eastAsia="Times New Roman" w:hAnsi="Arial" w:cs="Arial"/>
          <w:sz w:val="24"/>
          <w:szCs w:val="24"/>
          <w:lang w:val="el-GR"/>
        </w:rPr>
        <w:t>2</w:t>
      </w:r>
      <w:r>
        <w:rPr>
          <w:rFonts w:ascii="Arial" w:eastAsia="Times New Roman" w:hAnsi="Arial" w:cs="Arial"/>
          <w:sz w:val="24"/>
          <w:szCs w:val="24"/>
          <w:lang w:val="el-GR"/>
        </w:rPr>
        <w:t>2</w:t>
      </w:r>
    </w:p>
    <w:p w14:paraId="780734BF" w14:textId="77777777" w:rsidR="00435221" w:rsidRDefault="004D0479" w:rsidP="00A83F33">
      <w:pPr>
        <w:tabs>
          <w:tab w:val="left" w:pos="567"/>
        </w:tabs>
        <w:spacing w:after="0" w:line="48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4D0479">
        <w:rPr>
          <w:rFonts w:ascii="Arial" w:eastAsia="Times New Roman" w:hAnsi="Arial" w:cs="Arial"/>
          <w:sz w:val="24"/>
          <w:szCs w:val="24"/>
          <w:lang w:val="el-GR"/>
        </w:rPr>
        <w:t>Αρ. Φακ.: 23.01.062.218-2021</w:t>
      </w:r>
      <w:r w:rsidR="00497F1F">
        <w:rPr>
          <w:rFonts w:ascii="Arial" w:eastAsia="Times New Roman" w:hAnsi="Arial" w:cs="Arial"/>
          <w:sz w:val="24"/>
          <w:szCs w:val="24"/>
          <w:lang w:val="el-GR"/>
        </w:rPr>
        <w:t xml:space="preserve">   </w:t>
      </w:r>
    </w:p>
    <w:p w14:paraId="6471FE01" w14:textId="0E7F4F2B" w:rsidR="002A54AA" w:rsidRPr="00435221" w:rsidRDefault="0032304F" w:rsidP="00A83F33">
      <w:pPr>
        <w:tabs>
          <w:tab w:val="left" w:pos="567"/>
        </w:tabs>
        <w:spacing w:after="0" w:line="480" w:lineRule="auto"/>
        <w:contextualSpacing/>
        <w:jc w:val="both"/>
        <w:rPr>
          <w:lang w:val="el-GR"/>
        </w:rPr>
      </w:pPr>
      <w:r>
        <w:rPr>
          <w:rFonts w:ascii="Arial" w:eastAsia="Times New Roman" w:hAnsi="Arial" w:cs="Arial"/>
          <w:sz w:val="16"/>
          <w:szCs w:val="16"/>
          <w:lang w:val="el-GR"/>
        </w:rPr>
        <w:t>ΣΧΚ</w:t>
      </w:r>
      <w:r w:rsidR="0017446C">
        <w:rPr>
          <w:rFonts w:ascii="Arial" w:eastAsia="Times New Roman" w:hAnsi="Arial" w:cs="Arial"/>
          <w:sz w:val="16"/>
          <w:szCs w:val="16"/>
          <w:lang w:val="el-GR"/>
        </w:rPr>
        <w:t>/</w:t>
      </w:r>
      <w:r w:rsidR="003D04B2">
        <w:rPr>
          <w:rFonts w:ascii="Arial" w:eastAsia="Times New Roman" w:hAnsi="Arial" w:cs="Arial"/>
          <w:sz w:val="16"/>
          <w:szCs w:val="16"/>
          <w:lang w:val="el-GR"/>
        </w:rPr>
        <w:t>ΑΠ/</w:t>
      </w:r>
      <w:r w:rsidR="00435221">
        <w:rPr>
          <w:rFonts w:ascii="Arial" w:eastAsia="Times New Roman" w:hAnsi="Arial" w:cs="Arial"/>
          <w:sz w:val="16"/>
          <w:szCs w:val="16"/>
          <w:lang w:val="el-GR"/>
        </w:rPr>
        <w:t>ΘΧ</w:t>
      </w:r>
    </w:p>
    <w:sectPr w:rsidR="002A54AA" w:rsidRPr="00435221" w:rsidSect="00435221">
      <w:headerReference w:type="even" r:id="rId7"/>
      <w:headerReference w:type="default" r:id="rId8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DD7AF" w14:textId="77777777" w:rsidR="005B3636" w:rsidRDefault="005B3636" w:rsidP="00EE08F8">
      <w:pPr>
        <w:spacing w:after="0" w:line="240" w:lineRule="auto"/>
      </w:pPr>
      <w:r>
        <w:separator/>
      </w:r>
    </w:p>
  </w:endnote>
  <w:endnote w:type="continuationSeparator" w:id="0">
    <w:p w14:paraId="37FCE78A" w14:textId="77777777" w:rsidR="005B3636" w:rsidRDefault="005B3636" w:rsidP="00E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AE92" w14:textId="77777777" w:rsidR="005B3636" w:rsidRDefault="005B3636" w:rsidP="00EE08F8">
      <w:pPr>
        <w:spacing w:after="0" w:line="240" w:lineRule="auto"/>
      </w:pPr>
      <w:r>
        <w:separator/>
      </w:r>
    </w:p>
  </w:footnote>
  <w:footnote w:type="continuationSeparator" w:id="0">
    <w:p w14:paraId="5CE16695" w14:textId="77777777" w:rsidR="005B3636" w:rsidRDefault="005B3636" w:rsidP="00EE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3626" w14:textId="77777777" w:rsidR="00285035" w:rsidRDefault="006B00BC" w:rsidP="009E02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4D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F115E" w14:textId="77777777" w:rsidR="00285035" w:rsidRDefault="005B3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0BD9" w14:textId="77777777" w:rsidR="00285035" w:rsidRPr="00F9266A" w:rsidRDefault="006B00BC" w:rsidP="00897392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F9266A">
      <w:rPr>
        <w:rStyle w:val="PageNumber"/>
        <w:rFonts w:ascii="Arial" w:hAnsi="Arial" w:cs="Arial"/>
        <w:sz w:val="24"/>
        <w:szCs w:val="24"/>
      </w:rPr>
      <w:fldChar w:fldCharType="begin"/>
    </w:r>
    <w:r w:rsidR="00FF4D02" w:rsidRPr="00F9266A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F9266A">
      <w:rPr>
        <w:rStyle w:val="PageNumber"/>
        <w:rFonts w:ascii="Arial" w:hAnsi="Arial" w:cs="Arial"/>
        <w:sz w:val="24"/>
        <w:szCs w:val="24"/>
      </w:rPr>
      <w:fldChar w:fldCharType="separate"/>
    </w:r>
    <w:r w:rsidR="00CC4418">
      <w:rPr>
        <w:rStyle w:val="PageNumber"/>
        <w:rFonts w:ascii="Arial" w:hAnsi="Arial" w:cs="Arial"/>
        <w:noProof/>
        <w:sz w:val="24"/>
        <w:szCs w:val="24"/>
      </w:rPr>
      <w:t>3</w:t>
    </w:r>
    <w:r w:rsidRPr="00F9266A">
      <w:rPr>
        <w:rStyle w:val="PageNumber"/>
        <w:rFonts w:ascii="Arial" w:hAnsi="Arial" w:cs="Arial"/>
        <w:sz w:val="24"/>
        <w:szCs w:val="24"/>
      </w:rPr>
      <w:fldChar w:fldCharType="end"/>
    </w:r>
  </w:p>
  <w:p w14:paraId="55EB7220" w14:textId="77777777" w:rsidR="00285035" w:rsidRDefault="005B3636">
    <w:pPr>
      <w:pStyle w:val="Header"/>
      <w:jc w:val="center"/>
    </w:pPr>
  </w:p>
  <w:p w14:paraId="44861DDA" w14:textId="77777777" w:rsidR="00285035" w:rsidRDefault="005B3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3E9C"/>
    <w:multiLevelType w:val="hybridMultilevel"/>
    <w:tmpl w:val="7242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26F"/>
    <w:multiLevelType w:val="hybridMultilevel"/>
    <w:tmpl w:val="1B3048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5C2"/>
    <w:multiLevelType w:val="hybridMultilevel"/>
    <w:tmpl w:val="9B9410B6"/>
    <w:lvl w:ilvl="0" w:tplc="8FBE10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06F7"/>
    <w:multiLevelType w:val="hybridMultilevel"/>
    <w:tmpl w:val="E466D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4739"/>
    <w:multiLevelType w:val="hybridMultilevel"/>
    <w:tmpl w:val="4600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4736"/>
    <w:multiLevelType w:val="hybridMultilevel"/>
    <w:tmpl w:val="4F447B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83"/>
    <w:rsid w:val="00020D04"/>
    <w:rsid w:val="00065DA0"/>
    <w:rsid w:val="0008089B"/>
    <w:rsid w:val="00092CD3"/>
    <w:rsid w:val="000A0475"/>
    <w:rsid w:val="000A2D44"/>
    <w:rsid w:val="000A622C"/>
    <w:rsid w:val="000B23A8"/>
    <w:rsid w:val="000C2AB7"/>
    <w:rsid w:val="000D46D0"/>
    <w:rsid w:val="000E5508"/>
    <w:rsid w:val="000F489A"/>
    <w:rsid w:val="00105FCC"/>
    <w:rsid w:val="00136869"/>
    <w:rsid w:val="001531C0"/>
    <w:rsid w:val="0016207D"/>
    <w:rsid w:val="0017446C"/>
    <w:rsid w:val="00182042"/>
    <w:rsid w:val="00190523"/>
    <w:rsid w:val="00192C1A"/>
    <w:rsid w:val="001979E2"/>
    <w:rsid w:val="001B2973"/>
    <w:rsid w:val="001E0B9E"/>
    <w:rsid w:val="001E1DE4"/>
    <w:rsid w:val="00200072"/>
    <w:rsid w:val="00243F3C"/>
    <w:rsid w:val="0026605E"/>
    <w:rsid w:val="00283198"/>
    <w:rsid w:val="00292FED"/>
    <w:rsid w:val="00296A87"/>
    <w:rsid w:val="002A0FF3"/>
    <w:rsid w:val="002A7970"/>
    <w:rsid w:val="002B1974"/>
    <w:rsid w:val="002B4922"/>
    <w:rsid w:val="002C2C36"/>
    <w:rsid w:val="002C2DE5"/>
    <w:rsid w:val="002C6938"/>
    <w:rsid w:val="002E7D3A"/>
    <w:rsid w:val="003018A1"/>
    <w:rsid w:val="00302D35"/>
    <w:rsid w:val="00307BFB"/>
    <w:rsid w:val="0031672E"/>
    <w:rsid w:val="0032304F"/>
    <w:rsid w:val="0035798A"/>
    <w:rsid w:val="00357E56"/>
    <w:rsid w:val="003700B8"/>
    <w:rsid w:val="00375F00"/>
    <w:rsid w:val="00394DB2"/>
    <w:rsid w:val="003C23D0"/>
    <w:rsid w:val="003D04B2"/>
    <w:rsid w:val="003D7906"/>
    <w:rsid w:val="00400AE2"/>
    <w:rsid w:val="00435221"/>
    <w:rsid w:val="00453240"/>
    <w:rsid w:val="004649FB"/>
    <w:rsid w:val="00484F86"/>
    <w:rsid w:val="0049068C"/>
    <w:rsid w:val="00497F1F"/>
    <w:rsid w:val="004A4744"/>
    <w:rsid w:val="004D0479"/>
    <w:rsid w:val="004E0F41"/>
    <w:rsid w:val="004E1ECE"/>
    <w:rsid w:val="004E7E79"/>
    <w:rsid w:val="004F0689"/>
    <w:rsid w:val="004F33E1"/>
    <w:rsid w:val="00520879"/>
    <w:rsid w:val="0053784E"/>
    <w:rsid w:val="0055796D"/>
    <w:rsid w:val="00557A3E"/>
    <w:rsid w:val="00572ABC"/>
    <w:rsid w:val="005A46E0"/>
    <w:rsid w:val="005B3636"/>
    <w:rsid w:val="005B4827"/>
    <w:rsid w:val="005C6581"/>
    <w:rsid w:val="005D79D3"/>
    <w:rsid w:val="005F1A90"/>
    <w:rsid w:val="005F25C6"/>
    <w:rsid w:val="00606450"/>
    <w:rsid w:val="00616981"/>
    <w:rsid w:val="0063264A"/>
    <w:rsid w:val="0064383C"/>
    <w:rsid w:val="00644DE4"/>
    <w:rsid w:val="006514DB"/>
    <w:rsid w:val="0065688D"/>
    <w:rsid w:val="006619FB"/>
    <w:rsid w:val="006A6469"/>
    <w:rsid w:val="006B00BC"/>
    <w:rsid w:val="0071412C"/>
    <w:rsid w:val="00722741"/>
    <w:rsid w:val="00734EBA"/>
    <w:rsid w:val="0074142C"/>
    <w:rsid w:val="0074182B"/>
    <w:rsid w:val="00746397"/>
    <w:rsid w:val="00776FCD"/>
    <w:rsid w:val="007820D5"/>
    <w:rsid w:val="007A4B9F"/>
    <w:rsid w:val="007A6D7F"/>
    <w:rsid w:val="007F488A"/>
    <w:rsid w:val="00805CD7"/>
    <w:rsid w:val="00814602"/>
    <w:rsid w:val="00821EF3"/>
    <w:rsid w:val="0083075C"/>
    <w:rsid w:val="00837457"/>
    <w:rsid w:val="00844B17"/>
    <w:rsid w:val="008612CF"/>
    <w:rsid w:val="0087687A"/>
    <w:rsid w:val="00877A9E"/>
    <w:rsid w:val="00887678"/>
    <w:rsid w:val="00893A51"/>
    <w:rsid w:val="008A6781"/>
    <w:rsid w:val="008B6B97"/>
    <w:rsid w:val="008D4AC7"/>
    <w:rsid w:val="008E7F4D"/>
    <w:rsid w:val="00933072"/>
    <w:rsid w:val="00953149"/>
    <w:rsid w:val="0097336B"/>
    <w:rsid w:val="00975AC9"/>
    <w:rsid w:val="009A4696"/>
    <w:rsid w:val="009B4874"/>
    <w:rsid w:val="009F7C7A"/>
    <w:rsid w:val="00A709A0"/>
    <w:rsid w:val="00A750E7"/>
    <w:rsid w:val="00A83F33"/>
    <w:rsid w:val="00A86E6B"/>
    <w:rsid w:val="00AA417B"/>
    <w:rsid w:val="00AB2F83"/>
    <w:rsid w:val="00AD11B3"/>
    <w:rsid w:val="00AE4285"/>
    <w:rsid w:val="00AE7559"/>
    <w:rsid w:val="00AF703A"/>
    <w:rsid w:val="00B45D43"/>
    <w:rsid w:val="00B56667"/>
    <w:rsid w:val="00B947B5"/>
    <w:rsid w:val="00BA0746"/>
    <w:rsid w:val="00BC1E0E"/>
    <w:rsid w:val="00BD5AD0"/>
    <w:rsid w:val="00BE704A"/>
    <w:rsid w:val="00C03EDB"/>
    <w:rsid w:val="00C04E6C"/>
    <w:rsid w:val="00C1129B"/>
    <w:rsid w:val="00C75A44"/>
    <w:rsid w:val="00C83672"/>
    <w:rsid w:val="00C85D33"/>
    <w:rsid w:val="00C867C8"/>
    <w:rsid w:val="00CC4418"/>
    <w:rsid w:val="00CD2BB9"/>
    <w:rsid w:val="00CD5A8E"/>
    <w:rsid w:val="00CD69C0"/>
    <w:rsid w:val="00CE4973"/>
    <w:rsid w:val="00CE76D9"/>
    <w:rsid w:val="00D14576"/>
    <w:rsid w:val="00D37ECC"/>
    <w:rsid w:val="00D40942"/>
    <w:rsid w:val="00D510A7"/>
    <w:rsid w:val="00D70A51"/>
    <w:rsid w:val="00D80909"/>
    <w:rsid w:val="00D817AB"/>
    <w:rsid w:val="00D82B4D"/>
    <w:rsid w:val="00DA3606"/>
    <w:rsid w:val="00DE087D"/>
    <w:rsid w:val="00E061DF"/>
    <w:rsid w:val="00E105E3"/>
    <w:rsid w:val="00E11C34"/>
    <w:rsid w:val="00E120FC"/>
    <w:rsid w:val="00E36688"/>
    <w:rsid w:val="00E40BA7"/>
    <w:rsid w:val="00E41B4F"/>
    <w:rsid w:val="00E6586F"/>
    <w:rsid w:val="00E668D7"/>
    <w:rsid w:val="00E97276"/>
    <w:rsid w:val="00EC5FCD"/>
    <w:rsid w:val="00ED619F"/>
    <w:rsid w:val="00EE08F8"/>
    <w:rsid w:val="00F03959"/>
    <w:rsid w:val="00F03D66"/>
    <w:rsid w:val="00F22638"/>
    <w:rsid w:val="00F275A9"/>
    <w:rsid w:val="00F33739"/>
    <w:rsid w:val="00F41706"/>
    <w:rsid w:val="00F5739A"/>
    <w:rsid w:val="00F63271"/>
    <w:rsid w:val="00F766BA"/>
    <w:rsid w:val="00FB7513"/>
    <w:rsid w:val="00FF4D02"/>
    <w:rsid w:val="00FF5891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56B2"/>
  <w15:docId w15:val="{0E0CDB27-0B97-45DC-9078-661FA976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83"/>
    <w:pPr>
      <w:spacing w:after="200" w:line="276" w:lineRule="auto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F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83"/>
    <w:rPr>
      <w:rFonts w:ascii="Calibri" w:eastAsia="Calibri" w:hAnsi="Calibri" w:cs="Times New Roman"/>
      <w:sz w:val="22"/>
      <w:lang w:val="en-US"/>
    </w:rPr>
  </w:style>
  <w:style w:type="character" w:styleId="PageNumber">
    <w:name w:val="page number"/>
    <w:basedOn w:val="DefaultParagraphFont"/>
    <w:rsid w:val="00AB2F83"/>
  </w:style>
  <w:style w:type="paragraph" w:styleId="NoSpacing">
    <w:name w:val="No Spacing"/>
    <w:uiPriority w:val="1"/>
    <w:qFormat/>
    <w:rsid w:val="00AB2F83"/>
    <w:pPr>
      <w:spacing w:after="0"/>
      <w:jc w:val="left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A79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6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69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1505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christoforoug</dc:creator>
  <cp:keywords/>
  <dc:description/>
  <cp:lastModifiedBy>CHRISTOFI THALIA</cp:lastModifiedBy>
  <cp:revision>10</cp:revision>
  <cp:lastPrinted>2022-01-25T07:06:00Z</cp:lastPrinted>
  <dcterms:created xsi:type="dcterms:W3CDTF">2022-01-25T08:10:00Z</dcterms:created>
  <dcterms:modified xsi:type="dcterms:W3CDTF">2022-01-25T11:13:00Z</dcterms:modified>
</cp:coreProperties>
</file>