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3412" w14:textId="77777777" w:rsidR="00DD7BA9" w:rsidRDefault="00DD7BA9" w:rsidP="00DD7BA9">
      <w:pPr>
        <w:rPr>
          <w:rFonts w:ascii="Calibri" w:hAnsi="Calibri" w:cs="Calibri"/>
          <w:sz w:val="24"/>
          <w:szCs w:val="24"/>
          <w:lang w:val="el-GR"/>
        </w:rPr>
      </w:pPr>
    </w:p>
    <w:p w14:paraId="358FB28A" w14:textId="77777777" w:rsidR="00DD7BA9" w:rsidRPr="00DD7BA9" w:rsidRDefault="00DD7BA9" w:rsidP="00DD7BA9">
      <w:pPr>
        <w:spacing w:after="160" w:line="259" w:lineRule="auto"/>
        <w:jc w:val="left"/>
        <w:rPr>
          <w:rFonts w:eastAsiaTheme="minorHAnsi" w:cs="Arial"/>
          <w:b/>
          <w:bCs/>
          <w:sz w:val="24"/>
          <w:szCs w:val="24"/>
          <w:lang w:val="el-GR"/>
        </w:rPr>
      </w:pPr>
      <w:r w:rsidRPr="00DD7BA9">
        <w:rPr>
          <w:rFonts w:eastAsiaTheme="minorHAnsi" w:cs="Arial"/>
          <w:b/>
          <w:bCs/>
          <w:sz w:val="24"/>
          <w:szCs w:val="24"/>
          <w:lang w:val="el-GR"/>
        </w:rPr>
        <w:t>Υ.Ο. 21.11.003</w:t>
      </w:r>
    </w:p>
    <w:p w14:paraId="64C11BA4" w14:textId="77777777" w:rsidR="00DD7BA9" w:rsidRPr="00DD7BA9" w:rsidRDefault="00DD7BA9" w:rsidP="00DD7BA9">
      <w:pPr>
        <w:spacing w:after="160" w:line="259" w:lineRule="auto"/>
        <w:jc w:val="center"/>
        <w:rPr>
          <w:rFonts w:asciiTheme="minorHAnsi" w:eastAsiaTheme="minorHAnsi" w:hAnsiTheme="minorHAnsi" w:cstheme="minorHAnsi"/>
          <w:b/>
          <w:bCs/>
          <w:sz w:val="24"/>
          <w:szCs w:val="24"/>
          <w:u w:val="single"/>
          <w:lang w:val="el-GR"/>
        </w:rPr>
      </w:pPr>
    </w:p>
    <w:p w14:paraId="5F4E55AB" w14:textId="77777777" w:rsidR="00DD7BA9" w:rsidRPr="00DD7BA9" w:rsidRDefault="00DD7BA9" w:rsidP="00DD7BA9">
      <w:pPr>
        <w:spacing w:after="160" w:line="259" w:lineRule="auto"/>
        <w:jc w:val="center"/>
        <w:rPr>
          <w:rFonts w:eastAsiaTheme="minorHAnsi" w:cs="Arial"/>
          <w:b/>
          <w:bCs/>
          <w:sz w:val="24"/>
          <w:szCs w:val="24"/>
          <w:u w:val="single"/>
          <w:lang w:val="el-GR"/>
        </w:rPr>
      </w:pPr>
      <w:r w:rsidRPr="00DD7BA9">
        <w:rPr>
          <w:rFonts w:eastAsiaTheme="minorHAnsi" w:cs="Arial"/>
          <w:b/>
          <w:bCs/>
          <w:sz w:val="24"/>
          <w:szCs w:val="24"/>
          <w:u w:val="single"/>
          <w:lang w:val="el-GR"/>
        </w:rPr>
        <w:t>ΕΙΣΗΓΗΤΙΚΗ ΕΚΘΕΣΗ</w:t>
      </w:r>
    </w:p>
    <w:p w14:paraId="5B395AF5" w14:textId="77777777" w:rsidR="00DD7BA9" w:rsidRPr="00DD7BA9" w:rsidRDefault="00DD7BA9" w:rsidP="00DD7BA9">
      <w:pPr>
        <w:spacing w:after="160" w:line="259" w:lineRule="auto"/>
        <w:jc w:val="center"/>
        <w:rPr>
          <w:rFonts w:eastAsiaTheme="minorHAnsi" w:cs="Arial"/>
          <w:b/>
          <w:bCs/>
          <w:sz w:val="24"/>
          <w:szCs w:val="24"/>
          <w:u w:val="single"/>
          <w:lang w:val="el-GR"/>
        </w:rPr>
      </w:pPr>
      <w:r w:rsidRPr="00DD7BA9">
        <w:rPr>
          <w:rFonts w:eastAsiaTheme="minorHAnsi" w:cs="Arial"/>
          <w:b/>
          <w:bCs/>
          <w:sz w:val="24"/>
          <w:szCs w:val="24"/>
          <w:u w:val="single"/>
          <w:lang w:val="el-GR"/>
        </w:rPr>
        <w:t>Θέμα: Νομοσχέδιο με τίτλο:</w:t>
      </w:r>
    </w:p>
    <w:p w14:paraId="4263610A" w14:textId="77777777" w:rsidR="00DD7BA9" w:rsidRPr="00DD7BA9" w:rsidRDefault="00DD7BA9" w:rsidP="00DD7BA9">
      <w:pPr>
        <w:spacing w:after="160" w:line="259" w:lineRule="auto"/>
        <w:jc w:val="center"/>
        <w:rPr>
          <w:rFonts w:eastAsiaTheme="minorHAnsi" w:cs="Arial"/>
          <w:b/>
          <w:bCs/>
          <w:sz w:val="24"/>
          <w:szCs w:val="24"/>
          <w:u w:val="single"/>
          <w:lang w:val="el-GR"/>
        </w:rPr>
      </w:pPr>
    </w:p>
    <w:p w14:paraId="798E9605" w14:textId="77777777" w:rsidR="00DD7BA9" w:rsidRPr="00DD7BA9" w:rsidRDefault="00DD7BA9" w:rsidP="00DD7BA9">
      <w:pPr>
        <w:spacing w:after="160" w:line="259" w:lineRule="auto"/>
        <w:jc w:val="center"/>
        <w:rPr>
          <w:rFonts w:eastAsiaTheme="minorHAnsi" w:cs="Arial"/>
          <w:b/>
          <w:bCs/>
          <w:sz w:val="24"/>
          <w:szCs w:val="24"/>
          <w:lang w:val="el-GR"/>
        </w:rPr>
      </w:pPr>
      <w:bookmarkStart w:id="0" w:name="_Hlk63935300"/>
      <w:r w:rsidRPr="00DD7BA9">
        <w:rPr>
          <w:rFonts w:eastAsiaTheme="minorHAnsi" w:cs="Arial"/>
          <w:b/>
          <w:bCs/>
          <w:sz w:val="24"/>
          <w:szCs w:val="24"/>
          <w:lang w:val="el-GR"/>
        </w:rPr>
        <w:t>«</w:t>
      </w:r>
      <w:r w:rsidRPr="00DD7BA9">
        <w:rPr>
          <w:rFonts w:eastAsia="Calibri" w:cs="Arial"/>
          <w:b/>
          <w:sz w:val="24"/>
          <w:szCs w:val="24"/>
          <w:lang w:val="el-GR"/>
        </w:rPr>
        <w:t>Ο περί της Έκδοσης  Κυβερνητικών Εγγυήσεων προς τα Πιστωτικά Ιδρύματα για τη Παραχώρηση Δανείων σε Επιχειρήσεις και Αυτοτελώς Εργαζόμενους Νόμος του 2021</w:t>
      </w:r>
      <w:r w:rsidRPr="00DD7BA9">
        <w:rPr>
          <w:rFonts w:eastAsiaTheme="minorHAnsi" w:cs="Arial"/>
          <w:b/>
          <w:bCs/>
          <w:sz w:val="24"/>
          <w:szCs w:val="24"/>
          <w:lang w:val="el-GR"/>
        </w:rPr>
        <w:t>»</w:t>
      </w:r>
      <w:bookmarkEnd w:id="0"/>
    </w:p>
    <w:p w14:paraId="1C42EB44" w14:textId="77777777" w:rsidR="00DD7BA9" w:rsidRDefault="00DD7BA9" w:rsidP="00DD7BA9">
      <w:pPr>
        <w:rPr>
          <w:rFonts w:cs="Arial"/>
          <w:sz w:val="24"/>
          <w:szCs w:val="24"/>
          <w:lang w:val="el-GR"/>
        </w:rPr>
      </w:pPr>
    </w:p>
    <w:p w14:paraId="688B092D" w14:textId="08AB2201" w:rsidR="00DD7BA9" w:rsidRPr="00DD7BA9" w:rsidRDefault="00DD7BA9" w:rsidP="00DD7BA9">
      <w:pPr>
        <w:spacing w:after="160" w:line="259" w:lineRule="auto"/>
        <w:rPr>
          <w:rFonts w:eastAsiaTheme="minorHAnsi" w:cs="Arial"/>
          <w:sz w:val="24"/>
          <w:szCs w:val="24"/>
          <w:lang w:val="el-GR"/>
        </w:rPr>
      </w:pPr>
      <w:r w:rsidRPr="00DD7BA9">
        <w:rPr>
          <w:rFonts w:eastAsiaTheme="minorHAnsi" w:cs="Arial"/>
          <w:sz w:val="24"/>
          <w:szCs w:val="24"/>
          <w:lang w:val="el-GR"/>
        </w:rPr>
        <w:t xml:space="preserve">Το Υπουργικό Συμβούλιο, κατά τη συνεδρία του ημερομηνίας </w:t>
      </w:r>
      <w:r>
        <w:rPr>
          <w:rFonts w:eastAsiaTheme="minorHAnsi" w:cs="Arial"/>
          <w:sz w:val="24"/>
          <w:szCs w:val="24"/>
          <w:lang w:val="el-GR"/>
        </w:rPr>
        <w:t>15 Σεπτεμβρίου</w:t>
      </w:r>
      <w:r w:rsidRPr="00DD7BA9">
        <w:rPr>
          <w:rFonts w:eastAsiaTheme="minorHAnsi" w:cs="Arial"/>
          <w:sz w:val="24"/>
          <w:szCs w:val="24"/>
          <w:lang w:val="el-GR"/>
        </w:rPr>
        <w:t xml:space="preserve"> 2021, ενέκρινε το πιο πάνω νομοσχέδιο και εξουσιοδότησε τον Υπουργό Οικονομικών να το καταθέσει στη Βουλή των Αντιπροσώπων για τη ψήφισή του σε νόμο.</w:t>
      </w:r>
    </w:p>
    <w:p w14:paraId="468DBEA4" w14:textId="77777777" w:rsidR="00DD7BA9" w:rsidRDefault="00DD7BA9" w:rsidP="00DD7BA9">
      <w:pPr>
        <w:rPr>
          <w:rFonts w:cs="Arial"/>
          <w:sz w:val="24"/>
          <w:szCs w:val="24"/>
          <w:lang w:val="el-GR"/>
        </w:rPr>
      </w:pPr>
    </w:p>
    <w:p w14:paraId="0F70140F" w14:textId="595DA99B" w:rsidR="00DD7BA9" w:rsidRPr="00DD7BA9" w:rsidRDefault="00DD7BA9" w:rsidP="00DD7BA9">
      <w:pPr>
        <w:rPr>
          <w:rFonts w:cs="Arial"/>
          <w:sz w:val="24"/>
          <w:szCs w:val="24"/>
          <w:lang w:val="el-GR"/>
        </w:rPr>
      </w:pPr>
      <w:r>
        <w:rPr>
          <w:rFonts w:cs="Arial"/>
          <w:sz w:val="24"/>
          <w:szCs w:val="24"/>
          <w:lang w:val="el-GR"/>
        </w:rPr>
        <w:t>2.</w:t>
      </w:r>
      <w:r w:rsidRPr="00DD7BA9">
        <w:rPr>
          <w:rFonts w:cs="Arial"/>
          <w:sz w:val="24"/>
          <w:szCs w:val="24"/>
          <w:lang w:val="el-GR"/>
        </w:rPr>
        <w:t>Σκοπός του παρόντος νομοσχεδίου είναι η τροποποίηση του βασικού νόμου ούτως ώστε να επιτευχθεί:</w:t>
      </w:r>
    </w:p>
    <w:p w14:paraId="59BE3C9E" w14:textId="77777777" w:rsidR="00DD7BA9" w:rsidRPr="00A75028" w:rsidRDefault="00DD7BA9" w:rsidP="00DD7BA9">
      <w:pPr>
        <w:rPr>
          <w:rFonts w:cs="Arial"/>
          <w:sz w:val="24"/>
          <w:szCs w:val="24"/>
          <w:lang w:val="el-GR"/>
        </w:rPr>
      </w:pPr>
    </w:p>
    <w:p w14:paraId="722869F0" w14:textId="77777777" w:rsidR="00DD7BA9" w:rsidRPr="00A75028" w:rsidRDefault="00DD7BA9" w:rsidP="00DD7BA9">
      <w:pPr>
        <w:rPr>
          <w:rFonts w:cs="Arial"/>
          <w:sz w:val="24"/>
          <w:szCs w:val="24"/>
          <w:lang w:val="el-GR"/>
        </w:rPr>
      </w:pPr>
      <w:r w:rsidRPr="00A75028">
        <w:rPr>
          <w:rFonts w:cs="Arial"/>
          <w:sz w:val="24"/>
          <w:szCs w:val="24"/>
          <w:lang w:val="el-GR"/>
        </w:rPr>
        <w:t>(α) συμβατότητα με τους κανόνες του ανταγωνισμού καθ’ υπόδειξη της Γενικής Διεύθυνσης Ανταγωνισμού της Ευρωπαϊκής Ένωσης ούτως ώστε να καταστεί συμβατή η παραχώρηση κυβερνητικών εγγυήσεων με τους κανόνες των κρατικών εγγυήσεων∙</w:t>
      </w:r>
    </w:p>
    <w:p w14:paraId="137515A6" w14:textId="77777777" w:rsidR="00DD7BA9" w:rsidRPr="00A75028" w:rsidRDefault="00DD7BA9" w:rsidP="00DD7BA9">
      <w:pPr>
        <w:rPr>
          <w:rFonts w:cs="Arial"/>
          <w:sz w:val="24"/>
          <w:szCs w:val="24"/>
          <w:lang w:val="el-GR"/>
        </w:rPr>
      </w:pPr>
    </w:p>
    <w:p w14:paraId="0DCC45B8" w14:textId="77777777" w:rsidR="00DD7BA9" w:rsidRPr="00A75028" w:rsidRDefault="00DD7BA9" w:rsidP="00DD7BA9">
      <w:pPr>
        <w:rPr>
          <w:rFonts w:cs="Arial"/>
          <w:sz w:val="24"/>
          <w:szCs w:val="24"/>
          <w:lang w:val="el-GR"/>
        </w:rPr>
      </w:pPr>
      <w:r w:rsidRPr="00A75028">
        <w:rPr>
          <w:rFonts w:cs="Arial"/>
          <w:sz w:val="24"/>
          <w:szCs w:val="24"/>
          <w:lang w:val="el-GR"/>
        </w:rPr>
        <w:t xml:space="preserve">(β) συμμόρφωση με </w:t>
      </w:r>
      <w:proofErr w:type="spellStart"/>
      <w:r w:rsidRPr="00A75028">
        <w:rPr>
          <w:rFonts w:cs="Arial"/>
          <w:sz w:val="24"/>
          <w:szCs w:val="24"/>
          <w:lang w:val="el-GR"/>
        </w:rPr>
        <w:t>εκδοθείσα</w:t>
      </w:r>
      <w:proofErr w:type="spellEnd"/>
      <w:r w:rsidRPr="00A75028">
        <w:rPr>
          <w:rFonts w:cs="Arial"/>
          <w:sz w:val="24"/>
          <w:szCs w:val="24"/>
          <w:lang w:val="el-GR"/>
        </w:rPr>
        <w:t xml:space="preserve"> γνώμη της Ευρωπαϊκής Κεντρικής Τράπεζας.</w:t>
      </w:r>
    </w:p>
    <w:p w14:paraId="709B5119" w14:textId="77777777" w:rsidR="00DD7BA9" w:rsidRPr="00A75028" w:rsidRDefault="00DD7BA9" w:rsidP="00DD7BA9">
      <w:pPr>
        <w:rPr>
          <w:rFonts w:cs="Arial"/>
          <w:sz w:val="24"/>
          <w:szCs w:val="24"/>
          <w:lang w:val="el-GR"/>
        </w:rPr>
      </w:pPr>
    </w:p>
    <w:p w14:paraId="11832133" w14:textId="77777777" w:rsidR="00DD7BA9" w:rsidRPr="00A75028" w:rsidRDefault="00DD7BA9" w:rsidP="00DD7BA9">
      <w:pPr>
        <w:rPr>
          <w:rFonts w:cs="Arial"/>
          <w:sz w:val="24"/>
          <w:szCs w:val="24"/>
          <w:lang w:val="el-GR"/>
        </w:rPr>
      </w:pPr>
      <w:r w:rsidRPr="00A75028">
        <w:rPr>
          <w:rFonts w:cs="Arial"/>
          <w:sz w:val="24"/>
          <w:szCs w:val="24"/>
          <w:lang w:val="el-GR"/>
        </w:rPr>
        <w:t>3 . Συγκεκριμένα το τροποποιητικό νομοσχέδιο προβλέπει:</w:t>
      </w:r>
    </w:p>
    <w:p w14:paraId="6E9D5167" w14:textId="77777777" w:rsidR="00DD7BA9" w:rsidRPr="00A75028" w:rsidRDefault="00DD7BA9" w:rsidP="00DD7BA9">
      <w:pPr>
        <w:rPr>
          <w:rFonts w:cs="Arial"/>
          <w:sz w:val="24"/>
          <w:szCs w:val="24"/>
          <w:lang w:val="el-GR"/>
        </w:rPr>
      </w:pPr>
    </w:p>
    <w:p w14:paraId="2448DF3F" w14:textId="77777777" w:rsidR="00DD7BA9" w:rsidRPr="00A75028" w:rsidRDefault="00DD7BA9" w:rsidP="00DD7BA9">
      <w:pPr>
        <w:rPr>
          <w:rFonts w:cs="Arial"/>
          <w:sz w:val="24"/>
          <w:szCs w:val="24"/>
          <w:lang w:val="el-GR"/>
        </w:rPr>
      </w:pPr>
      <w:r w:rsidRPr="00A75028">
        <w:rPr>
          <w:rFonts w:cs="Arial"/>
          <w:sz w:val="24"/>
          <w:szCs w:val="24"/>
          <w:lang w:val="el-GR"/>
        </w:rPr>
        <w:t>(α) ότι για την παραχώρηση των δανείων ισχύουν οι πρόνοιες και οι πολιτικές του κάθε Πιστωτικού Ιδρύματος∙</w:t>
      </w:r>
    </w:p>
    <w:p w14:paraId="1AA92D0F" w14:textId="77777777" w:rsidR="00DD7BA9" w:rsidRPr="00A75028" w:rsidRDefault="00DD7BA9" w:rsidP="00DD7BA9">
      <w:pPr>
        <w:rPr>
          <w:rFonts w:cs="Arial"/>
          <w:sz w:val="24"/>
          <w:szCs w:val="24"/>
          <w:lang w:val="el-GR"/>
        </w:rPr>
      </w:pPr>
    </w:p>
    <w:p w14:paraId="673262A0" w14:textId="77777777" w:rsidR="00DD7BA9" w:rsidRPr="00A75028" w:rsidRDefault="00DD7BA9" w:rsidP="00DD7BA9">
      <w:pPr>
        <w:rPr>
          <w:rFonts w:cs="Arial"/>
          <w:sz w:val="24"/>
          <w:szCs w:val="24"/>
          <w:lang w:val="el-GR"/>
        </w:rPr>
      </w:pPr>
      <w:r w:rsidRPr="00A75028">
        <w:rPr>
          <w:rFonts w:cs="Arial"/>
          <w:sz w:val="24"/>
          <w:szCs w:val="24"/>
          <w:lang w:val="el-GR"/>
        </w:rPr>
        <w:t xml:space="preserve">(β) την ανοικτή πλέον πρόσκληση προς όλα τα πιστωτικά ιδρύματα για παραχώρηση κυβερνητικών εγγυήσεων, και κατ’ επέκταση κατάργηση του άρθρου 10 του βασικού νόμου το οποίο εφαρμόζει κριτήριο κατανομής των κυβερνητικών εγγυήσεων στα πιστωτικά ιδρύματα∙ </w:t>
      </w:r>
    </w:p>
    <w:p w14:paraId="12FE8D96" w14:textId="77777777" w:rsidR="00DD7BA9" w:rsidRPr="00A75028" w:rsidRDefault="00DD7BA9" w:rsidP="00DD7BA9">
      <w:pPr>
        <w:rPr>
          <w:rFonts w:cs="Arial"/>
          <w:sz w:val="24"/>
          <w:szCs w:val="24"/>
          <w:lang w:val="el-GR"/>
        </w:rPr>
      </w:pPr>
    </w:p>
    <w:p w14:paraId="4A8A77D4" w14:textId="77777777" w:rsidR="00DD7BA9" w:rsidRPr="00A75028" w:rsidRDefault="00DD7BA9" w:rsidP="00DD7BA9">
      <w:pPr>
        <w:rPr>
          <w:rFonts w:cs="Arial"/>
          <w:sz w:val="24"/>
          <w:szCs w:val="24"/>
          <w:lang w:val="el-GR"/>
        </w:rPr>
      </w:pPr>
      <w:r w:rsidRPr="00A75028">
        <w:rPr>
          <w:rFonts w:cs="Arial"/>
          <w:sz w:val="24"/>
          <w:szCs w:val="24"/>
          <w:lang w:val="el-GR"/>
        </w:rPr>
        <w:t>(γ) την αντικατάσταση της Επιτροπής Παρακολούθησης από την Επιτροπή Ενημέρωσης και την απάλειψη της πρόνοιας για συμμετοχή δυο λειτουργών της Κεντρικής Τράπεζας σε αυτήν, η οποία συγκροτείται πλέον από ένα εκπρόσωπο του Γενικού Λογιστηρίου και ένα εκπρόσωπο του Υπουργείου Οικονομικών, οι οποίοι ορίζονται από τον Υπουργό Οικονομικών∙</w:t>
      </w:r>
    </w:p>
    <w:p w14:paraId="3D23CCAB" w14:textId="77777777" w:rsidR="00DD7BA9" w:rsidRPr="00A75028" w:rsidRDefault="00DD7BA9" w:rsidP="00DD7BA9">
      <w:pPr>
        <w:rPr>
          <w:rFonts w:cs="Arial"/>
          <w:sz w:val="24"/>
          <w:szCs w:val="24"/>
          <w:lang w:val="el-GR"/>
        </w:rPr>
      </w:pPr>
    </w:p>
    <w:p w14:paraId="216F8EFE" w14:textId="77777777" w:rsidR="00DD7BA9" w:rsidRPr="00A75028" w:rsidRDefault="00DD7BA9" w:rsidP="00DD7BA9">
      <w:pPr>
        <w:rPr>
          <w:rFonts w:cs="Arial"/>
          <w:sz w:val="24"/>
          <w:szCs w:val="24"/>
          <w:lang w:val="el-GR"/>
        </w:rPr>
      </w:pPr>
      <w:r w:rsidRPr="00A75028">
        <w:rPr>
          <w:rFonts w:cs="Arial"/>
          <w:sz w:val="24"/>
          <w:szCs w:val="24"/>
          <w:lang w:val="el-GR"/>
        </w:rPr>
        <w:t xml:space="preserve">(δ)  τον καθορισμό, ως αποκλειστικού σκοπού της Επιτροπής Ενημέρωσης, της εκ των υστέρων ενημέρωσης του Υπουργού και της Κοινοβουλευτικής Επιτροπής Οικονομικών και Προϋπολογισμού αναφορικά με την εφαρμογή του νόμου. και συμπερίληψη πρόνοιας ότι η Επιτροπή Ενημέρωσης δεν παρεμβαίνει στη διαδικασία </w:t>
      </w:r>
      <w:r w:rsidRPr="00A75028">
        <w:rPr>
          <w:rFonts w:cs="Arial"/>
          <w:sz w:val="24"/>
          <w:szCs w:val="24"/>
          <w:lang w:val="el-GR"/>
        </w:rPr>
        <w:lastRenderedPageBreak/>
        <w:t>λήψης αποφάσεων των πιστωτικών ιδρυμάτων σχετικά με τις διαδικασίες διαχείρισης πιστωτικού κινδύνου και χορήγησης δανείων με κυβερνητικές εγγυήσεις∙</w:t>
      </w:r>
    </w:p>
    <w:p w14:paraId="4FCD7C11" w14:textId="77777777" w:rsidR="00DD7BA9" w:rsidRPr="00A75028" w:rsidRDefault="00DD7BA9" w:rsidP="00DD7BA9">
      <w:pPr>
        <w:rPr>
          <w:rFonts w:cs="Arial"/>
          <w:sz w:val="24"/>
          <w:szCs w:val="24"/>
          <w:lang w:val="el-GR"/>
        </w:rPr>
      </w:pPr>
    </w:p>
    <w:p w14:paraId="191D7131" w14:textId="77777777" w:rsidR="00DD7BA9" w:rsidRPr="00A75028" w:rsidRDefault="00DD7BA9" w:rsidP="00DD7BA9">
      <w:pPr>
        <w:rPr>
          <w:rFonts w:cs="Arial"/>
          <w:sz w:val="24"/>
          <w:szCs w:val="24"/>
          <w:lang w:val="el-GR" w:eastAsia="el-GR"/>
        </w:rPr>
      </w:pPr>
      <w:r w:rsidRPr="00A75028">
        <w:rPr>
          <w:rFonts w:cs="Arial"/>
          <w:sz w:val="24"/>
          <w:szCs w:val="24"/>
          <w:lang w:val="el-GR"/>
        </w:rPr>
        <w:t>(ε) την αντικατάσταση των χρονοδιαγραμμάτων σε σχέση με την ενημέρωση του Υπουργού Οικονομικών και της Κοινοβουλευτικής Επιτροπής Οικονομικών και Προϋπολογισμού της Βουλής των Αντιπροσώπων, από την Επιτροπή Ενημέρωσης, για σκοπούς ευθυγράμμισης αυτών με την υποχρέωση των πιστωτικών ιδρυμάτων για παροχή, ανά τριμηνία, στοιχείων στο Γενικό Λογιστήριο για τα δάνεια που παραχωρούν ∙</w:t>
      </w:r>
    </w:p>
    <w:p w14:paraId="198C368D" w14:textId="77777777" w:rsidR="00DD7BA9" w:rsidRPr="00A75028" w:rsidRDefault="00DD7BA9" w:rsidP="00DD7BA9">
      <w:pPr>
        <w:rPr>
          <w:rFonts w:eastAsia="Calibri" w:cs="Arial"/>
          <w:sz w:val="24"/>
          <w:szCs w:val="24"/>
          <w:lang w:val="el-GR" w:eastAsia="el-GR"/>
        </w:rPr>
      </w:pPr>
    </w:p>
    <w:p w14:paraId="73FA9883" w14:textId="2B75436E" w:rsidR="00DD7BA9" w:rsidRPr="00DD7BA9" w:rsidRDefault="00DD7BA9" w:rsidP="00DD7BA9">
      <w:pPr>
        <w:rPr>
          <w:rFonts w:cs="Arial"/>
          <w:sz w:val="24"/>
          <w:szCs w:val="24"/>
          <w:lang w:val="el-GR"/>
        </w:rPr>
      </w:pPr>
      <w:r>
        <w:rPr>
          <w:rFonts w:cs="Arial"/>
          <w:sz w:val="24"/>
          <w:szCs w:val="24"/>
          <w:lang w:val="el-GR"/>
        </w:rPr>
        <w:t>5</w:t>
      </w:r>
      <w:r w:rsidRPr="00DD7BA9">
        <w:rPr>
          <w:rFonts w:cs="Arial"/>
          <w:sz w:val="24"/>
          <w:szCs w:val="24"/>
          <w:lang w:val="el-GR"/>
        </w:rPr>
        <w:t xml:space="preserve">. Σκοπός του </w:t>
      </w:r>
      <w:r w:rsidR="004D7873">
        <w:rPr>
          <w:rFonts w:cs="Arial"/>
          <w:sz w:val="24"/>
          <w:szCs w:val="24"/>
          <w:lang w:val="el-GR"/>
        </w:rPr>
        <w:t xml:space="preserve">βασικού </w:t>
      </w:r>
      <w:r w:rsidRPr="00DD7BA9">
        <w:rPr>
          <w:rFonts w:cs="Arial"/>
          <w:sz w:val="24"/>
          <w:szCs w:val="24"/>
          <w:lang w:val="el-GR"/>
        </w:rPr>
        <w:t xml:space="preserve">νόμου είναι: </w:t>
      </w:r>
    </w:p>
    <w:p w14:paraId="6FB9C868" w14:textId="77777777" w:rsidR="00DD7BA9" w:rsidRPr="00DD7BA9" w:rsidRDefault="00DD7BA9" w:rsidP="00DD7BA9">
      <w:pPr>
        <w:rPr>
          <w:rFonts w:cs="Arial"/>
          <w:sz w:val="24"/>
          <w:szCs w:val="24"/>
          <w:lang w:val="el-GR"/>
        </w:rPr>
      </w:pPr>
    </w:p>
    <w:p w14:paraId="6C0802EA" w14:textId="15E4F2CB" w:rsidR="00897BC0" w:rsidRDefault="00DD7BA9">
      <w:pPr>
        <w:rPr>
          <w:rFonts w:cs="Arial"/>
          <w:sz w:val="24"/>
          <w:szCs w:val="24"/>
          <w:lang w:val="el-GR"/>
        </w:rPr>
      </w:pPr>
      <w:bookmarkStart w:id="1" w:name="_Hlk63935386"/>
      <w:r w:rsidRPr="00DD7BA9">
        <w:rPr>
          <w:rFonts w:cs="Arial"/>
          <w:sz w:val="24"/>
          <w:szCs w:val="24"/>
          <w:lang w:val="el-GR"/>
        </w:rPr>
        <w:t xml:space="preserve">η παραχώρηση κυβερνητικών εγγυήσεων συνολικού ποσού μέχρι ενός δισεκατομμυρίου ευρώ (€ 1.000.000.000) σε </w:t>
      </w:r>
      <w:proofErr w:type="spellStart"/>
      <w:r w:rsidRPr="00DD7BA9">
        <w:rPr>
          <w:rFonts w:cs="Arial"/>
          <w:sz w:val="24"/>
          <w:szCs w:val="24"/>
          <w:lang w:val="el-GR"/>
        </w:rPr>
        <w:t>αδειοδοτημένα</w:t>
      </w:r>
      <w:proofErr w:type="spellEnd"/>
      <w:r w:rsidRPr="00DD7BA9">
        <w:rPr>
          <w:rFonts w:cs="Arial"/>
          <w:sz w:val="24"/>
          <w:szCs w:val="24"/>
          <w:lang w:val="el-GR"/>
        </w:rPr>
        <w:t xml:space="preserve"> πιστωτικά ιδρύματα, τα οποία έχουν συσταθεί στη Δημοκρατία και έλαβαν άδεια λειτουργίας από την Κεντρική Τράπεζα (ΑΠΙ), συμπεριλαμβανομένων και των θυγατρικών ξένων πιστωτικών ιδρυμάτων καθώς και όπου η Κεντρική Τράπεζα ενεργεί ως αρμόδια αρχή κράτους-μέλους υποδοχής για υποκαταστήματα πιστωτικών ιδρυμάτων που έχουν λάβει άδεια λειτουργίας σε άλλα κράτη-μέλη με σκοπό την παραχώρηση νέων δανείων σε Επιχειρήσεις και Αυτοτελώς Εργαζόμενους για αντιμετώπιση των επιπτώσεων από τα μέτρα που λήφθηκαν για αντιμετώπιση του </w:t>
      </w:r>
      <w:proofErr w:type="spellStart"/>
      <w:r w:rsidRPr="00DD7BA9">
        <w:rPr>
          <w:rFonts w:cs="Arial"/>
          <w:sz w:val="24"/>
          <w:szCs w:val="24"/>
          <w:lang w:val="el-GR"/>
        </w:rPr>
        <w:t>Κορωνοϊου</w:t>
      </w:r>
      <w:proofErr w:type="spellEnd"/>
      <w:r w:rsidRPr="00DD7BA9">
        <w:rPr>
          <w:rFonts w:cs="Arial"/>
          <w:sz w:val="24"/>
          <w:szCs w:val="24"/>
          <w:lang w:val="el-GR"/>
        </w:rPr>
        <w:t>, σύμφωνα και με την αναθεωρημένη Ανακοίνωση της Επιτροπής</w:t>
      </w:r>
      <w:r w:rsidRPr="00DD7BA9">
        <w:rPr>
          <w:rFonts w:cs="Arial"/>
          <w:sz w:val="24"/>
          <w:szCs w:val="24"/>
          <w:lang w:val="el-GR"/>
        </w:rPr>
        <w:footnoteReference w:id="1"/>
      </w:r>
      <w:r w:rsidRPr="00DD7BA9">
        <w:rPr>
          <w:rFonts w:cs="Arial"/>
          <w:sz w:val="24"/>
          <w:szCs w:val="24"/>
          <w:lang w:val="el-GR"/>
        </w:rPr>
        <w:t xml:space="preserve">για το προσωρινό πλαίσιο για τη λήψη μέτρων κρατικής ενίσχυσης με σκοπό να στηριχθεί η οικονομία κατά τη διάρκεια της τρέχουσας έξαρσης της νόσου COVID-19. </w:t>
      </w:r>
      <w:r w:rsidR="00797B6B" w:rsidRPr="00797B6B">
        <w:rPr>
          <w:rFonts w:cs="Arial"/>
          <w:sz w:val="24"/>
          <w:szCs w:val="24"/>
          <w:lang w:val="el-GR"/>
        </w:rPr>
        <w:t>Οι κυβερνητικές εγγυήσεις παραχωρούνται για την αύξηση της ρευστότητας στην οικονομία κατά ανάλογο ποσό. Πιο συγκεκριμένα, η παραχώρηση κυβερνητικών εγγυήσεων ύψους ενός δισεκατομμυρίου ευρώ (€1.000.000.000) θα προσφέρει αύξηση της ρευστότητας στην οικονομία της τάξης του ενός δισεκατομμυρίου τετρακόσιων τριάντα εκατομμυρίων περίπου (€1.430.000.000).</w:t>
      </w:r>
      <w:bookmarkEnd w:id="1"/>
    </w:p>
    <w:p w14:paraId="237CA1E7" w14:textId="77777777" w:rsidR="00F61C55" w:rsidRPr="008F3154" w:rsidRDefault="00F61C55">
      <w:pPr>
        <w:rPr>
          <w:rFonts w:cs="Arial"/>
          <w:sz w:val="24"/>
          <w:szCs w:val="24"/>
          <w:lang w:val="el-GR"/>
        </w:rPr>
      </w:pPr>
    </w:p>
    <w:p w14:paraId="6BABF78B" w14:textId="1E5CCF5D" w:rsidR="004D7873" w:rsidRDefault="00897BC0" w:rsidP="004D7873">
      <w:pPr>
        <w:spacing w:after="160" w:line="256" w:lineRule="auto"/>
        <w:rPr>
          <w:rFonts w:eastAsia="Calibri" w:cs="Arial"/>
          <w:sz w:val="24"/>
          <w:szCs w:val="24"/>
          <w:lang w:val="el-GR"/>
        </w:rPr>
      </w:pPr>
      <w:r>
        <w:rPr>
          <w:rFonts w:eastAsia="Calibri" w:cs="Arial"/>
          <w:sz w:val="24"/>
          <w:szCs w:val="24"/>
          <w:lang w:val="el-GR"/>
        </w:rPr>
        <w:t>6.</w:t>
      </w:r>
      <w:r w:rsidRPr="00897BC0">
        <w:rPr>
          <w:rFonts w:eastAsia="Calibri" w:cs="Arial"/>
          <w:sz w:val="24"/>
          <w:szCs w:val="24"/>
          <w:lang w:val="el-GR"/>
        </w:rPr>
        <w:t xml:space="preserve"> Το </w:t>
      </w:r>
      <w:r w:rsidR="004D7873">
        <w:rPr>
          <w:rFonts w:eastAsia="Calibri" w:cs="Arial"/>
          <w:sz w:val="24"/>
          <w:szCs w:val="24"/>
          <w:lang w:val="el-GR"/>
        </w:rPr>
        <w:t xml:space="preserve">νομοτεχνικά </w:t>
      </w:r>
      <w:r w:rsidRPr="00897BC0">
        <w:rPr>
          <w:rFonts w:eastAsia="Calibri" w:cs="Arial"/>
          <w:sz w:val="24"/>
          <w:szCs w:val="24"/>
          <w:lang w:val="el-GR"/>
        </w:rPr>
        <w:t>νομοσχέδιο μαζί με την Αιτιολογική Έκθεση υπογεγραμμένη από τον Γενικό Εισαγγελέα της Δημοκρατίας, το Διάταγμα που συνοδεύει το Νομοσχέδιο,.</w:t>
      </w:r>
      <w:r w:rsidR="004D7873" w:rsidRPr="004D7873">
        <w:rPr>
          <w:rFonts w:eastAsia="Calibri" w:cs="Arial"/>
          <w:sz w:val="24"/>
          <w:szCs w:val="24"/>
          <w:lang w:val="el-GR"/>
        </w:rPr>
        <w:t xml:space="preserve"> </w:t>
      </w:r>
      <w:r w:rsidR="004D7873">
        <w:rPr>
          <w:rFonts w:eastAsia="Calibri" w:cs="Arial"/>
          <w:sz w:val="24"/>
          <w:szCs w:val="24"/>
          <w:lang w:val="el-GR"/>
        </w:rPr>
        <w:t xml:space="preserve">καθώς και το συμπληρωμένο Ερωτηματολόγιο Αντικτύπου επισυνάπτεται και κατατίθεται στη Βουλή των Αντιπροσώπων με σκοπό την ψήφιση του υπό αναφορά νομοσχεδίου σε νόμο. </w:t>
      </w:r>
      <w:r w:rsidR="004D7873" w:rsidRPr="008F3154">
        <w:rPr>
          <w:rFonts w:eastAsia="Calibri" w:cs="Arial"/>
          <w:sz w:val="24"/>
          <w:szCs w:val="24"/>
          <w:lang w:val="el-GR"/>
        </w:rPr>
        <w:t>Το προσχέδιο Διατάγματος που συνοδεύει το Νομοσχέδιο επισυνάπτεται, για ενημέρωση της Βουλής των Αντιπροσώπων.</w:t>
      </w:r>
    </w:p>
    <w:p w14:paraId="6CE3ADBC" w14:textId="3F447CAB" w:rsidR="00897BC0" w:rsidRPr="00897BC0" w:rsidRDefault="00897BC0" w:rsidP="00897BC0">
      <w:pPr>
        <w:spacing w:after="160" w:line="259" w:lineRule="auto"/>
        <w:rPr>
          <w:rFonts w:eastAsia="Calibri" w:cs="Arial"/>
          <w:sz w:val="24"/>
          <w:szCs w:val="24"/>
          <w:lang w:val="el-GR"/>
        </w:rPr>
      </w:pPr>
    </w:p>
    <w:p w14:paraId="6B02FE53" w14:textId="77777777" w:rsidR="00897BC0" w:rsidRPr="00DD7BA9" w:rsidRDefault="00897BC0">
      <w:pPr>
        <w:rPr>
          <w:rFonts w:cs="Arial"/>
          <w:sz w:val="24"/>
          <w:szCs w:val="24"/>
          <w:lang w:val="el-GR"/>
        </w:rPr>
      </w:pPr>
    </w:p>
    <w:sectPr w:rsidR="00897BC0" w:rsidRPr="00DD7B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25D3" w14:textId="77777777" w:rsidR="0011558A" w:rsidRDefault="0011558A" w:rsidP="00DD7BA9">
      <w:r>
        <w:separator/>
      </w:r>
    </w:p>
  </w:endnote>
  <w:endnote w:type="continuationSeparator" w:id="0">
    <w:p w14:paraId="00771EB8" w14:textId="77777777" w:rsidR="0011558A" w:rsidRDefault="0011558A" w:rsidP="00DD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00AC" w14:textId="77777777" w:rsidR="0011558A" w:rsidRDefault="0011558A" w:rsidP="00DD7BA9">
      <w:r>
        <w:separator/>
      </w:r>
    </w:p>
  </w:footnote>
  <w:footnote w:type="continuationSeparator" w:id="0">
    <w:p w14:paraId="40B90170" w14:textId="77777777" w:rsidR="0011558A" w:rsidRDefault="0011558A" w:rsidP="00DD7BA9">
      <w:r>
        <w:continuationSeparator/>
      </w:r>
    </w:p>
  </w:footnote>
  <w:footnote w:id="1">
    <w:p w14:paraId="4A335592" w14:textId="77777777" w:rsidR="00DD7BA9" w:rsidRDefault="00DD7BA9" w:rsidP="00DD7B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A9"/>
    <w:rsid w:val="00112F61"/>
    <w:rsid w:val="0011558A"/>
    <w:rsid w:val="00217A08"/>
    <w:rsid w:val="004D7873"/>
    <w:rsid w:val="0056235A"/>
    <w:rsid w:val="00570659"/>
    <w:rsid w:val="00797B6B"/>
    <w:rsid w:val="00851D2E"/>
    <w:rsid w:val="0088562F"/>
    <w:rsid w:val="00897BC0"/>
    <w:rsid w:val="008F3154"/>
    <w:rsid w:val="00B22CDE"/>
    <w:rsid w:val="00C42959"/>
    <w:rsid w:val="00DD7BA9"/>
    <w:rsid w:val="00F6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0E5E"/>
  <w15:docId w15:val="{A11B8CE2-042C-4827-B50C-2D1872E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BA9"/>
    <w:pPr>
      <w:spacing w:after="0" w:line="240" w:lineRule="auto"/>
      <w:jc w:val="both"/>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semiHidden/>
    <w:rsid w:val="00DD7BA9"/>
    <w:pPr>
      <w:spacing w:after="160" w:line="240" w:lineRule="exact"/>
      <w:jc w:val="left"/>
    </w:pPr>
    <w:rPr>
      <w:rFonts w:ascii="Tahoma" w:hAnsi="Tahoma"/>
      <w:sz w:val="20"/>
      <w:lang w:val="en-US"/>
    </w:rPr>
  </w:style>
  <w:style w:type="paragraph" w:styleId="BalloonText">
    <w:name w:val="Balloon Text"/>
    <w:basedOn w:val="Normal"/>
    <w:link w:val="BalloonTextChar"/>
    <w:uiPriority w:val="99"/>
    <w:semiHidden/>
    <w:unhideWhenUsed/>
    <w:rsid w:val="00797B6B"/>
    <w:rPr>
      <w:rFonts w:ascii="Tahoma" w:hAnsi="Tahoma" w:cs="Tahoma"/>
      <w:sz w:val="16"/>
      <w:szCs w:val="16"/>
    </w:rPr>
  </w:style>
  <w:style w:type="character" w:customStyle="1" w:styleId="BalloonTextChar">
    <w:name w:val="Balloon Text Char"/>
    <w:basedOn w:val="DefaultParagraphFont"/>
    <w:link w:val="BalloonText"/>
    <w:uiPriority w:val="99"/>
    <w:semiHidden/>
    <w:rsid w:val="00797B6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23866">
      <w:bodyDiv w:val="1"/>
      <w:marLeft w:val="0"/>
      <w:marRight w:val="0"/>
      <w:marTop w:val="0"/>
      <w:marBottom w:val="0"/>
      <w:divBdr>
        <w:top w:val="none" w:sz="0" w:space="0" w:color="auto"/>
        <w:left w:val="none" w:sz="0" w:space="0" w:color="auto"/>
        <w:bottom w:val="none" w:sz="0" w:space="0" w:color="auto"/>
        <w:right w:val="none" w:sz="0" w:space="0" w:color="auto"/>
      </w:divBdr>
    </w:div>
    <w:div w:id="20036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Evripidou</dc:creator>
  <cp:lastModifiedBy>Evangelia Evripidou</cp:lastModifiedBy>
  <cp:revision>3</cp:revision>
  <dcterms:created xsi:type="dcterms:W3CDTF">2021-09-17T08:07:00Z</dcterms:created>
  <dcterms:modified xsi:type="dcterms:W3CDTF">2021-09-17T08:08:00Z</dcterms:modified>
</cp:coreProperties>
</file>