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6A36" w14:textId="4C06D32F" w:rsidR="009C1D7C" w:rsidRDefault="00D13A8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ΝΟΜΟΣ</w:t>
      </w:r>
      <w:r w:rsidR="00BF1D80">
        <w:rPr>
          <w:rFonts w:ascii="Arial" w:eastAsia="Arial" w:hAnsi="Arial" w:cs="Arial"/>
          <w:sz w:val="24"/>
          <w:szCs w:val="24"/>
        </w:rPr>
        <w:t xml:space="preserve"> ΠΟΥ ΤΡΟΠΟΠΟΙΕΙ ΤΟΥΣ ΠΕΡΙ ΠΟΛΙΤΙΚΩΝ ΚΟΜΜΑΤΩΝ ΝΟΜΟΥΣ ΤΟΥ 2012 ΕΩΣ 20</w:t>
      </w:r>
      <w:r w:rsidR="00A56E1A">
        <w:rPr>
          <w:rFonts w:ascii="Arial" w:eastAsia="Arial" w:hAnsi="Arial" w:cs="Arial"/>
          <w:sz w:val="24"/>
          <w:szCs w:val="24"/>
        </w:rPr>
        <w:t>21</w:t>
      </w:r>
    </w:p>
    <w:p w14:paraId="3FEC46CD" w14:textId="77777777" w:rsidR="009C1D7C" w:rsidRDefault="009C1D7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17"/>
      </w:tblGrid>
      <w:tr w:rsidR="008B3FB5" w14:paraId="72D2424D" w14:textId="77777777">
        <w:tc>
          <w:tcPr>
            <w:tcW w:w="2127" w:type="dxa"/>
          </w:tcPr>
          <w:p w14:paraId="7C66CB03" w14:textId="77777777" w:rsidR="008B3FB5" w:rsidRDefault="008B3FB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0E872CE7" w14:textId="1832BDFA" w:rsidR="008B3FB5" w:rsidRDefault="008B3FB5" w:rsidP="008B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line="360" w:lineRule="auto"/>
              <w:ind w:left="31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8B3FB5" w14:paraId="6951434A" w14:textId="77777777">
        <w:tc>
          <w:tcPr>
            <w:tcW w:w="2127" w:type="dxa"/>
          </w:tcPr>
          <w:p w14:paraId="68DE1EC2" w14:textId="77777777" w:rsidR="008B3FB5" w:rsidRDefault="008B3FB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2C4EE26D" w14:textId="77777777" w:rsidR="008B3FB5" w:rsidRDefault="008B3FB5" w:rsidP="008B3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C1D7C" w14:paraId="39901980" w14:textId="77777777">
        <w:tc>
          <w:tcPr>
            <w:tcW w:w="2127" w:type="dxa"/>
          </w:tcPr>
          <w:p w14:paraId="6664EE40" w14:textId="77777777" w:rsidR="009C1D7C" w:rsidRDefault="00BF1D80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Συνοπτικός τίτλος.</w:t>
            </w:r>
          </w:p>
          <w:p w14:paraId="49150DE7" w14:textId="77777777" w:rsidR="009C1D7C" w:rsidRDefault="00BF1D80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175(Ι) του 2012</w:t>
            </w:r>
          </w:p>
          <w:p w14:paraId="47C32C09" w14:textId="77777777" w:rsidR="009C1D7C" w:rsidRDefault="00BF1D80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12(Ι) του 2015</w:t>
            </w:r>
          </w:p>
          <w:p w14:paraId="257D3C4C" w14:textId="77777777" w:rsidR="009C1D7C" w:rsidRDefault="00BF1D80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129(Ι) του 2015</w:t>
            </w:r>
          </w:p>
          <w:p w14:paraId="507F0015" w14:textId="77777777" w:rsidR="009C1D7C" w:rsidRDefault="00BF1D80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171(Ι) του 2015</w:t>
            </w:r>
          </w:p>
          <w:p w14:paraId="574F8386" w14:textId="20758EF6" w:rsidR="00375BD1" w:rsidRDefault="00BF1D80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35(Ι) του 2018</w:t>
            </w:r>
          </w:p>
          <w:p w14:paraId="3333029E" w14:textId="377D6C26" w:rsidR="009C1D7C" w:rsidRDefault="00375BD1" w:rsidP="00375BD1">
            <w:pPr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187(Ι)</w:t>
            </w:r>
            <w:r w:rsidR="00A56E1A">
              <w:rPr>
                <w:rFonts w:ascii="Arial" w:eastAsia="Arial" w:hAnsi="Arial" w:cs="Arial"/>
                <w:sz w:val="24"/>
                <w:szCs w:val="24"/>
              </w:rPr>
              <w:t xml:space="preserve"> του </w:t>
            </w:r>
            <w:r>
              <w:rPr>
                <w:rFonts w:ascii="Arial" w:eastAsia="Arial" w:hAnsi="Arial" w:cs="Arial"/>
                <w:sz w:val="24"/>
                <w:szCs w:val="24"/>
              </w:rPr>
              <w:t>2021</w:t>
            </w:r>
            <w:r w:rsidR="00BF1D8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217" w:type="dxa"/>
          </w:tcPr>
          <w:p w14:paraId="46F82AD5" w14:textId="5E17B14A" w:rsidR="009C1D7C" w:rsidRDefault="00BF1D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16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Ο παρών Νόμος θα αναφέρεται ως ο περί Πολιτικών Κομμάτων (Τροποποιητικός) Νόμος του 2022 και θα διαβάζεται μαζί με τους περί Πολιτικών Κομμάτων Νόμους του 2012 έως 20</w:t>
            </w:r>
            <w:r w:rsidR="00A56E1A"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Πολιτικών Κομμάτων Νόμοι του 2012 έως 2022.  </w:t>
            </w:r>
          </w:p>
        </w:tc>
      </w:tr>
      <w:tr w:rsidR="009C1D7C" w14:paraId="3385912C" w14:textId="77777777">
        <w:tc>
          <w:tcPr>
            <w:tcW w:w="2127" w:type="dxa"/>
          </w:tcPr>
          <w:p w14:paraId="682F2175" w14:textId="77777777" w:rsidR="009C1D7C" w:rsidRDefault="009C1D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73237D29" w14:textId="77777777" w:rsidR="009C1D7C" w:rsidRDefault="009C1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C1D7C" w14:paraId="5F7A7A73" w14:textId="77777777">
        <w:tc>
          <w:tcPr>
            <w:tcW w:w="2127" w:type="dxa"/>
          </w:tcPr>
          <w:p w14:paraId="261F0174" w14:textId="77777777" w:rsidR="009C1D7C" w:rsidRDefault="00BF1D80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Τροποποίηση </w:t>
            </w:r>
          </w:p>
          <w:p w14:paraId="0E878906" w14:textId="77777777" w:rsidR="009C1D7C" w:rsidRDefault="00BF1D80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του άρθρου 9 </w:t>
            </w:r>
          </w:p>
          <w:p w14:paraId="00A06268" w14:textId="77777777" w:rsidR="009C1D7C" w:rsidRDefault="00BF1D80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του βασικού νόμου.</w:t>
            </w:r>
          </w:p>
        </w:tc>
        <w:tc>
          <w:tcPr>
            <w:tcW w:w="7217" w:type="dxa"/>
          </w:tcPr>
          <w:p w14:paraId="23EBDE3D" w14:textId="7DB38999" w:rsidR="009C1D7C" w:rsidRDefault="00BF1D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16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Το άρθρο 9 του βασικού νόμου τροποποιείται με την αντικατάσταση στο τέλος αυτού του σημείου της τελείας με το σημείο της άνω και κάτω τελείας και την προσθήκη</w:t>
            </w:r>
            <w:r w:rsidR="008B3FB5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αμέσως μετά</w:t>
            </w:r>
            <w:r w:rsidR="008B3FB5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των ακόλουθων επιφυλάξεων:</w:t>
            </w:r>
          </w:p>
          <w:p w14:paraId="2CA20A86" w14:textId="77777777" w:rsidR="009C1D7C" w:rsidRDefault="009C1D7C">
            <w:pPr>
              <w:tabs>
                <w:tab w:val="left" w:pos="295"/>
              </w:tabs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51E6" w14:paraId="09B3E101" w14:textId="77777777">
        <w:tc>
          <w:tcPr>
            <w:tcW w:w="2127" w:type="dxa"/>
          </w:tcPr>
          <w:p w14:paraId="73A333AB" w14:textId="77777777" w:rsidR="00E151E6" w:rsidRDefault="00E151E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57022E37" w14:textId="2477D757" w:rsidR="00E151E6" w:rsidRDefault="00E151E6" w:rsidP="00F2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6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 w:rsidR="00F24CE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«Νοείται ότι, πολιτικό κόμμα δύναται να ενάγεται και για τις αποφάσεις των συλλογικών του οργάνων που σχετίζονται με οικονομικής φύσεως ζητήματα:</w:t>
            </w:r>
          </w:p>
        </w:tc>
      </w:tr>
      <w:tr w:rsidR="00E151E6" w14:paraId="74AE4158" w14:textId="77777777">
        <w:tc>
          <w:tcPr>
            <w:tcW w:w="2127" w:type="dxa"/>
          </w:tcPr>
          <w:p w14:paraId="57712594" w14:textId="77777777" w:rsidR="00E151E6" w:rsidRDefault="00E151E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2ABB7618" w14:textId="77777777" w:rsidR="00E151E6" w:rsidRDefault="00E151E6" w:rsidP="00E15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6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C1D7C" w14:paraId="149E1FDF" w14:textId="77777777">
        <w:tc>
          <w:tcPr>
            <w:tcW w:w="2127" w:type="dxa"/>
          </w:tcPr>
          <w:p w14:paraId="78B88612" w14:textId="77777777" w:rsidR="009C1D7C" w:rsidRDefault="009C1D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578496E8" w14:textId="40EDE614" w:rsidR="009C1D7C" w:rsidRDefault="00BF1D80" w:rsidP="00E15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6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 w:rsidR="00E151E6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Νοείται περαιτέρω ότι, πολιτικό κόμμα </w:t>
            </w:r>
            <w:r w:rsidR="00ED21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δεν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ενάγεται για αποφάσεις των συλλογικών του οργάνων που αφορούν πολιτική θέση ή για τις διαδικασίες λειτουργίας του.»</w:t>
            </w:r>
            <w:r w:rsidR="00ED218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C1D7C" w14:paraId="09B0AA59" w14:textId="77777777">
        <w:tc>
          <w:tcPr>
            <w:tcW w:w="2127" w:type="dxa"/>
          </w:tcPr>
          <w:p w14:paraId="11395C78" w14:textId="77777777" w:rsidR="009C1D7C" w:rsidRDefault="009C1D7C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14:paraId="609D32BF" w14:textId="77777777" w:rsidR="009C1D7C" w:rsidRDefault="009C1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83CD74" w14:textId="77777777" w:rsidR="009C1D7C" w:rsidRDefault="009C1D7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457F00" w14:textId="5C0DC9DF" w:rsidR="009C1D7C" w:rsidRDefault="009C1D7C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525D31C" w14:textId="553AC6DF" w:rsidR="009C1D7C" w:rsidRDefault="00BF1D80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ΛΣΜ/MS/</w:t>
      </w:r>
      <w:r w:rsidR="00414C00">
        <w:rPr>
          <w:rFonts w:ascii="Arial" w:eastAsia="Arial" w:hAnsi="Arial" w:cs="Arial"/>
          <w:sz w:val="16"/>
          <w:szCs w:val="16"/>
        </w:rPr>
        <w:t>ΕΠ/</w:t>
      </w:r>
      <w:r>
        <w:rPr>
          <w:rFonts w:ascii="Arial" w:eastAsia="Arial" w:hAnsi="Arial" w:cs="Arial"/>
          <w:sz w:val="16"/>
          <w:szCs w:val="16"/>
        </w:rPr>
        <w:t>ΓΧ</w:t>
      </w:r>
    </w:p>
    <w:p w14:paraId="17207DD1" w14:textId="1806686D" w:rsidR="009C1D7C" w:rsidRDefault="00BF1D80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23.02.062.180-2021</w:t>
      </w:r>
    </w:p>
    <w:p w14:paraId="6BC5000C" w14:textId="77777777" w:rsidR="009C1D7C" w:rsidRDefault="009C1D7C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0FB838" w14:textId="77777777" w:rsidR="009C1D7C" w:rsidRDefault="009C1D7C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C1D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8154" w14:textId="77777777" w:rsidR="00FD580F" w:rsidRDefault="00FD580F">
      <w:pPr>
        <w:spacing w:after="0" w:line="240" w:lineRule="auto"/>
      </w:pPr>
      <w:r>
        <w:separator/>
      </w:r>
    </w:p>
  </w:endnote>
  <w:endnote w:type="continuationSeparator" w:id="0">
    <w:p w14:paraId="0D14422B" w14:textId="77777777" w:rsidR="00FD580F" w:rsidRDefault="00F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231C" w14:textId="77777777" w:rsidR="000275B8" w:rsidRDefault="00027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227" w14:textId="77777777" w:rsidR="000275B8" w:rsidRDefault="00027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243" w14:textId="77777777" w:rsidR="000275B8" w:rsidRDefault="0002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123" w14:textId="77777777" w:rsidR="00FD580F" w:rsidRDefault="00FD580F">
      <w:pPr>
        <w:spacing w:after="0" w:line="240" w:lineRule="auto"/>
      </w:pPr>
      <w:r>
        <w:separator/>
      </w:r>
    </w:p>
  </w:footnote>
  <w:footnote w:type="continuationSeparator" w:id="0">
    <w:p w14:paraId="4CFED271" w14:textId="77777777" w:rsidR="00FD580F" w:rsidRDefault="00FD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4EF" w14:textId="77777777" w:rsidR="000275B8" w:rsidRDefault="00027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D8E9" w14:textId="77777777" w:rsidR="009C1D7C" w:rsidRPr="000275B8" w:rsidRDefault="00BF1D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Theme="minorBidi" w:hAnsiTheme="minorBidi" w:cstheme="minorBidi"/>
        <w:color w:val="000000"/>
      </w:rPr>
    </w:pPr>
    <w:r w:rsidRPr="000275B8">
      <w:rPr>
        <w:rFonts w:asciiTheme="minorBidi" w:hAnsiTheme="minorBidi" w:cstheme="minorBidi"/>
        <w:color w:val="000000"/>
      </w:rPr>
      <w:fldChar w:fldCharType="begin"/>
    </w:r>
    <w:r w:rsidRPr="000275B8">
      <w:rPr>
        <w:rFonts w:asciiTheme="minorBidi" w:hAnsiTheme="minorBidi" w:cstheme="minorBidi"/>
        <w:color w:val="000000"/>
      </w:rPr>
      <w:instrText>PAGE</w:instrText>
    </w:r>
    <w:r w:rsidRPr="000275B8">
      <w:rPr>
        <w:rFonts w:asciiTheme="minorBidi" w:hAnsiTheme="minorBidi" w:cstheme="minorBidi"/>
        <w:color w:val="000000"/>
      </w:rPr>
      <w:fldChar w:fldCharType="separate"/>
    </w:r>
    <w:r w:rsidR="00ED218E" w:rsidRPr="000275B8">
      <w:rPr>
        <w:rFonts w:asciiTheme="minorBidi" w:hAnsiTheme="minorBidi" w:cstheme="minorBidi"/>
        <w:noProof/>
        <w:color w:val="000000"/>
      </w:rPr>
      <w:t>2</w:t>
    </w:r>
    <w:r w:rsidRPr="000275B8">
      <w:rPr>
        <w:rFonts w:asciiTheme="minorBidi" w:hAnsiTheme="minorBidi" w:cstheme="minorBidi"/>
        <w:color w:val="000000"/>
      </w:rPr>
      <w:fldChar w:fldCharType="end"/>
    </w:r>
  </w:p>
  <w:p w14:paraId="6DB43E94" w14:textId="77777777" w:rsidR="009C1D7C" w:rsidRDefault="009C1D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6ACF" w14:textId="77777777" w:rsidR="000275B8" w:rsidRDefault="00027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9C9"/>
    <w:multiLevelType w:val="multilevel"/>
    <w:tmpl w:val="D4E62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7C"/>
    <w:rsid w:val="000275B8"/>
    <w:rsid w:val="000416E0"/>
    <w:rsid w:val="00346910"/>
    <w:rsid w:val="00375BD1"/>
    <w:rsid w:val="00414C00"/>
    <w:rsid w:val="005E1D36"/>
    <w:rsid w:val="00753F99"/>
    <w:rsid w:val="008B3FB5"/>
    <w:rsid w:val="009A741B"/>
    <w:rsid w:val="009C1D7C"/>
    <w:rsid w:val="00A56E1A"/>
    <w:rsid w:val="00BF1D80"/>
    <w:rsid w:val="00D13A81"/>
    <w:rsid w:val="00D3705B"/>
    <w:rsid w:val="00E151E6"/>
    <w:rsid w:val="00ED218E"/>
    <w:rsid w:val="00F24CE4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F60C"/>
  <w15:docId w15:val="{97764063-C5B9-4E99-BAB5-9BEB8FF1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9A"/>
  </w:style>
  <w:style w:type="paragraph" w:styleId="Footer">
    <w:name w:val="footer"/>
    <w:basedOn w:val="Normal"/>
    <w:link w:val="FooterChar"/>
    <w:uiPriority w:val="99"/>
    <w:unhideWhenUsed/>
    <w:rsid w:val="00675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0445537366343B512E8121D0B896C" ma:contentTypeVersion="2" ma:contentTypeDescription="Create a new document." ma:contentTypeScope="" ma:versionID="cdc7114157e660c3c82d264e097ded8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WTXWWF446S62-1992400384-886</_dlc_DocId>
    <_dlc_DocIdUrl xmlns="4e7d1edd-4c3f-49ab-b568-1d39293129b9">
      <Url>https://govcloud.gov.cy/independent/parliament/institutions/_layouts/15/DocIdRedir.aspx?ID=WTXWWF446S62-1992400384-886</Url>
      <Description>WTXWWF446S62-1992400384-886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mBodvo58vs8/kK1kGYjD8SpaQ==">AMUW2mWbkwNT7F2fDhEHN7omcXhvbxJ8jg4KVznmUxNlI0au2FqaFlcvkr4El0AnplTWr/SjRvAHy6YQw5YYTeGGWkVzFaCsOoe028FaCaWrrXq9TXwcoEI=</go:docsCustomData>
</go:gDocsCustomXmlDataStorage>
</file>

<file path=customXml/itemProps1.xml><?xml version="1.0" encoding="utf-8"?>
<ds:datastoreItem xmlns:ds="http://schemas.openxmlformats.org/officeDocument/2006/customXml" ds:itemID="{95E598DD-20E5-49A2-80FC-866F209D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803CC-11A4-450D-8A7A-1EE804AD5F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9948B3-F7C8-4039-BE3D-86BF6795F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D0100-CBCC-43B1-A851-3E6C2482645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CHRISTOFOROU GIANNA</dc:creator>
  <cp:lastModifiedBy>CHRISTOFOROU GIANNA</cp:lastModifiedBy>
  <cp:revision>7</cp:revision>
  <dcterms:created xsi:type="dcterms:W3CDTF">2022-01-18T07:54:00Z</dcterms:created>
  <dcterms:modified xsi:type="dcterms:W3CDTF">2022-04-05T08:50:00Z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0x010100DB40445537366343B512E8121D0B896C</vt:lpwstr>
  </property>
  <property fmtid="{D5CDD505-2E9C-101B-9397-08002B2CF9AE}" pid="3" name="_dlc_DocIdItemGuid">
    <vt:lpwstr>ceb0b912-60ed-44cf-bb96-c3892b0d54fe</vt:lpwstr>
  </property>
</Properties>
</file>