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2611" w14:textId="4EA5EE53" w:rsidR="008632AD" w:rsidRPr="00F17AA5" w:rsidRDefault="00177847" w:rsidP="00F17AA5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17AA5">
        <w:rPr>
          <w:rFonts w:ascii="Arial" w:hAnsi="Arial" w:cs="Arial"/>
          <w:sz w:val="24"/>
          <w:szCs w:val="24"/>
          <w:lang w:val="el-GR"/>
        </w:rPr>
        <w:t>ΝΟΜΟΣ ΠΟΥ ΤΡΟΠΟΠΟΙΕΙ ΤΟ</w:t>
      </w:r>
      <w:r w:rsidR="00924B15" w:rsidRPr="00F17AA5">
        <w:rPr>
          <w:rFonts w:ascii="Arial" w:hAnsi="Arial" w:cs="Arial"/>
          <w:sz w:val="24"/>
          <w:szCs w:val="24"/>
          <w:lang w:val="el-GR"/>
        </w:rPr>
        <w:t>Ν</w:t>
      </w:r>
      <w:r w:rsidRPr="00F17AA5">
        <w:rPr>
          <w:rFonts w:ascii="Arial" w:hAnsi="Arial" w:cs="Arial"/>
          <w:sz w:val="24"/>
          <w:szCs w:val="24"/>
          <w:lang w:val="el-GR"/>
        </w:rPr>
        <w:t xml:space="preserve"> ΠΕΡΙ </w:t>
      </w:r>
      <w:r w:rsidR="00924B15" w:rsidRPr="00F17AA5">
        <w:rPr>
          <w:rFonts w:ascii="Arial" w:hAnsi="Arial" w:cs="Arial"/>
          <w:sz w:val="24"/>
          <w:szCs w:val="24"/>
          <w:lang w:val="el-GR"/>
        </w:rPr>
        <w:t xml:space="preserve">ΤΗΣ ΚΑΤΑΠΟΛΕΜΗΣΗΣ ΤΗΣ ΤΡΟΜΟΚΡΑΤΙΑΣ ΚΑΙ ΠΡΟΣΤΑΣΙΑΣ ΤΩΝ ΘΥΜΑΤΩΝ ΝΟΜΟ ΤΟΥ 2019 </w:t>
      </w:r>
      <w:r w:rsidRPr="00F17AA5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C7A4135" w14:textId="77777777" w:rsidR="00177847" w:rsidRPr="00F17AA5" w:rsidRDefault="00177847" w:rsidP="00F17AA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28"/>
        <w:gridCol w:w="1095"/>
        <w:gridCol w:w="13"/>
        <w:gridCol w:w="139"/>
        <w:gridCol w:w="673"/>
        <w:gridCol w:w="98"/>
        <w:gridCol w:w="5592"/>
      </w:tblGrid>
      <w:tr w:rsidR="004B55F5" w:rsidRPr="004B6110" w14:paraId="56D04FF1" w14:textId="77777777" w:rsidTr="002D7AD4">
        <w:tc>
          <w:tcPr>
            <w:tcW w:w="1052" w:type="pct"/>
            <w:shd w:val="clear" w:color="auto" w:fill="auto"/>
          </w:tcPr>
          <w:p w14:paraId="4DB70C3E" w14:textId="72C76FB4" w:rsidR="004B55F5" w:rsidRPr="00F17AA5" w:rsidRDefault="004B55F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025D77F9" w14:textId="596642CC" w:rsidR="004B55F5" w:rsidRPr="00F17AA5" w:rsidRDefault="004B55F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B55F5" w:rsidRPr="004B6110" w14:paraId="3C83C498" w14:textId="77777777" w:rsidTr="002D7AD4">
        <w:tc>
          <w:tcPr>
            <w:tcW w:w="1052" w:type="pct"/>
            <w:shd w:val="clear" w:color="auto" w:fill="auto"/>
          </w:tcPr>
          <w:p w14:paraId="1097AB25" w14:textId="77777777" w:rsidR="004B55F5" w:rsidRPr="00F17AA5" w:rsidRDefault="004B55F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258D65B6" w14:textId="1FE78421" w:rsidR="004B55F5" w:rsidRPr="00F17AA5" w:rsidRDefault="00F17AA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2971C2" w:rsidRPr="00F17AA5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4B55F5" w:rsidRPr="004B6110" w14:paraId="2562A6B0" w14:textId="77777777" w:rsidTr="002D7AD4">
        <w:tc>
          <w:tcPr>
            <w:tcW w:w="1052" w:type="pct"/>
            <w:shd w:val="clear" w:color="auto" w:fill="auto"/>
          </w:tcPr>
          <w:p w14:paraId="5C79A9D5" w14:textId="77777777" w:rsidR="004B55F5" w:rsidRPr="00F17AA5" w:rsidRDefault="004B55F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42753442" w14:textId="3D3DF49C" w:rsidR="004B55F5" w:rsidRPr="00F17AA5" w:rsidRDefault="004B55F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77847" w:rsidRPr="004B6110" w14:paraId="427D881A" w14:textId="77777777" w:rsidTr="002D7AD4">
        <w:tc>
          <w:tcPr>
            <w:tcW w:w="1052" w:type="pct"/>
            <w:shd w:val="clear" w:color="auto" w:fill="auto"/>
          </w:tcPr>
          <w:p w14:paraId="34CF2DD6" w14:textId="0B1E379F" w:rsidR="00544CD4" w:rsidRPr="00F17AA5" w:rsidRDefault="00D07C68" w:rsidP="00CE4DF4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  <w:r w:rsidR="002971C2" w:rsidRPr="00F17AA5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ίτλος</w:t>
            </w:r>
            <w:r w:rsidR="002971C2" w:rsidRPr="00F17AA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924B15" w:rsidRPr="00F17A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14:paraId="050A1447" w14:textId="0796AD97" w:rsidR="00924B15" w:rsidRPr="00F17AA5" w:rsidRDefault="00924B15" w:rsidP="00544CD4">
            <w:pPr>
              <w:tabs>
                <w:tab w:val="left" w:pos="284"/>
                <w:tab w:val="left" w:pos="567"/>
              </w:tabs>
              <w:spacing w:after="0"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75(Ι) του 2019.</w:t>
            </w:r>
          </w:p>
          <w:p w14:paraId="60C7E93B" w14:textId="241A704F" w:rsidR="00D07C68" w:rsidRPr="00F17AA5" w:rsidRDefault="00D07C68" w:rsidP="00CE4DF4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06DF31C" w14:textId="2992291D" w:rsidR="005C64A0" w:rsidRPr="00F17AA5" w:rsidRDefault="005C64A0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3E36418D" w14:textId="67EC8813" w:rsidR="00177847" w:rsidRPr="00F17AA5" w:rsidRDefault="0085606B" w:rsidP="009D6E9C">
            <w:pPr>
              <w:keepNext/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 w:rsidR="00F17AA5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F17AA5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924B15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Ο παρών Νόμος θα αναφέρεται ως ο περί της Καταπολέμησης της Τρομοκρατίας και Προστασίας των Θυμάτων (Τροποποιητικός) Νόμος του 2022 και θα διαβάζεται μαζί με τον περί της Καταπολέμησης της Τρομοκρατίας και Προστασίας των Θυμάτων </w:t>
            </w:r>
            <w:proofErr w:type="spellStart"/>
            <w:r w:rsidR="00924B15" w:rsidRPr="00F17AA5">
              <w:rPr>
                <w:rFonts w:ascii="Arial" w:hAnsi="Arial" w:cs="Arial"/>
                <w:sz w:val="24"/>
                <w:szCs w:val="24"/>
                <w:lang w:val="el-GR"/>
              </w:rPr>
              <w:t>Nόμο</w:t>
            </w:r>
            <w:proofErr w:type="spellEnd"/>
            <w:r w:rsidR="00924B15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2019 (που στη συνέχεια θα αναφέρεται ως «ο βασικός νόμος») και ο βασικός νόμος και ο παρών Νόμος θα αναφέρονται μαζί ως οι περί της Καταπολέμησης της Τρομοκρατίας και Προστασίας των Θυμάτων Νόμοι του 2019 </w:t>
            </w:r>
            <w:r w:rsidR="00275F05" w:rsidRPr="00F17AA5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="00924B15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2022.  </w:t>
            </w:r>
          </w:p>
        </w:tc>
      </w:tr>
      <w:tr w:rsidR="004B55F5" w:rsidRPr="004B6110" w14:paraId="181EF8BA" w14:textId="77777777" w:rsidTr="002D7AD4">
        <w:tc>
          <w:tcPr>
            <w:tcW w:w="1052" w:type="pct"/>
            <w:shd w:val="clear" w:color="auto" w:fill="auto"/>
          </w:tcPr>
          <w:p w14:paraId="64DB2B07" w14:textId="77777777" w:rsidR="004B55F5" w:rsidRPr="00F17AA5" w:rsidRDefault="004B55F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470EA6BA" w14:textId="77777777" w:rsidR="004B55F5" w:rsidRPr="00F17AA5" w:rsidRDefault="004B55F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B55F5" w:rsidRPr="004B6110" w14:paraId="342295F8" w14:textId="77777777" w:rsidTr="002D7AD4">
        <w:tc>
          <w:tcPr>
            <w:tcW w:w="1052" w:type="pct"/>
            <w:shd w:val="clear" w:color="auto" w:fill="auto"/>
          </w:tcPr>
          <w:p w14:paraId="7738B229" w14:textId="168B116B" w:rsidR="004B55F5" w:rsidRPr="00F17AA5" w:rsidRDefault="004B55F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2 του βασικού νόμου.</w:t>
            </w:r>
          </w:p>
        </w:tc>
        <w:tc>
          <w:tcPr>
            <w:tcW w:w="3948" w:type="pct"/>
            <w:gridSpan w:val="6"/>
            <w:shd w:val="clear" w:color="auto" w:fill="auto"/>
          </w:tcPr>
          <w:p w14:paraId="0DB000FD" w14:textId="648962D5" w:rsidR="004B55F5" w:rsidRPr="00F17AA5" w:rsidRDefault="00536306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4B55F5" w:rsidRPr="00F17AA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2D7AD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2D7AD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4B55F5" w:rsidRPr="00F17AA5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="004B55F5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άρθρο 2 του βασικού νόμου τροποποιείται</w:t>
            </w:r>
            <w:r w:rsidR="00D126F2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24B15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 διαγραφή </w:t>
            </w:r>
            <w:r w:rsidR="009F12D8" w:rsidRPr="00F17AA5">
              <w:rPr>
                <w:rFonts w:ascii="Arial" w:hAnsi="Arial" w:cs="Arial"/>
                <w:sz w:val="24"/>
                <w:szCs w:val="24"/>
                <w:lang w:val="el-GR"/>
              </w:rPr>
              <w:t>στο</w:t>
            </w:r>
            <w:r w:rsidR="007152AC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3B2089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9F12D8" w:rsidRPr="00F17AA5">
              <w:rPr>
                <w:rFonts w:ascii="Arial" w:hAnsi="Arial" w:cs="Arial"/>
                <w:sz w:val="24"/>
                <w:szCs w:val="24"/>
                <w:lang w:val="el-GR"/>
              </w:rPr>
              <w:t>ορισμ</w:t>
            </w:r>
            <w:r w:rsidR="007152AC">
              <w:rPr>
                <w:rFonts w:ascii="Arial" w:hAnsi="Arial" w:cs="Arial"/>
                <w:sz w:val="24"/>
                <w:szCs w:val="24"/>
                <w:lang w:val="el-GR"/>
              </w:rPr>
              <w:t>ό</w:t>
            </w:r>
            <w:r w:rsidR="009F12D8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όρου «τρομοκρατική ομάδα»</w:t>
            </w:r>
            <w:r w:rsidR="003B2089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834B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φράσης «η οποία περιλαμβάνεται στους καταλόγους που αναφέρονται στο άρθρο 25» </w:t>
            </w:r>
            <w:r w:rsidR="004B5943">
              <w:rPr>
                <w:rFonts w:ascii="Arial" w:hAnsi="Arial" w:cs="Arial"/>
                <w:sz w:val="24"/>
                <w:szCs w:val="24"/>
                <w:lang w:val="el-GR"/>
              </w:rPr>
              <w:t>(τρίτη και τέταρτη γραμμή).</w:t>
            </w:r>
            <w:r w:rsidR="004B55F5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3B2089" w:rsidRPr="004B6110" w14:paraId="7B47F2B3" w14:textId="77777777" w:rsidTr="002D7AD4">
        <w:tc>
          <w:tcPr>
            <w:tcW w:w="1052" w:type="pct"/>
            <w:shd w:val="clear" w:color="auto" w:fill="auto"/>
          </w:tcPr>
          <w:p w14:paraId="7E3A184D" w14:textId="77777777" w:rsidR="003B2089" w:rsidRPr="00F17AA5" w:rsidRDefault="003B2089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15C32AA6" w14:textId="77777777" w:rsidR="003B2089" w:rsidRPr="00F17AA5" w:rsidRDefault="003B2089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126F2" w:rsidRPr="004B6110" w14:paraId="4FB59B9A" w14:textId="77777777" w:rsidTr="002D7AD4">
        <w:trPr>
          <w:trHeight w:val="1646"/>
        </w:trPr>
        <w:tc>
          <w:tcPr>
            <w:tcW w:w="1052" w:type="pct"/>
            <w:shd w:val="clear" w:color="auto" w:fill="auto"/>
          </w:tcPr>
          <w:p w14:paraId="45E446C1" w14:textId="1AD0CD81" w:rsidR="00D126F2" w:rsidRPr="00F17AA5" w:rsidRDefault="003B2089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4 του βασικού νόμου.</w:t>
            </w:r>
          </w:p>
        </w:tc>
        <w:tc>
          <w:tcPr>
            <w:tcW w:w="3948" w:type="pct"/>
            <w:gridSpan w:val="6"/>
            <w:shd w:val="clear" w:color="auto" w:fill="auto"/>
          </w:tcPr>
          <w:p w14:paraId="02A7A7A9" w14:textId="4477A4DE" w:rsidR="00D126F2" w:rsidRPr="00F17AA5" w:rsidRDefault="003B2089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3.</w:t>
            </w:r>
            <w:r w:rsidR="002D7AD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2D7AD4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Το άρθρο 4 του βασικού νόμου τροποποιείται ως ακολούθως:</w:t>
            </w:r>
          </w:p>
          <w:p w14:paraId="57FC5135" w14:textId="16E67562" w:rsidR="003B2089" w:rsidRPr="00F17AA5" w:rsidRDefault="003B2089" w:rsidP="00F17AA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7B3BE5" w14:textId="5AA83936" w:rsidR="003B2089" w:rsidRPr="00F17AA5" w:rsidRDefault="003B2089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941D5" w:rsidRPr="004B6110" w14:paraId="0AAA0289" w14:textId="77777777" w:rsidTr="002D7AD4">
        <w:trPr>
          <w:trHeight w:val="125"/>
        </w:trPr>
        <w:tc>
          <w:tcPr>
            <w:tcW w:w="1052" w:type="pct"/>
            <w:shd w:val="clear" w:color="auto" w:fill="auto"/>
          </w:tcPr>
          <w:p w14:paraId="52CEEE7E" w14:textId="77777777" w:rsidR="00E941D5" w:rsidRPr="00F17AA5" w:rsidRDefault="00E941D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67A045FE" w14:textId="77777777" w:rsidR="00E941D5" w:rsidRPr="00F17AA5" w:rsidRDefault="00E941D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327AE" w:rsidRPr="004B6110" w14:paraId="2F6CEB73" w14:textId="77777777" w:rsidTr="002D7AD4">
        <w:trPr>
          <w:trHeight w:val="1137"/>
        </w:trPr>
        <w:tc>
          <w:tcPr>
            <w:tcW w:w="1052" w:type="pct"/>
            <w:shd w:val="clear" w:color="auto" w:fill="auto"/>
          </w:tcPr>
          <w:p w14:paraId="5EEA1203" w14:textId="77777777" w:rsidR="00D126F2" w:rsidRPr="00F17AA5" w:rsidRDefault="00D126F2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" w:type="pct"/>
            <w:shd w:val="clear" w:color="auto" w:fill="auto"/>
          </w:tcPr>
          <w:p w14:paraId="755A6370" w14:textId="353F7A02" w:rsidR="00D126F2" w:rsidRPr="00F17AA5" w:rsidRDefault="00D126F2" w:rsidP="002D7AD4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380" w:type="pct"/>
            <w:gridSpan w:val="5"/>
            <w:shd w:val="clear" w:color="auto" w:fill="auto"/>
          </w:tcPr>
          <w:p w14:paraId="54C1F1FA" w14:textId="62F47BAF" w:rsidR="00D126F2" w:rsidRPr="00F17AA5" w:rsidRDefault="00D71A4D" w:rsidP="00F17AA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αντικατάσταση στο εδάφιο (4) αυτού </w:t>
            </w:r>
            <w:r w:rsidR="000244FF">
              <w:rPr>
                <w:rFonts w:ascii="Arial" w:hAnsi="Arial" w:cs="Arial"/>
                <w:sz w:val="24"/>
                <w:szCs w:val="24"/>
                <w:lang w:val="el-GR"/>
              </w:rPr>
              <w:t>της φράσης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«12 και 13» (τελευταία γραμμή) με </w:t>
            </w:r>
            <w:r w:rsidR="000244FF">
              <w:rPr>
                <w:rFonts w:ascii="Arial" w:hAnsi="Arial" w:cs="Arial"/>
                <w:sz w:val="24"/>
                <w:szCs w:val="24"/>
                <w:lang w:val="el-GR"/>
              </w:rPr>
              <w:t>τη φράση</w:t>
            </w:r>
            <w:r w:rsidR="00210638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«12, 13, 16 και 18</w:t>
            </w:r>
            <w:r w:rsidR="004B6110" w:rsidRPr="00F17AA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  <w:r w:rsidR="009D01FE" w:rsidRPr="00F17AA5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4B6110" w:rsidRPr="00F17AA5">
              <w:rPr>
                <w:rFonts w:ascii="Arial" w:hAnsi="Arial" w:cs="Arial"/>
                <w:sz w:val="24"/>
                <w:szCs w:val="24"/>
                <w:lang w:val="el-GR"/>
              </w:rPr>
              <w:t>∙</w:t>
            </w:r>
          </w:p>
        </w:tc>
      </w:tr>
      <w:tr w:rsidR="004327AE" w:rsidRPr="004B6110" w14:paraId="2D337B9F" w14:textId="77777777" w:rsidTr="002D7AD4">
        <w:tc>
          <w:tcPr>
            <w:tcW w:w="1052" w:type="pct"/>
            <w:shd w:val="clear" w:color="auto" w:fill="auto"/>
          </w:tcPr>
          <w:p w14:paraId="471C2EED" w14:textId="77777777" w:rsidR="00342EB1" w:rsidRPr="00F17AA5" w:rsidRDefault="00342EB1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" w:type="pct"/>
            <w:shd w:val="clear" w:color="auto" w:fill="auto"/>
          </w:tcPr>
          <w:p w14:paraId="1F410973" w14:textId="77777777" w:rsidR="00342EB1" w:rsidRPr="00F17AA5" w:rsidRDefault="00342EB1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80" w:type="pct"/>
            <w:gridSpan w:val="5"/>
            <w:shd w:val="clear" w:color="auto" w:fill="auto"/>
          </w:tcPr>
          <w:p w14:paraId="1D1441F8" w14:textId="77777777" w:rsidR="00342EB1" w:rsidRPr="00F17AA5" w:rsidRDefault="00342EB1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35306" w:rsidRPr="004B6110" w14:paraId="7598640D" w14:textId="77777777" w:rsidTr="002D7AD4">
        <w:tc>
          <w:tcPr>
            <w:tcW w:w="1052" w:type="pct"/>
            <w:shd w:val="clear" w:color="auto" w:fill="auto"/>
          </w:tcPr>
          <w:p w14:paraId="0DABCE0E" w14:textId="77777777" w:rsidR="00F35306" w:rsidRPr="00F17AA5" w:rsidRDefault="00F35306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" w:type="pct"/>
            <w:shd w:val="clear" w:color="auto" w:fill="auto"/>
          </w:tcPr>
          <w:p w14:paraId="130C94C7" w14:textId="17ABE07C" w:rsidR="00F35306" w:rsidRPr="00F17AA5" w:rsidRDefault="0063229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3B2089" w:rsidRPr="00F17AA5">
              <w:rPr>
                <w:rFonts w:ascii="Arial" w:hAnsi="Arial" w:cs="Arial"/>
                <w:sz w:val="24"/>
                <w:szCs w:val="24"/>
                <w:lang w:val="el-GR"/>
              </w:rPr>
              <w:t>β)</w:t>
            </w:r>
          </w:p>
        </w:tc>
        <w:tc>
          <w:tcPr>
            <w:tcW w:w="3380" w:type="pct"/>
            <w:gridSpan w:val="5"/>
            <w:shd w:val="clear" w:color="auto" w:fill="auto"/>
          </w:tcPr>
          <w:p w14:paraId="64B457C7" w14:textId="2F1CE138" w:rsidR="00F35306" w:rsidRPr="00F17AA5" w:rsidRDefault="003B2089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την </w:t>
            </w:r>
            <w:r w:rsidR="009D01F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αντικατάσταση 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στο εδάφιο (5) αυτού</w:t>
            </w:r>
            <w:r w:rsidR="009D01F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9368B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φράσης </w:t>
            </w:r>
            <w:r w:rsidR="009D01F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«7, 11 και 13» (τρίτη γραμμή) με </w:t>
            </w:r>
            <w:r w:rsidR="00040608">
              <w:rPr>
                <w:rFonts w:ascii="Arial" w:hAnsi="Arial" w:cs="Arial"/>
                <w:sz w:val="24"/>
                <w:szCs w:val="24"/>
                <w:lang w:val="el-GR"/>
              </w:rPr>
              <w:t>τη φράση</w:t>
            </w:r>
            <w:r w:rsidR="009D01F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«7, 8, 11, 12 και 18».  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     </w:t>
            </w:r>
          </w:p>
        </w:tc>
      </w:tr>
      <w:tr w:rsidR="004A7C0C" w:rsidRPr="004B6110" w14:paraId="08EE3089" w14:textId="77777777" w:rsidTr="002D7AD4">
        <w:tc>
          <w:tcPr>
            <w:tcW w:w="1052" w:type="pct"/>
            <w:shd w:val="clear" w:color="auto" w:fill="auto"/>
          </w:tcPr>
          <w:p w14:paraId="1BEFD85B" w14:textId="77777777" w:rsidR="004A7C0C" w:rsidRPr="00F17AA5" w:rsidRDefault="004A7C0C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5B4BE071" w14:textId="77777777" w:rsidR="00A20526" w:rsidRPr="00F17AA5" w:rsidRDefault="00A20526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F3F49" w:rsidRPr="004B6110" w14:paraId="4FCD3C7A" w14:textId="77777777" w:rsidTr="002D7AD4">
        <w:trPr>
          <w:trHeight w:val="1620"/>
        </w:trPr>
        <w:tc>
          <w:tcPr>
            <w:tcW w:w="1052" w:type="pct"/>
            <w:shd w:val="clear" w:color="auto" w:fill="auto"/>
          </w:tcPr>
          <w:p w14:paraId="34C8B74F" w14:textId="78E674FB" w:rsidR="007F3F49" w:rsidRPr="00F17AA5" w:rsidRDefault="007F3F49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Τροποποίηση του άρθρου 5 του βασικού νόμου</w:t>
            </w:r>
            <w:r w:rsidR="00210638" w:rsidRPr="00F17AA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948" w:type="pct"/>
            <w:gridSpan w:val="6"/>
            <w:shd w:val="clear" w:color="auto" w:fill="auto"/>
          </w:tcPr>
          <w:p w14:paraId="132D2CBD" w14:textId="401CD20B" w:rsidR="007F3F49" w:rsidRPr="00F17AA5" w:rsidRDefault="00267C4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7F3F49" w:rsidRPr="00F17AA5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1C2AC1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1C2AC1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7F3F49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5 του βασικού </w:t>
            </w:r>
            <w:r w:rsidR="000B5FD1" w:rsidRPr="00F17AA5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="007F3F49" w:rsidRPr="00F17AA5">
              <w:rPr>
                <w:rFonts w:ascii="Arial" w:hAnsi="Arial" w:cs="Arial"/>
                <w:sz w:val="24"/>
                <w:szCs w:val="24"/>
                <w:lang w:val="el-GR"/>
              </w:rPr>
              <w:t>όμου τροποποιείται</w:t>
            </w:r>
            <w:r w:rsidR="00B3356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την προσθήκη, αμέσως μετά την </w:t>
            </w:r>
            <w:proofErr w:type="spellStart"/>
            <w:r w:rsidR="00B3356E" w:rsidRPr="00F17AA5">
              <w:rPr>
                <w:rFonts w:ascii="Arial" w:hAnsi="Arial" w:cs="Arial"/>
                <w:sz w:val="24"/>
                <w:szCs w:val="24"/>
                <w:lang w:val="el-GR"/>
              </w:rPr>
              <w:t>υποπαράγραφο</w:t>
            </w:r>
            <w:proofErr w:type="spellEnd"/>
            <w:r w:rsidR="00B3356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B3356E" w:rsidRPr="00F17AA5">
              <w:rPr>
                <w:rFonts w:ascii="Arial" w:hAnsi="Arial" w:cs="Arial"/>
                <w:sz w:val="24"/>
                <w:szCs w:val="24"/>
                <w:lang w:val="el-GR"/>
              </w:rPr>
              <w:t>θθ</w:t>
            </w:r>
            <w:proofErr w:type="spellEnd"/>
            <w:r w:rsidR="00B3356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  <w:r w:rsidR="000C47FD" w:rsidRPr="00F17AA5">
              <w:rPr>
                <w:rFonts w:ascii="Arial" w:hAnsi="Arial" w:cs="Arial"/>
                <w:sz w:val="24"/>
                <w:szCs w:val="24"/>
                <w:lang w:val="el-GR"/>
              </w:rPr>
              <w:t>αυτού</w:t>
            </w:r>
            <w:r w:rsidR="004B6110" w:rsidRPr="004B6110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B3356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ακόλουθης νέας </w:t>
            </w:r>
            <w:proofErr w:type="spellStart"/>
            <w:r w:rsidR="00B3356E" w:rsidRPr="00F17AA5">
              <w:rPr>
                <w:rFonts w:ascii="Arial" w:hAnsi="Arial" w:cs="Arial"/>
                <w:sz w:val="24"/>
                <w:szCs w:val="24"/>
                <w:lang w:val="el-GR"/>
              </w:rPr>
              <w:t>υποπαραγράφου</w:t>
            </w:r>
            <w:proofErr w:type="spellEnd"/>
            <w:r w:rsidR="00B3356E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: </w:t>
            </w:r>
            <w:r w:rsidR="007C3181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71A1CBC" w14:textId="5425C44E" w:rsidR="007F3F49" w:rsidRPr="00F17AA5" w:rsidRDefault="007F3F49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66675" w:rsidRPr="004B6110" w14:paraId="5DD4147F" w14:textId="77777777" w:rsidTr="002D7AD4">
        <w:trPr>
          <w:trHeight w:val="190"/>
        </w:trPr>
        <w:tc>
          <w:tcPr>
            <w:tcW w:w="1052" w:type="pct"/>
            <w:shd w:val="clear" w:color="auto" w:fill="auto"/>
          </w:tcPr>
          <w:p w14:paraId="5A395E62" w14:textId="77777777" w:rsidR="00566675" w:rsidRPr="00F17AA5" w:rsidRDefault="0056667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65E6AEFD" w14:textId="77777777" w:rsidR="00566675" w:rsidRPr="00F17AA5" w:rsidRDefault="0056667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32295" w:rsidRPr="004B6110" w14:paraId="50A3095C" w14:textId="77777777" w:rsidTr="00A25ACB">
        <w:trPr>
          <w:trHeight w:val="1620"/>
        </w:trPr>
        <w:tc>
          <w:tcPr>
            <w:tcW w:w="1052" w:type="pct"/>
            <w:shd w:val="clear" w:color="auto" w:fill="auto"/>
          </w:tcPr>
          <w:p w14:paraId="515661F3" w14:textId="77777777" w:rsidR="00632295" w:rsidRPr="00F17AA5" w:rsidRDefault="0063229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96" w:type="pct"/>
            <w:gridSpan w:val="4"/>
            <w:shd w:val="clear" w:color="auto" w:fill="auto"/>
          </w:tcPr>
          <w:p w14:paraId="6BACB8B7" w14:textId="77777777" w:rsidR="00632295" w:rsidRPr="00F17AA5" w:rsidRDefault="0063229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5DB1B5A" w14:textId="77777777" w:rsidR="005207F7" w:rsidRDefault="005207F7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DC4AA4D" w14:textId="1881C7CF" w:rsidR="00632295" w:rsidRPr="00F17AA5" w:rsidRDefault="0063229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77(Ι) του 2012.</w:t>
            </w:r>
          </w:p>
          <w:p w14:paraId="121CAF27" w14:textId="77777777" w:rsidR="00632295" w:rsidRPr="00F17AA5" w:rsidRDefault="0063229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952" w:type="pct"/>
            <w:gridSpan w:val="2"/>
            <w:shd w:val="clear" w:color="auto" w:fill="auto"/>
          </w:tcPr>
          <w:p w14:paraId="79F89618" w14:textId="41D154D6" w:rsidR="00632295" w:rsidRPr="00F17AA5" w:rsidRDefault="00946223" w:rsidP="005207F7">
            <w:pPr>
              <w:tabs>
                <w:tab w:val="left" w:pos="604"/>
              </w:tabs>
              <w:spacing w:after="0" w:line="360" w:lineRule="auto"/>
              <w:ind w:left="618" w:hanging="7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«(</w:t>
            </w:r>
            <w:proofErr w:type="spellStart"/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ιι</w:t>
            </w:r>
            <w:proofErr w:type="spellEnd"/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94622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207F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632295" w:rsidRPr="00F17AA5">
              <w:rPr>
                <w:rFonts w:ascii="Arial" w:hAnsi="Arial" w:cs="Arial"/>
                <w:sz w:val="24"/>
                <w:szCs w:val="24"/>
                <w:lang w:val="el-GR"/>
              </w:rPr>
              <w:t>κατάληψη πλοίων ή άλλων μέσων μαζικής μεταφοράς ή μεταφοράς εμπορευμάτων δυνάμει των διατάξεων του περί Προστασίας Κυπριακών Πλοίων από Πράξεις Πειρατείας και άλλες Παράνομες Πράξεις  Νόμου</w:t>
            </w:r>
            <w:r w:rsidR="00291EA2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632295" w:rsidRPr="00F17AA5"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</w:tc>
      </w:tr>
      <w:tr w:rsidR="007F3F49" w:rsidRPr="004B6110" w14:paraId="7256CA43" w14:textId="77777777" w:rsidTr="002D7AD4">
        <w:tc>
          <w:tcPr>
            <w:tcW w:w="1052" w:type="pct"/>
            <w:shd w:val="clear" w:color="auto" w:fill="auto"/>
          </w:tcPr>
          <w:p w14:paraId="0F95E88B" w14:textId="77777777" w:rsidR="007F3F49" w:rsidRPr="00F17AA5" w:rsidRDefault="007F3F49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bookmarkStart w:id="0" w:name="_Hlk95938434"/>
          </w:p>
        </w:tc>
        <w:tc>
          <w:tcPr>
            <w:tcW w:w="3948" w:type="pct"/>
            <w:gridSpan w:val="6"/>
            <w:shd w:val="clear" w:color="auto" w:fill="auto"/>
          </w:tcPr>
          <w:p w14:paraId="0506D645" w14:textId="77777777" w:rsidR="007F3F49" w:rsidRPr="00F17AA5" w:rsidRDefault="007F3F49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bookmarkEnd w:id="0"/>
      <w:tr w:rsidR="00EE730B" w:rsidRPr="004B6110" w14:paraId="7A236F01" w14:textId="77777777" w:rsidTr="002D7AD4">
        <w:tc>
          <w:tcPr>
            <w:tcW w:w="1052" w:type="pct"/>
            <w:shd w:val="clear" w:color="auto" w:fill="auto"/>
          </w:tcPr>
          <w:p w14:paraId="47099F5F" w14:textId="40F8C4E0" w:rsidR="00EE730B" w:rsidRPr="00F17AA5" w:rsidRDefault="00EE730B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Τροποποίηση του άρθρου 13 του βασικού νόμου.</w:t>
            </w:r>
          </w:p>
        </w:tc>
        <w:tc>
          <w:tcPr>
            <w:tcW w:w="3948" w:type="pct"/>
            <w:gridSpan w:val="6"/>
            <w:shd w:val="clear" w:color="auto" w:fill="auto"/>
          </w:tcPr>
          <w:p w14:paraId="4F4038A3" w14:textId="2F7D080D" w:rsidR="00EE730B" w:rsidRPr="00F17AA5" w:rsidRDefault="00EE730B" w:rsidP="00A74049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5. </w:t>
            </w:r>
            <w:r w:rsidR="005207F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5207F7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Το άρθρο 13 του βασικού νόμου τροποποιείται ως ακολούθως:</w:t>
            </w:r>
          </w:p>
          <w:p w14:paraId="27CD0AB0" w14:textId="77777777" w:rsidR="00234262" w:rsidRPr="00F17AA5" w:rsidRDefault="00234262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733D29B" w14:textId="0429D725" w:rsidR="00EE730B" w:rsidRPr="00F17AA5" w:rsidRDefault="00EE730B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66675" w:rsidRPr="004B6110" w14:paraId="332BF49E" w14:textId="77777777" w:rsidTr="002D7AD4">
        <w:tc>
          <w:tcPr>
            <w:tcW w:w="1052" w:type="pct"/>
            <w:shd w:val="clear" w:color="auto" w:fill="auto"/>
          </w:tcPr>
          <w:p w14:paraId="6B9525D0" w14:textId="77777777" w:rsidR="00566675" w:rsidRPr="00F17AA5" w:rsidRDefault="0056667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53D87C78" w14:textId="77777777" w:rsidR="00566675" w:rsidRPr="00F17AA5" w:rsidRDefault="0056667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327AE" w:rsidRPr="004B6110" w14:paraId="5B91752C" w14:textId="77777777" w:rsidTr="00400123">
        <w:tc>
          <w:tcPr>
            <w:tcW w:w="1052" w:type="pct"/>
            <w:shd w:val="clear" w:color="auto" w:fill="auto"/>
          </w:tcPr>
          <w:p w14:paraId="230A79DF" w14:textId="77777777" w:rsidR="000B5FD1" w:rsidRPr="00F17AA5" w:rsidRDefault="000B5FD1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14:paraId="162090AC" w14:textId="31E77FE1" w:rsidR="000B5FD1" w:rsidRPr="00F17AA5" w:rsidRDefault="000B5FD1" w:rsidP="00A74049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373" w:type="pct"/>
            <w:gridSpan w:val="4"/>
            <w:shd w:val="clear" w:color="auto" w:fill="auto"/>
          </w:tcPr>
          <w:p w14:paraId="63F22565" w14:textId="0A224692" w:rsidR="000B5FD1" w:rsidRPr="00F17AA5" w:rsidRDefault="00CC5BDD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="000B5FD1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ε την προσθήκη </w:t>
            </w:r>
            <w:r w:rsidR="00EE730B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στο εδάφιο (2) αυτού, 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αμέσως</w:t>
            </w:r>
            <w:r w:rsidR="000B5FD1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μετά τη </w:t>
            </w:r>
            <w:r w:rsidR="00EE730B" w:rsidRPr="00F17AA5">
              <w:rPr>
                <w:rFonts w:ascii="Arial" w:hAnsi="Arial" w:cs="Arial"/>
                <w:sz w:val="24"/>
                <w:szCs w:val="24"/>
                <w:lang w:val="el-GR"/>
              </w:rPr>
              <w:t>λέξη</w:t>
            </w:r>
            <w:r w:rsidR="000B5FD1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«</w:t>
            </w:r>
            <w:r w:rsidR="00234262" w:rsidRPr="00F17AA5">
              <w:rPr>
                <w:rFonts w:ascii="Arial" w:hAnsi="Arial" w:cs="Arial"/>
                <w:sz w:val="24"/>
                <w:szCs w:val="24"/>
                <w:lang w:val="el-GR"/>
              </w:rPr>
              <w:t>διαδικασίας</w:t>
            </w:r>
            <w:r w:rsidR="000B5FD1" w:rsidRPr="00F17AA5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7A68F8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34262" w:rsidRPr="00F17AA5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="00140A9E" w:rsidRPr="00F17AA5">
              <w:rPr>
                <w:rFonts w:ascii="Arial" w:hAnsi="Arial" w:cs="Arial"/>
                <w:sz w:val="24"/>
                <w:szCs w:val="24"/>
                <w:lang w:val="el-GR"/>
              </w:rPr>
              <w:t>δεύτερη</w:t>
            </w:r>
            <w:r w:rsidR="007A68F8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γραμμή</w:t>
            </w:r>
            <w:r w:rsidR="00234262" w:rsidRPr="00F17AA5">
              <w:rPr>
                <w:rFonts w:ascii="Arial" w:hAnsi="Arial" w:cs="Arial"/>
                <w:sz w:val="24"/>
                <w:szCs w:val="24"/>
                <w:lang w:val="el-GR"/>
              </w:rPr>
              <w:t>), της φράσης</w:t>
            </w:r>
            <w:r w:rsidR="000B5FD1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34262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«μετά από αίτημα της αρμόδιας διωκτικής </w:t>
            </w:r>
            <w:r w:rsidR="00291EA2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234262" w:rsidRPr="00F17AA5">
              <w:rPr>
                <w:rFonts w:ascii="Arial" w:hAnsi="Arial" w:cs="Arial"/>
                <w:sz w:val="24"/>
                <w:szCs w:val="24"/>
                <w:lang w:val="el-GR"/>
              </w:rPr>
              <w:t>ρχής»∙</w:t>
            </w:r>
          </w:p>
        </w:tc>
      </w:tr>
      <w:tr w:rsidR="004327AE" w:rsidRPr="004B6110" w14:paraId="5A2878A4" w14:textId="77777777" w:rsidTr="00400123">
        <w:tc>
          <w:tcPr>
            <w:tcW w:w="1052" w:type="pct"/>
            <w:shd w:val="clear" w:color="auto" w:fill="auto"/>
          </w:tcPr>
          <w:p w14:paraId="1D6F5760" w14:textId="77777777" w:rsidR="007A68F8" w:rsidRPr="00F17AA5" w:rsidRDefault="007A68F8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14:paraId="5377C894" w14:textId="77777777" w:rsidR="007A68F8" w:rsidRPr="00F17AA5" w:rsidRDefault="007A68F8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373" w:type="pct"/>
            <w:gridSpan w:val="4"/>
            <w:shd w:val="clear" w:color="auto" w:fill="auto"/>
          </w:tcPr>
          <w:p w14:paraId="3556B347" w14:textId="77777777" w:rsidR="007A68F8" w:rsidRPr="00F17AA5" w:rsidRDefault="007A68F8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327AE" w:rsidRPr="004B6110" w14:paraId="02D30C80" w14:textId="77777777" w:rsidTr="00400123">
        <w:tc>
          <w:tcPr>
            <w:tcW w:w="1052" w:type="pct"/>
            <w:shd w:val="clear" w:color="auto" w:fill="auto"/>
          </w:tcPr>
          <w:p w14:paraId="28EC929C" w14:textId="77777777" w:rsidR="007A68F8" w:rsidRPr="00F17AA5" w:rsidRDefault="007A68F8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14:paraId="16C127E4" w14:textId="6736A22E" w:rsidR="007A68F8" w:rsidRPr="00F17AA5" w:rsidRDefault="007A68F8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373" w:type="pct"/>
            <w:gridSpan w:val="4"/>
            <w:shd w:val="clear" w:color="auto" w:fill="auto"/>
          </w:tcPr>
          <w:p w14:paraId="0B2418AB" w14:textId="13B745D4" w:rsidR="007A68F8" w:rsidRPr="00F17AA5" w:rsidRDefault="00D9580C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με την προσθήκη, αμέσως μετά το εδάφιο (2) αυτού, του ακόλουθου νέου εδαφίου:</w:t>
            </w:r>
          </w:p>
        </w:tc>
      </w:tr>
      <w:tr w:rsidR="00A25ACB" w:rsidRPr="004B6110" w14:paraId="5D0769AE" w14:textId="77777777" w:rsidTr="00A25ACB">
        <w:tc>
          <w:tcPr>
            <w:tcW w:w="1052" w:type="pct"/>
            <w:shd w:val="clear" w:color="auto" w:fill="auto"/>
          </w:tcPr>
          <w:p w14:paraId="56251DCB" w14:textId="77777777" w:rsidR="00A25ACB" w:rsidRPr="00F17AA5" w:rsidRDefault="00A25ACB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1391D790" w14:textId="77777777" w:rsidR="00A25ACB" w:rsidRPr="00F17AA5" w:rsidRDefault="00A25ACB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66675" w:rsidRPr="004B6110" w14:paraId="7F7BEF82" w14:textId="77777777" w:rsidTr="00400123">
        <w:tc>
          <w:tcPr>
            <w:tcW w:w="1052" w:type="pct"/>
            <w:shd w:val="clear" w:color="auto" w:fill="auto"/>
          </w:tcPr>
          <w:p w14:paraId="4AF8C788" w14:textId="77777777" w:rsidR="00566675" w:rsidRPr="00F17AA5" w:rsidRDefault="00566675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" w:type="pct"/>
            <w:shd w:val="clear" w:color="auto" w:fill="auto"/>
          </w:tcPr>
          <w:p w14:paraId="450B91D2" w14:textId="77777777" w:rsidR="00566675" w:rsidRPr="00F17AA5" w:rsidRDefault="0056667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14:paraId="651988E4" w14:textId="4A53E825" w:rsidR="00566675" w:rsidRPr="00F17AA5" w:rsidRDefault="00566675" w:rsidP="00A74049">
            <w:pPr>
              <w:tabs>
                <w:tab w:val="left" w:pos="411"/>
              </w:tabs>
              <w:spacing w:after="0" w:line="360" w:lineRule="auto"/>
              <w:ind w:left="-37" w:right="-56" w:firstLine="28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«(3)(α)</w:t>
            </w:r>
          </w:p>
        </w:tc>
        <w:tc>
          <w:tcPr>
            <w:tcW w:w="2901" w:type="pct"/>
            <w:shd w:val="clear" w:color="auto" w:fill="auto"/>
          </w:tcPr>
          <w:p w14:paraId="67E60C8A" w14:textId="55CD7334" w:rsidR="00566675" w:rsidRPr="00F17AA5" w:rsidRDefault="00566675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Πάροχοι</w:t>
            </w:r>
            <w:proofErr w:type="spellEnd"/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διαδικτύου</w:t>
            </w:r>
            <w:r w:rsidR="006821BC" w:rsidRPr="004B6110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οι οποίοι προσφέρουν υπηρεσίες ή πρόσβαση στο διαδίκτυο εντός του εδάφους της Δημοκρατίας, έχουν υποχρέωση όπως</w:t>
            </w:r>
            <w:r w:rsidR="00170652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όταν αποκτήσουν γνώση ή όταν ενημερωθούν από την εμπλεκόμενη υπηρεσία για την ύπαρξη του υλικού που περιγράφεται στο εδάφιο (1) σε οποιονδήποτε </w:t>
            </w:r>
            <w:proofErr w:type="spellStart"/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ιστότοπο</w:t>
            </w:r>
            <w:proofErr w:type="spellEnd"/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, λάβουν άμεσα τα κατάλληλα μέτρα για τη διακοπή της πρόσβασης από τους χρήστες διαδικτύου και την ενημέρωσ</w:t>
            </w:r>
            <w:r w:rsidR="00170652"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τους για τους λόγους των μέτρων αυτών.</w:t>
            </w:r>
          </w:p>
        </w:tc>
      </w:tr>
      <w:tr w:rsidR="00C72BE7" w:rsidRPr="004B6110" w14:paraId="50567D50" w14:textId="77777777" w:rsidTr="00400123">
        <w:tc>
          <w:tcPr>
            <w:tcW w:w="1052" w:type="pct"/>
            <w:shd w:val="clear" w:color="auto" w:fill="auto"/>
          </w:tcPr>
          <w:p w14:paraId="638444F6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" w:type="pct"/>
            <w:shd w:val="clear" w:color="auto" w:fill="auto"/>
          </w:tcPr>
          <w:p w14:paraId="64567D90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14:paraId="651BE23D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901" w:type="pct"/>
            <w:shd w:val="clear" w:color="auto" w:fill="auto"/>
          </w:tcPr>
          <w:p w14:paraId="79C331B2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C72BE7" w:rsidRPr="004B6110" w14:paraId="0EF2365B" w14:textId="77777777" w:rsidTr="00400123">
        <w:tc>
          <w:tcPr>
            <w:tcW w:w="1052" w:type="pct"/>
            <w:shd w:val="clear" w:color="auto" w:fill="auto"/>
          </w:tcPr>
          <w:p w14:paraId="28E386F3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8" w:type="pct"/>
            <w:shd w:val="clear" w:color="auto" w:fill="auto"/>
          </w:tcPr>
          <w:p w14:paraId="3BBCE65A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79" w:type="pct"/>
            <w:gridSpan w:val="4"/>
            <w:shd w:val="clear" w:color="auto" w:fill="auto"/>
          </w:tcPr>
          <w:p w14:paraId="58DDEEE0" w14:textId="11836A1C" w:rsidR="00C72BE7" w:rsidRPr="00F17AA5" w:rsidRDefault="00906D6F" w:rsidP="00A74049">
            <w:pPr>
              <w:tabs>
                <w:tab w:val="left" w:pos="425"/>
              </w:tabs>
              <w:spacing w:after="0" w:line="360" w:lineRule="auto"/>
              <w:ind w:left="-37" w:right="-56" w:firstLine="2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C72BE7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(β)   </w:t>
            </w:r>
          </w:p>
        </w:tc>
        <w:tc>
          <w:tcPr>
            <w:tcW w:w="2901" w:type="pct"/>
            <w:shd w:val="clear" w:color="auto" w:fill="auto"/>
          </w:tcPr>
          <w:p w14:paraId="5521DB98" w14:textId="14C0EBE7" w:rsidR="00C72BE7" w:rsidRPr="00F17AA5" w:rsidRDefault="006D15FB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Πρόσωπο το οποίο παραβιάζει την </w:t>
            </w:r>
            <w:r w:rsidR="00C72BE7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αναφερόμενη στην παράγραφο (α) υποχρέωση 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είναι ένοχο αδικήματος και, σε περίπτωση καταδίκης του, υπόκειται σε </w:t>
            </w:r>
            <w:r w:rsidR="00C72BE7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ποινή φυλάκισης που δεν υπερβαίνει τα τρία (3) έτη ή 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σε </w:t>
            </w:r>
            <w:r w:rsidR="00C72BE7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χρηματική ποινή που δεν υπερβαίνει τις </w:t>
            </w:r>
            <w:proofErr w:type="spellStart"/>
            <w:r w:rsidR="00C72BE7" w:rsidRPr="00F17AA5">
              <w:rPr>
                <w:rFonts w:ascii="Arial" w:hAnsi="Arial" w:cs="Arial"/>
                <w:sz w:val="24"/>
                <w:szCs w:val="24"/>
                <w:lang w:val="el-GR"/>
              </w:rPr>
              <w:t>εκατόν</w:t>
            </w:r>
            <w:proofErr w:type="spellEnd"/>
            <w:r w:rsidR="00C72BE7" w:rsidRPr="00F17AA5">
              <w:rPr>
                <w:rFonts w:ascii="Arial" w:hAnsi="Arial" w:cs="Arial"/>
                <w:sz w:val="24"/>
                <w:szCs w:val="24"/>
                <w:lang w:val="el-GR"/>
              </w:rPr>
              <w:t xml:space="preserve"> εβδομήντα χιλιάδες ευρώ (€170.000) ή και </w:t>
            </w:r>
            <w:r w:rsidRPr="00F17AA5"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r w:rsidR="00C72BE7" w:rsidRPr="00F17AA5">
              <w:rPr>
                <w:rFonts w:ascii="Arial" w:hAnsi="Arial" w:cs="Arial"/>
                <w:sz w:val="24"/>
                <w:szCs w:val="24"/>
                <w:lang w:val="el-GR"/>
              </w:rPr>
              <w:t>ις δύο αυτές ποινές.».</w:t>
            </w:r>
          </w:p>
        </w:tc>
      </w:tr>
      <w:tr w:rsidR="00AF647B" w:rsidRPr="004B6110" w14:paraId="19683607" w14:textId="77777777" w:rsidTr="002D7AD4">
        <w:tc>
          <w:tcPr>
            <w:tcW w:w="1052" w:type="pct"/>
            <w:shd w:val="clear" w:color="auto" w:fill="auto"/>
          </w:tcPr>
          <w:p w14:paraId="404D67A8" w14:textId="77777777" w:rsidR="00AF647B" w:rsidRPr="00F17AA5" w:rsidRDefault="00AF647B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748E7D42" w14:textId="77777777" w:rsidR="00AF647B" w:rsidRPr="00F17AA5" w:rsidRDefault="00AF647B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C72BE7" w:rsidRPr="004B6110" w14:paraId="4BF6B1CE" w14:textId="77777777" w:rsidTr="002D7AD4">
        <w:tc>
          <w:tcPr>
            <w:tcW w:w="1052" w:type="pct"/>
            <w:shd w:val="clear" w:color="auto" w:fill="auto"/>
          </w:tcPr>
          <w:p w14:paraId="51BD8148" w14:textId="6B24EB31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>Τροποποίηση του Παραρτήματος Ι του βασικού νόμου.</w:t>
            </w:r>
          </w:p>
        </w:tc>
        <w:tc>
          <w:tcPr>
            <w:tcW w:w="3948" w:type="pct"/>
            <w:gridSpan w:val="6"/>
            <w:shd w:val="clear" w:color="auto" w:fill="auto"/>
          </w:tcPr>
          <w:p w14:paraId="0BF973C7" w14:textId="486444C3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6. </w:t>
            </w:r>
            <w:r w:rsidR="00A74049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="00A74049"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Το Παράρτημα Ι του βασικού νόμου τροποποιείται με την προσθήκη, αμέσως μετά </w:t>
            </w:r>
            <w:r w:rsidR="00170652">
              <w:rPr>
                <w:rFonts w:ascii="Arial" w:hAnsi="Arial" w:cs="Arial"/>
                <w:bCs/>
                <w:sz w:val="24"/>
                <w:szCs w:val="24"/>
                <w:lang w:val="el-GR"/>
              </w:rPr>
              <w:t>την παράγραφο</w:t>
            </w: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16 αυτού, τ</w:t>
            </w:r>
            <w:r w:rsidR="005D1DC8">
              <w:rPr>
                <w:rFonts w:ascii="Arial" w:hAnsi="Arial" w:cs="Arial"/>
                <w:bCs/>
                <w:sz w:val="24"/>
                <w:szCs w:val="24"/>
                <w:lang w:val="el-GR"/>
              </w:rPr>
              <w:t>η</w:t>
            </w:r>
            <w:r w:rsidR="002106B3">
              <w:rPr>
                <w:rFonts w:ascii="Arial" w:hAnsi="Arial" w:cs="Arial"/>
                <w:bCs/>
                <w:sz w:val="24"/>
                <w:szCs w:val="24"/>
                <w:lang w:val="el-GR"/>
              </w:rPr>
              <w:t>ς</w:t>
            </w:r>
            <w:r w:rsidR="005D1DC8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>ακόλουθ</w:t>
            </w:r>
            <w:r w:rsidR="005D1DC8">
              <w:rPr>
                <w:rFonts w:ascii="Arial" w:hAnsi="Arial" w:cs="Arial"/>
                <w:bCs/>
                <w:sz w:val="24"/>
                <w:szCs w:val="24"/>
                <w:lang w:val="el-GR"/>
              </w:rPr>
              <w:t>η</w:t>
            </w:r>
            <w:r w:rsidR="002106B3">
              <w:rPr>
                <w:rFonts w:ascii="Arial" w:hAnsi="Arial" w:cs="Arial"/>
                <w:bCs/>
                <w:sz w:val="24"/>
                <w:szCs w:val="24"/>
                <w:lang w:val="el-GR"/>
              </w:rPr>
              <w:t>ς</w:t>
            </w: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νέ</w:t>
            </w:r>
            <w:r w:rsidR="005D1DC8">
              <w:rPr>
                <w:rFonts w:ascii="Arial" w:hAnsi="Arial" w:cs="Arial"/>
                <w:bCs/>
                <w:sz w:val="24"/>
                <w:szCs w:val="24"/>
                <w:lang w:val="el-GR"/>
              </w:rPr>
              <w:t>α</w:t>
            </w:r>
            <w:r w:rsidR="002106B3">
              <w:rPr>
                <w:rFonts w:ascii="Arial" w:hAnsi="Arial" w:cs="Arial"/>
                <w:bCs/>
                <w:sz w:val="24"/>
                <w:szCs w:val="24"/>
                <w:lang w:val="el-GR"/>
              </w:rPr>
              <w:t>ς</w:t>
            </w: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  <w:r w:rsidR="002106B3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παραγράφου</w:t>
            </w: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: </w:t>
            </w:r>
          </w:p>
          <w:p w14:paraId="6E158E08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C72BE7" w:rsidRPr="004B6110" w14:paraId="3A97EE6B" w14:textId="77777777" w:rsidTr="002D7AD4">
        <w:tc>
          <w:tcPr>
            <w:tcW w:w="1052" w:type="pct"/>
            <w:shd w:val="clear" w:color="auto" w:fill="auto"/>
          </w:tcPr>
          <w:p w14:paraId="0A29D0C3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013A749A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C72BE7" w:rsidRPr="00F17AA5" w14:paraId="5CA8C0B0" w14:textId="77777777" w:rsidTr="00314FDA">
        <w:tc>
          <w:tcPr>
            <w:tcW w:w="1052" w:type="pct"/>
            <w:shd w:val="clear" w:color="auto" w:fill="auto"/>
          </w:tcPr>
          <w:p w14:paraId="007668BA" w14:textId="77777777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" w:type="pct"/>
            <w:gridSpan w:val="3"/>
            <w:shd w:val="clear" w:color="auto" w:fill="auto"/>
          </w:tcPr>
          <w:p w14:paraId="367637AD" w14:textId="060BAD01" w:rsidR="00C72BE7" w:rsidRPr="00F17AA5" w:rsidRDefault="00C72BE7" w:rsidP="00314FDA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>«17.</w:t>
            </w:r>
          </w:p>
        </w:tc>
        <w:tc>
          <w:tcPr>
            <w:tcW w:w="3300" w:type="pct"/>
            <w:gridSpan w:val="3"/>
            <w:shd w:val="clear" w:color="auto" w:fill="auto"/>
          </w:tcPr>
          <w:p w14:paraId="599C4FA8" w14:textId="1349635F" w:rsidR="00C72BE7" w:rsidRPr="00F17AA5" w:rsidRDefault="00C72BE7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>Πειρατεία (άρθρο 69 Π.</w:t>
            </w:r>
            <w:r w:rsidR="0003009F">
              <w:rPr>
                <w:rFonts w:ascii="Arial" w:hAnsi="Arial" w:cs="Arial"/>
                <w:bCs/>
                <w:sz w:val="24"/>
                <w:szCs w:val="24"/>
                <w:lang w:val="el-GR"/>
              </w:rPr>
              <w:t>Κ</w:t>
            </w:r>
            <w:r w:rsidR="00EA60FD">
              <w:rPr>
                <w:rFonts w:ascii="Arial" w:hAnsi="Arial" w:cs="Arial"/>
                <w:bCs/>
                <w:sz w:val="24"/>
                <w:szCs w:val="24"/>
                <w:lang w:val="el-GR"/>
              </w:rPr>
              <w:t>)</w:t>
            </w: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>».</w:t>
            </w:r>
          </w:p>
        </w:tc>
      </w:tr>
      <w:tr w:rsidR="00AF647B" w:rsidRPr="00F17AA5" w14:paraId="3D2ED81A" w14:textId="77777777" w:rsidTr="002D7AD4">
        <w:tc>
          <w:tcPr>
            <w:tcW w:w="1052" w:type="pct"/>
            <w:shd w:val="clear" w:color="auto" w:fill="auto"/>
          </w:tcPr>
          <w:p w14:paraId="21A35BC9" w14:textId="4826C945" w:rsidR="00AF647B" w:rsidRPr="00F17AA5" w:rsidRDefault="00AF647B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948" w:type="pct"/>
            <w:gridSpan w:val="6"/>
            <w:shd w:val="clear" w:color="auto" w:fill="auto"/>
          </w:tcPr>
          <w:p w14:paraId="1E2F90C5" w14:textId="77777777" w:rsidR="00AF647B" w:rsidRPr="00F17AA5" w:rsidRDefault="00AF647B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710D768A" w14:textId="1919493B" w:rsidR="00AF647B" w:rsidRPr="00F17AA5" w:rsidRDefault="000C47FD" w:rsidP="00F17AA5">
            <w:pPr>
              <w:tabs>
                <w:tab w:val="left" w:pos="284"/>
                <w:tab w:val="left" w:pos="567"/>
              </w:tabs>
              <w:spacing w:after="0" w:line="360" w:lineRule="auto"/>
              <w:ind w:left="765" w:hanging="765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F17AA5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              </w:t>
            </w:r>
          </w:p>
          <w:p w14:paraId="1304E0C0" w14:textId="77777777" w:rsidR="00AF647B" w:rsidRPr="00F17AA5" w:rsidRDefault="00AF647B" w:rsidP="00F17AA5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6192F1C5" w14:textId="194F783E" w:rsidR="001B486A" w:rsidRPr="00F17AA5" w:rsidRDefault="001B486A" w:rsidP="00F17AA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285AD485" w14:textId="77777777" w:rsidR="00DF4308" w:rsidRPr="00F17AA5" w:rsidRDefault="00DF4308" w:rsidP="00F17AA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6F23BF39" w14:textId="42CC67C2" w:rsidR="0048614A" w:rsidRPr="002305FB" w:rsidRDefault="0048614A" w:rsidP="00F17AA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proofErr w:type="spellStart"/>
      <w:r w:rsidRPr="002305FB"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 w:rsidRPr="002305FB"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 w:rsidRPr="002305FB"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 w:rsidRPr="002305FB">
        <w:rPr>
          <w:rFonts w:ascii="Arial" w:hAnsi="Arial" w:cs="Arial"/>
          <w:sz w:val="24"/>
          <w:szCs w:val="24"/>
          <w:lang w:val="el-GR"/>
        </w:rPr>
        <w:t>.</w:t>
      </w:r>
      <w:r w:rsidR="003241A4" w:rsidRPr="00F17AA5">
        <w:rPr>
          <w:rFonts w:ascii="Arial" w:hAnsi="Arial" w:cs="Arial"/>
          <w:sz w:val="24"/>
          <w:szCs w:val="24"/>
          <w:lang w:val="el-GR"/>
        </w:rPr>
        <w:t xml:space="preserve">:  </w:t>
      </w:r>
      <w:r w:rsidRPr="002305FB">
        <w:rPr>
          <w:rFonts w:ascii="Arial" w:hAnsi="Arial" w:cs="Arial"/>
          <w:sz w:val="24"/>
          <w:szCs w:val="24"/>
          <w:lang w:val="el-GR"/>
        </w:rPr>
        <w:t>23.01.062.186-2021</w:t>
      </w:r>
    </w:p>
    <w:p w14:paraId="33F7BB4E" w14:textId="6B46CCED" w:rsidR="00C136E0" w:rsidRPr="00F17AA5" w:rsidRDefault="00C136E0" w:rsidP="00F17AA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16308B8C" w14:textId="1CEB4028" w:rsidR="00510DB3" w:rsidRPr="00F4561D" w:rsidRDefault="00510DB3" w:rsidP="00F17AA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0"/>
          <w:szCs w:val="20"/>
          <w:lang w:val="el-GR"/>
        </w:rPr>
      </w:pPr>
      <w:r w:rsidRPr="00F4561D">
        <w:rPr>
          <w:rFonts w:ascii="Arial" w:hAnsi="Arial" w:cs="Arial"/>
          <w:sz w:val="20"/>
          <w:szCs w:val="20"/>
          <w:lang w:val="el-GR"/>
        </w:rPr>
        <w:t>ΝΠ/</w:t>
      </w:r>
      <w:r w:rsidR="00B6187C" w:rsidRPr="00F4561D">
        <w:rPr>
          <w:rFonts w:ascii="Arial" w:hAnsi="Arial" w:cs="Arial"/>
          <w:sz w:val="20"/>
          <w:szCs w:val="20"/>
          <w:lang w:val="el-GR"/>
        </w:rPr>
        <w:t>ΣΤ</w:t>
      </w:r>
      <w:r w:rsidR="003241A4" w:rsidRPr="00F4561D">
        <w:rPr>
          <w:rFonts w:ascii="Arial" w:hAnsi="Arial" w:cs="Arial"/>
          <w:sz w:val="20"/>
          <w:szCs w:val="20"/>
          <w:lang w:val="el-GR"/>
        </w:rPr>
        <w:t>/</w:t>
      </w:r>
      <w:r w:rsidR="0048614A" w:rsidRPr="00F4561D">
        <w:rPr>
          <w:rFonts w:ascii="Arial" w:hAnsi="Arial" w:cs="Arial"/>
          <w:sz w:val="20"/>
          <w:szCs w:val="20"/>
          <w:lang w:val="en-US"/>
        </w:rPr>
        <w:t>MV</w:t>
      </w:r>
    </w:p>
    <w:p w14:paraId="560D11D0" w14:textId="769F5298" w:rsidR="00510DB3" w:rsidRPr="00F17AA5" w:rsidRDefault="00510DB3" w:rsidP="00F17AA5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sectPr w:rsidR="00510DB3" w:rsidRPr="00F17AA5" w:rsidSect="00593E14">
      <w:footerReference w:type="default" r:id="rId8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D510" w14:textId="77777777" w:rsidR="00A071AC" w:rsidRDefault="00A071AC" w:rsidP="009E2333">
      <w:pPr>
        <w:spacing w:after="0" w:line="240" w:lineRule="auto"/>
      </w:pPr>
      <w:r>
        <w:separator/>
      </w:r>
    </w:p>
  </w:endnote>
  <w:endnote w:type="continuationSeparator" w:id="0">
    <w:p w14:paraId="44AB95E2" w14:textId="77777777" w:rsidR="00A071AC" w:rsidRDefault="00A071AC" w:rsidP="009E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39704273"/>
      <w:docPartObj>
        <w:docPartGallery w:val="Page Numbers (Bottom of Page)"/>
        <w:docPartUnique/>
      </w:docPartObj>
    </w:sdtPr>
    <w:sdtEndPr/>
    <w:sdtContent>
      <w:p w14:paraId="4479657C" w14:textId="607E1A3A" w:rsidR="006821BC" w:rsidRPr="00CD34E2" w:rsidRDefault="006821BC">
        <w:pPr>
          <w:pStyle w:val="a6"/>
          <w:jc w:val="center"/>
          <w:rPr>
            <w:rFonts w:ascii="Arial" w:hAnsi="Arial" w:cs="Arial"/>
          </w:rPr>
        </w:pPr>
        <w:r w:rsidRPr="00CD34E2">
          <w:rPr>
            <w:rFonts w:ascii="Arial" w:hAnsi="Arial" w:cs="Arial"/>
          </w:rPr>
          <w:fldChar w:fldCharType="begin"/>
        </w:r>
        <w:r w:rsidRPr="00CD34E2">
          <w:rPr>
            <w:rFonts w:ascii="Arial" w:hAnsi="Arial" w:cs="Arial"/>
          </w:rPr>
          <w:instrText>PAGE   \* MERGEFORMAT</w:instrText>
        </w:r>
        <w:r w:rsidRPr="00CD34E2">
          <w:rPr>
            <w:rFonts w:ascii="Arial" w:hAnsi="Arial" w:cs="Arial"/>
          </w:rPr>
          <w:fldChar w:fldCharType="separate"/>
        </w:r>
        <w:r w:rsidRPr="00CD34E2">
          <w:rPr>
            <w:rFonts w:ascii="Arial" w:hAnsi="Arial" w:cs="Arial"/>
            <w:lang w:val="el-GR"/>
          </w:rPr>
          <w:t>2</w:t>
        </w:r>
        <w:r w:rsidRPr="00CD34E2">
          <w:rPr>
            <w:rFonts w:ascii="Arial" w:hAnsi="Arial" w:cs="Arial"/>
          </w:rPr>
          <w:fldChar w:fldCharType="end"/>
        </w:r>
      </w:p>
    </w:sdtContent>
  </w:sdt>
  <w:p w14:paraId="186EB0C8" w14:textId="77777777" w:rsidR="006821BC" w:rsidRDefault="006821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3B58" w14:textId="77777777" w:rsidR="00A071AC" w:rsidRDefault="00A071AC" w:rsidP="009E2333">
      <w:pPr>
        <w:spacing w:after="0" w:line="240" w:lineRule="auto"/>
      </w:pPr>
      <w:r>
        <w:separator/>
      </w:r>
    </w:p>
  </w:footnote>
  <w:footnote w:type="continuationSeparator" w:id="0">
    <w:p w14:paraId="6AED941D" w14:textId="77777777" w:rsidR="00A071AC" w:rsidRDefault="00A071AC" w:rsidP="009E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2FE8"/>
    <w:multiLevelType w:val="hybridMultilevel"/>
    <w:tmpl w:val="450C2CF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C06A7"/>
    <w:multiLevelType w:val="hybridMultilevel"/>
    <w:tmpl w:val="4EB61A00"/>
    <w:lvl w:ilvl="0" w:tplc="7FCAD3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2302"/>
    <w:multiLevelType w:val="hybridMultilevel"/>
    <w:tmpl w:val="65D29A4C"/>
    <w:lvl w:ilvl="0" w:tplc="DBA612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4AA0"/>
    <w:multiLevelType w:val="hybridMultilevel"/>
    <w:tmpl w:val="C5CCBE72"/>
    <w:lvl w:ilvl="0" w:tplc="E6C00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0974"/>
    <w:multiLevelType w:val="hybridMultilevel"/>
    <w:tmpl w:val="D69CDE40"/>
    <w:lvl w:ilvl="0" w:tplc="DA4E7B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47"/>
    <w:rsid w:val="00003403"/>
    <w:rsid w:val="00011053"/>
    <w:rsid w:val="000244FF"/>
    <w:rsid w:val="00026746"/>
    <w:rsid w:val="0003009F"/>
    <w:rsid w:val="000350BF"/>
    <w:rsid w:val="00040608"/>
    <w:rsid w:val="0004075D"/>
    <w:rsid w:val="000425E1"/>
    <w:rsid w:val="000479CD"/>
    <w:rsid w:val="00050D01"/>
    <w:rsid w:val="0005244C"/>
    <w:rsid w:val="000555AE"/>
    <w:rsid w:val="00057C91"/>
    <w:rsid w:val="00063342"/>
    <w:rsid w:val="0007214E"/>
    <w:rsid w:val="00073C32"/>
    <w:rsid w:val="000741AE"/>
    <w:rsid w:val="0007527A"/>
    <w:rsid w:val="000802DA"/>
    <w:rsid w:val="00091502"/>
    <w:rsid w:val="00092B5E"/>
    <w:rsid w:val="0009790A"/>
    <w:rsid w:val="000A09E4"/>
    <w:rsid w:val="000A1B7A"/>
    <w:rsid w:val="000A5F67"/>
    <w:rsid w:val="000B5FD1"/>
    <w:rsid w:val="000C06DA"/>
    <w:rsid w:val="000C47FD"/>
    <w:rsid w:val="000E2231"/>
    <w:rsid w:val="000E4D35"/>
    <w:rsid w:val="000F59D1"/>
    <w:rsid w:val="0011774A"/>
    <w:rsid w:val="001205A7"/>
    <w:rsid w:val="0012486F"/>
    <w:rsid w:val="00125B3F"/>
    <w:rsid w:val="0012740B"/>
    <w:rsid w:val="00135B5E"/>
    <w:rsid w:val="001406CA"/>
    <w:rsid w:val="00140A9E"/>
    <w:rsid w:val="00142E8B"/>
    <w:rsid w:val="0015180F"/>
    <w:rsid w:val="00163480"/>
    <w:rsid w:val="00166FA0"/>
    <w:rsid w:val="00170294"/>
    <w:rsid w:val="00170652"/>
    <w:rsid w:val="00174A78"/>
    <w:rsid w:val="00177847"/>
    <w:rsid w:val="001902DA"/>
    <w:rsid w:val="001A412D"/>
    <w:rsid w:val="001A7E30"/>
    <w:rsid w:val="001B4421"/>
    <w:rsid w:val="001B486A"/>
    <w:rsid w:val="001B5B2D"/>
    <w:rsid w:val="001B653D"/>
    <w:rsid w:val="001B7DC0"/>
    <w:rsid w:val="001C2AC1"/>
    <w:rsid w:val="001D3B24"/>
    <w:rsid w:val="001E2259"/>
    <w:rsid w:val="001E267C"/>
    <w:rsid w:val="001E5B8E"/>
    <w:rsid w:val="001E6DAC"/>
    <w:rsid w:val="001F1EE5"/>
    <w:rsid w:val="001F695D"/>
    <w:rsid w:val="00203F35"/>
    <w:rsid w:val="00210638"/>
    <w:rsid w:val="002106B3"/>
    <w:rsid w:val="00211852"/>
    <w:rsid w:val="00224F0D"/>
    <w:rsid w:val="002256E2"/>
    <w:rsid w:val="002264C6"/>
    <w:rsid w:val="002305FB"/>
    <w:rsid w:val="00230F46"/>
    <w:rsid w:val="00234262"/>
    <w:rsid w:val="00246197"/>
    <w:rsid w:val="002519E6"/>
    <w:rsid w:val="00267C45"/>
    <w:rsid w:val="00275F05"/>
    <w:rsid w:val="00276AE8"/>
    <w:rsid w:val="00291EA2"/>
    <w:rsid w:val="0029223C"/>
    <w:rsid w:val="002965C6"/>
    <w:rsid w:val="002971C2"/>
    <w:rsid w:val="002A5953"/>
    <w:rsid w:val="002B0583"/>
    <w:rsid w:val="002B4AF7"/>
    <w:rsid w:val="002B7F58"/>
    <w:rsid w:val="002C21B9"/>
    <w:rsid w:val="002C7183"/>
    <w:rsid w:val="002D7AD4"/>
    <w:rsid w:val="002E51DC"/>
    <w:rsid w:val="002F132E"/>
    <w:rsid w:val="002F2BBF"/>
    <w:rsid w:val="002F4D7D"/>
    <w:rsid w:val="00300228"/>
    <w:rsid w:val="00305D7A"/>
    <w:rsid w:val="00314FDA"/>
    <w:rsid w:val="003241A4"/>
    <w:rsid w:val="0033239B"/>
    <w:rsid w:val="00332764"/>
    <w:rsid w:val="0033292C"/>
    <w:rsid w:val="00336176"/>
    <w:rsid w:val="00342EB1"/>
    <w:rsid w:val="0034777B"/>
    <w:rsid w:val="00347A9A"/>
    <w:rsid w:val="003565D4"/>
    <w:rsid w:val="00370221"/>
    <w:rsid w:val="0037052B"/>
    <w:rsid w:val="00375ADE"/>
    <w:rsid w:val="00377553"/>
    <w:rsid w:val="00382609"/>
    <w:rsid w:val="0039358D"/>
    <w:rsid w:val="003A4B7F"/>
    <w:rsid w:val="003A57FF"/>
    <w:rsid w:val="003B2089"/>
    <w:rsid w:val="003C21FB"/>
    <w:rsid w:val="003D1B7F"/>
    <w:rsid w:val="003E5803"/>
    <w:rsid w:val="003F284F"/>
    <w:rsid w:val="00400123"/>
    <w:rsid w:val="004135E0"/>
    <w:rsid w:val="00420C28"/>
    <w:rsid w:val="004218D4"/>
    <w:rsid w:val="004312BC"/>
    <w:rsid w:val="004327AE"/>
    <w:rsid w:val="004434FD"/>
    <w:rsid w:val="0044364E"/>
    <w:rsid w:val="00452266"/>
    <w:rsid w:val="004577FB"/>
    <w:rsid w:val="00467739"/>
    <w:rsid w:val="0048614A"/>
    <w:rsid w:val="0049368B"/>
    <w:rsid w:val="004A36BC"/>
    <w:rsid w:val="004A59BE"/>
    <w:rsid w:val="004A7C0C"/>
    <w:rsid w:val="004B55F5"/>
    <w:rsid w:val="004B5943"/>
    <w:rsid w:val="004B6110"/>
    <w:rsid w:val="004D6092"/>
    <w:rsid w:val="004E7828"/>
    <w:rsid w:val="00504AAE"/>
    <w:rsid w:val="00506AC7"/>
    <w:rsid w:val="00510DB3"/>
    <w:rsid w:val="00514EC9"/>
    <w:rsid w:val="00517BB4"/>
    <w:rsid w:val="005207F7"/>
    <w:rsid w:val="005340C2"/>
    <w:rsid w:val="00535556"/>
    <w:rsid w:val="00536306"/>
    <w:rsid w:val="00544CD4"/>
    <w:rsid w:val="00566675"/>
    <w:rsid w:val="005714D2"/>
    <w:rsid w:val="0058490E"/>
    <w:rsid w:val="00593E14"/>
    <w:rsid w:val="005A49E7"/>
    <w:rsid w:val="005A6F24"/>
    <w:rsid w:val="005B0548"/>
    <w:rsid w:val="005B258E"/>
    <w:rsid w:val="005C64A0"/>
    <w:rsid w:val="005D1DC8"/>
    <w:rsid w:val="005D350F"/>
    <w:rsid w:val="005E2934"/>
    <w:rsid w:val="00601C9A"/>
    <w:rsid w:val="00603D95"/>
    <w:rsid w:val="00607E9D"/>
    <w:rsid w:val="00632295"/>
    <w:rsid w:val="00640099"/>
    <w:rsid w:val="00657C95"/>
    <w:rsid w:val="00664EF8"/>
    <w:rsid w:val="00665317"/>
    <w:rsid w:val="00670C9B"/>
    <w:rsid w:val="00676FD2"/>
    <w:rsid w:val="006806D7"/>
    <w:rsid w:val="006821BC"/>
    <w:rsid w:val="00685C5A"/>
    <w:rsid w:val="006868C9"/>
    <w:rsid w:val="006A356F"/>
    <w:rsid w:val="006C2DFD"/>
    <w:rsid w:val="006C7799"/>
    <w:rsid w:val="006D15FB"/>
    <w:rsid w:val="006D30DA"/>
    <w:rsid w:val="006E7FCA"/>
    <w:rsid w:val="007152AC"/>
    <w:rsid w:val="007155F1"/>
    <w:rsid w:val="00726B68"/>
    <w:rsid w:val="00742F3C"/>
    <w:rsid w:val="00753E82"/>
    <w:rsid w:val="007729BB"/>
    <w:rsid w:val="007868CF"/>
    <w:rsid w:val="00787D54"/>
    <w:rsid w:val="00791A91"/>
    <w:rsid w:val="007A68F8"/>
    <w:rsid w:val="007B116D"/>
    <w:rsid w:val="007C3181"/>
    <w:rsid w:val="007E16BE"/>
    <w:rsid w:val="007F3F49"/>
    <w:rsid w:val="00812828"/>
    <w:rsid w:val="00833DE2"/>
    <w:rsid w:val="00833E35"/>
    <w:rsid w:val="00834574"/>
    <w:rsid w:val="00836F5A"/>
    <w:rsid w:val="00841399"/>
    <w:rsid w:val="00843187"/>
    <w:rsid w:val="00851873"/>
    <w:rsid w:val="00852285"/>
    <w:rsid w:val="008541D0"/>
    <w:rsid w:val="0085606B"/>
    <w:rsid w:val="008632AD"/>
    <w:rsid w:val="00866AA0"/>
    <w:rsid w:val="0087117F"/>
    <w:rsid w:val="008820C2"/>
    <w:rsid w:val="008A4A39"/>
    <w:rsid w:val="008A5EE0"/>
    <w:rsid w:val="008A77C9"/>
    <w:rsid w:val="008B5BA5"/>
    <w:rsid w:val="008C14FE"/>
    <w:rsid w:val="008D0935"/>
    <w:rsid w:val="008D13F1"/>
    <w:rsid w:val="008D154D"/>
    <w:rsid w:val="008F1D70"/>
    <w:rsid w:val="008F4855"/>
    <w:rsid w:val="00906D6F"/>
    <w:rsid w:val="009100A6"/>
    <w:rsid w:val="00923CE5"/>
    <w:rsid w:val="00924B15"/>
    <w:rsid w:val="00927227"/>
    <w:rsid w:val="0093198D"/>
    <w:rsid w:val="00946223"/>
    <w:rsid w:val="00947F90"/>
    <w:rsid w:val="00967844"/>
    <w:rsid w:val="00967A56"/>
    <w:rsid w:val="0099239A"/>
    <w:rsid w:val="009B15F3"/>
    <w:rsid w:val="009B2EC6"/>
    <w:rsid w:val="009B34E9"/>
    <w:rsid w:val="009D01FE"/>
    <w:rsid w:val="009D1DD9"/>
    <w:rsid w:val="009D257D"/>
    <w:rsid w:val="009D4C90"/>
    <w:rsid w:val="009D6E9C"/>
    <w:rsid w:val="009E2333"/>
    <w:rsid w:val="009F12D8"/>
    <w:rsid w:val="00A01B45"/>
    <w:rsid w:val="00A04C29"/>
    <w:rsid w:val="00A05740"/>
    <w:rsid w:val="00A071AC"/>
    <w:rsid w:val="00A07F0B"/>
    <w:rsid w:val="00A20526"/>
    <w:rsid w:val="00A25ACB"/>
    <w:rsid w:val="00A44601"/>
    <w:rsid w:val="00A55943"/>
    <w:rsid w:val="00A60C07"/>
    <w:rsid w:val="00A65E51"/>
    <w:rsid w:val="00A74049"/>
    <w:rsid w:val="00A82E61"/>
    <w:rsid w:val="00A86D25"/>
    <w:rsid w:val="00A900B3"/>
    <w:rsid w:val="00A90F09"/>
    <w:rsid w:val="00A951DB"/>
    <w:rsid w:val="00AB170B"/>
    <w:rsid w:val="00AB1D03"/>
    <w:rsid w:val="00AC0A17"/>
    <w:rsid w:val="00AD02EF"/>
    <w:rsid w:val="00AD0D83"/>
    <w:rsid w:val="00AE32F8"/>
    <w:rsid w:val="00AF647B"/>
    <w:rsid w:val="00B00EE6"/>
    <w:rsid w:val="00B062DD"/>
    <w:rsid w:val="00B06DF6"/>
    <w:rsid w:val="00B271A1"/>
    <w:rsid w:val="00B3356E"/>
    <w:rsid w:val="00B43412"/>
    <w:rsid w:val="00B43AB6"/>
    <w:rsid w:val="00B518F5"/>
    <w:rsid w:val="00B53FCD"/>
    <w:rsid w:val="00B5537F"/>
    <w:rsid w:val="00B5703D"/>
    <w:rsid w:val="00B6187C"/>
    <w:rsid w:val="00B66EED"/>
    <w:rsid w:val="00B72418"/>
    <w:rsid w:val="00B808D7"/>
    <w:rsid w:val="00B938AC"/>
    <w:rsid w:val="00BB13FC"/>
    <w:rsid w:val="00BB5E8F"/>
    <w:rsid w:val="00BD68CD"/>
    <w:rsid w:val="00BD7159"/>
    <w:rsid w:val="00BE068F"/>
    <w:rsid w:val="00BE189E"/>
    <w:rsid w:val="00BE52DB"/>
    <w:rsid w:val="00C02B18"/>
    <w:rsid w:val="00C0501B"/>
    <w:rsid w:val="00C11BED"/>
    <w:rsid w:val="00C136E0"/>
    <w:rsid w:val="00C3228C"/>
    <w:rsid w:val="00C42092"/>
    <w:rsid w:val="00C452DF"/>
    <w:rsid w:val="00C46544"/>
    <w:rsid w:val="00C47044"/>
    <w:rsid w:val="00C54E23"/>
    <w:rsid w:val="00C676B7"/>
    <w:rsid w:val="00C72BE7"/>
    <w:rsid w:val="00C75D44"/>
    <w:rsid w:val="00C809B5"/>
    <w:rsid w:val="00C80D4A"/>
    <w:rsid w:val="00C834BE"/>
    <w:rsid w:val="00C86B41"/>
    <w:rsid w:val="00C92CCC"/>
    <w:rsid w:val="00C979B4"/>
    <w:rsid w:val="00CA747A"/>
    <w:rsid w:val="00CB1F92"/>
    <w:rsid w:val="00CB39C8"/>
    <w:rsid w:val="00CC5BDD"/>
    <w:rsid w:val="00CD34E2"/>
    <w:rsid w:val="00CD4BCD"/>
    <w:rsid w:val="00CD4FC4"/>
    <w:rsid w:val="00CE1320"/>
    <w:rsid w:val="00CE4DF4"/>
    <w:rsid w:val="00CF3813"/>
    <w:rsid w:val="00D009E5"/>
    <w:rsid w:val="00D07C68"/>
    <w:rsid w:val="00D11FD6"/>
    <w:rsid w:val="00D126F2"/>
    <w:rsid w:val="00D231B0"/>
    <w:rsid w:val="00D27769"/>
    <w:rsid w:val="00D27954"/>
    <w:rsid w:val="00D57B4B"/>
    <w:rsid w:val="00D6087E"/>
    <w:rsid w:val="00D71A4D"/>
    <w:rsid w:val="00D722F4"/>
    <w:rsid w:val="00D72FFD"/>
    <w:rsid w:val="00D81532"/>
    <w:rsid w:val="00D90DF2"/>
    <w:rsid w:val="00D9580C"/>
    <w:rsid w:val="00DA65D2"/>
    <w:rsid w:val="00DA7054"/>
    <w:rsid w:val="00DB1140"/>
    <w:rsid w:val="00DB151D"/>
    <w:rsid w:val="00DB5064"/>
    <w:rsid w:val="00DD2DF0"/>
    <w:rsid w:val="00DF0DC2"/>
    <w:rsid w:val="00DF1947"/>
    <w:rsid w:val="00DF4308"/>
    <w:rsid w:val="00E3454E"/>
    <w:rsid w:val="00E40F72"/>
    <w:rsid w:val="00E5216C"/>
    <w:rsid w:val="00E567D6"/>
    <w:rsid w:val="00E57507"/>
    <w:rsid w:val="00E62132"/>
    <w:rsid w:val="00E70C2B"/>
    <w:rsid w:val="00E80E81"/>
    <w:rsid w:val="00E81106"/>
    <w:rsid w:val="00E848C2"/>
    <w:rsid w:val="00E85438"/>
    <w:rsid w:val="00E87A38"/>
    <w:rsid w:val="00E941D5"/>
    <w:rsid w:val="00E94C02"/>
    <w:rsid w:val="00EA60FD"/>
    <w:rsid w:val="00EB4337"/>
    <w:rsid w:val="00EB58AA"/>
    <w:rsid w:val="00EC2651"/>
    <w:rsid w:val="00EC32E6"/>
    <w:rsid w:val="00EE4A75"/>
    <w:rsid w:val="00EE730B"/>
    <w:rsid w:val="00EF032D"/>
    <w:rsid w:val="00EF3144"/>
    <w:rsid w:val="00F028AF"/>
    <w:rsid w:val="00F046D5"/>
    <w:rsid w:val="00F17AA5"/>
    <w:rsid w:val="00F223F1"/>
    <w:rsid w:val="00F35306"/>
    <w:rsid w:val="00F4561D"/>
    <w:rsid w:val="00F64779"/>
    <w:rsid w:val="00F64F13"/>
    <w:rsid w:val="00F77060"/>
    <w:rsid w:val="00F81C02"/>
    <w:rsid w:val="00FA07EB"/>
    <w:rsid w:val="00FB1E23"/>
    <w:rsid w:val="00FB6EA0"/>
    <w:rsid w:val="00FC333C"/>
    <w:rsid w:val="00FC4B7B"/>
    <w:rsid w:val="00FE075A"/>
    <w:rsid w:val="00FE0944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B7A6"/>
  <w15:chartTrackingRefBased/>
  <w15:docId w15:val="{88586DBD-D5DF-4D6B-BB0A-ED874EA1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E70C2B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unhideWhenUsed/>
    <w:rsid w:val="009E233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9E2333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9E23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9E2333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8C14F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C14F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8C14FE"/>
    <w:rPr>
      <w:lang w:val="en-GB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C14F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C14FE"/>
    <w:rPr>
      <w:b/>
      <w:bCs/>
      <w:lang w:val="en-GB" w:eastAsia="en-US"/>
    </w:rPr>
  </w:style>
  <w:style w:type="paragraph" w:customStyle="1" w:styleId="cybar-text-indent">
    <w:name w:val="cybar-text-indent"/>
    <w:basedOn w:val="a"/>
    <w:rsid w:val="008C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a">
    <w:name w:val="List Paragraph"/>
    <w:basedOn w:val="a"/>
    <w:uiPriority w:val="34"/>
    <w:qFormat/>
    <w:rsid w:val="00664EF8"/>
    <w:pPr>
      <w:ind w:left="720"/>
      <w:contextualSpacing/>
    </w:pPr>
  </w:style>
  <w:style w:type="paragraph" w:styleId="ab">
    <w:name w:val="Revision"/>
    <w:hidden/>
    <w:uiPriority w:val="99"/>
    <w:semiHidden/>
    <w:rsid w:val="008D13F1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4455-B150-43A3-87EA-4EEC6F53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Damianou</dc:creator>
  <cp:keywords/>
  <cp:lastModifiedBy>stephania georgiou</cp:lastModifiedBy>
  <cp:revision>8</cp:revision>
  <cp:lastPrinted>2022-02-17T11:01:00Z</cp:lastPrinted>
  <dcterms:created xsi:type="dcterms:W3CDTF">2022-02-21T09:53:00Z</dcterms:created>
  <dcterms:modified xsi:type="dcterms:W3CDTF">2022-03-14T07:23:00Z</dcterms:modified>
</cp:coreProperties>
</file>