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608B" w14:textId="77777777" w:rsidR="006F2F41" w:rsidRDefault="006F2F41" w:rsidP="00C36A8B">
      <w:pPr>
        <w:jc w:val="center"/>
        <w:rPr>
          <w:rFonts w:ascii="Arial" w:hAnsi="Arial" w:cs="Arial"/>
          <w:b/>
        </w:rPr>
      </w:pPr>
    </w:p>
    <w:p w14:paraId="02ED7D41" w14:textId="77777777" w:rsidR="003D3A25" w:rsidRPr="007643E3" w:rsidRDefault="006F2F41" w:rsidP="006F2F41">
      <w:pPr>
        <w:jc w:val="center"/>
        <w:rPr>
          <w:rFonts w:ascii="Arial" w:hAnsi="Arial" w:cs="Arial"/>
          <w:b/>
        </w:rPr>
      </w:pPr>
      <w:r w:rsidRPr="007643E3">
        <w:rPr>
          <w:rFonts w:ascii="Arial" w:hAnsi="Arial" w:cs="Arial"/>
          <w:b/>
        </w:rPr>
        <w:t>ΝΟΜΟΣΧΕΔΙΟ ΜΕ ΤΙΤΛΟ</w:t>
      </w:r>
    </w:p>
    <w:p w14:paraId="6BEAE866" w14:textId="77777777" w:rsidR="00913EF3" w:rsidRPr="007643E3" w:rsidRDefault="00913EF3" w:rsidP="006F2F41">
      <w:pPr>
        <w:jc w:val="center"/>
        <w:rPr>
          <w:rFonts w:ascii="Arial" w:hAnsi="Arial" w:cs="Arial"/>
          <w:b/>
          <w:sz w:val="10"/>
          <w:szCs w:val="10"/>
        </w:rPr>
      </w:pPr>
    </w:p>
    <w:p w14:paraId="3A7CC513" w14:textId="257CCE4D" w:rsidR="003D3A25" w:rsidRDefault="00CE492B" w:rsidP="00C36A8B">
      <w:pPr>
        <w:jc w:val="center"/>
        <w:rPr>
          <w:rFonts w:ascii="Arial" w:hAnsi="Arial" w:cs="Arial"/>
          <w:b/>
        </w:rPr>
      </w:pPr>
      <w:r w:rsidRPr="00CE492B">
        <w:rPr>
          <w:rFonts w:ascii="Arial" w:hAnsi="Arial" w:cs="Arial"/>
          <w:b/>
        </w:rPr>
        <w:t xml:space="preserve">Ο </w:t>
      </w:r>
      <w:r w:rsidR="009A2351">
        <w:rPr>
          <w:rFonts w:ascii="Arial" w:hAnsi="Arial" w:cs="Arial"/>
          <w:b/>
        </w:rPr>
        <w:t xml:space="preserve">ΠΕΡΙ ΣΧΟΛΙΚΩΝ ΕΦΟΡΕΙΩΝ </w:t>
      </w:r>
      <w:r>
        <w:rPr>
          <w:rFonts w:ascii="Arial" w:hAnsi="Arial" w:cs="Arial"/>
          <w:b/>
        </w:rPr>
        <w:t>(Τ</w:t>
      </w:r>
      <w:r w:rsidR="009A2351">
        <w:rPr>
          <w:rFonts w:ascii="Arial" w:hAnsi="Arial" w:cs="Arial"/>
          <w:b/>
        </w:rPr>
        <w:t>ΡΟΠΟΠΟΙΗΤΙΚΟΣ</w:t>
      </w:r>
      <w:r>
        <w:rPr>
          <w:rFonts w:ascii="Arial" w:hAnsi="Arial" w:cs="Arial"/>
          <w:b/>
        </w:rPr>
        <w:t>)</w:t>
      </w:r>
      <w:r w:rsidRPr="00CE492B">
        <w:rPr>
          <w:rFonts w:ascii="Arial" w:hAnsi="Arial" w:cs="Arial"/>
          <w:b/>
        </w:rPr>
        <w:t xml:space="preserve"> Ν</w:t>
      </w:r>
      <w:r w:rsidR="009A2351">
        <w:rPr>
          <w:rFonts w:ascii="Arial" w:hAnsi="Arial" w:cs="Arial"/>
          <w:b/>
        </w:rPr>
        <w:t>ΟΜΟΣ ΤΟΥ</w:t>
      </w:r>
      <w:r w:rsidR="00975898" w:rsidRPr="00975898">
        <w:rPr>
          <w:rFonts w:ascii="Arial" w:hAnsi="Arial" w:cs="Arial"/>
          <w:b/>
        </w:rPr>
        <w:t xml:space="preserve"> 2021</w:t>
      </w:r>
    </w:p>
    <w:p w14:paraId="6CE38A1E" w14:textId="70369542" w:rsidR="007643E3" w:rsidRDefault="007643E3" w:rsidP="007643E3">
      <w:pPr>
        <w:rPr>
          <w:rFonts w:ascii="Arial" w:hAnsi="Arial" w:cs="Arial"/>
          <w:b/>
        </w:rPr>
      </w:pPr>
    </w:p>
    <w:p w14:paraId="7909089F" w14:textId="6A9CC182" w:rsidR="007643E3" w:rsidRDefault="007643E3" w:rsidP="007643E3">
      <w:pPr>
        <w:rPr>
          <w:rFonts w:ascii="Arial" w:hAnsi="Arial" w:cs="Arial"/>
          <w:b/>
        </w:rPr>
      </w:pPr>
    </w:p>
    <w:tbl>
      <w:tblPr>
        <w:tblW w:w="92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951"/>
        <w:gridCol w:w="34"/>
        <w:gridCol w:w="1559"/>
        <w:gridCol w:w="5637"/>
        <w:gridCol w:w="33"/>
      </w:tblGrid>
      <w:tr w:rsidR="007643E3" w:rsidRPr="00D26E15" w14:paraId="17918B1F" w14:textId="77777777" w:rsidTr="009A2351">
        <w:trPr>
          <w:gridAfter w:val="1"/>
          <w:wAfter w:w="33" w:type="dxa"/>
        </w:trPr>
        <w:tc>
          <w:tcPr>
            <w:tcW w:w="1951" w:type="dxa"/>
            <w:shd w:val="clear" w:color="auto" w:fill="auto"/>
          </w:tcPr>
          <w:p w14:paraId="324FF897" w14:textId="77777777" w:rsidR="007643E3" w:rsidRDefault="007643E3" w:rsidP="000B2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Προοίμιο.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41007852" w14:textId="26D1F597" w:rsidR="007643E3" w:rsidRDefault="007643E3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ΕΠΕΙΔΗ επίκειται η υλοποίηση της μεταρρύθμισης </w:t>
            </w:r>
            <w:r w:rsidRPr="00C11B4E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>ου πλαισίου δράσης και λειτουργίας των δήμων</w:t>
            </w:r>
            <w:r w:rsidRPr="007643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και κοινοτήτων, </w:t>
            </w:r>
            <w:r w:rsidRPr="00C11B4E">
              <w:rPr>
                <w:rFonts w:ascii="Arial" w:hAnsi="Arial" w:cs="Arial"/>
              </w:rPr>
              <w:t xml:space="preserve"> </w:t>
            </w:r>
          </w:p>
          <w:p w14:paraId="4A14B5DC" w14:textId="77777777" w:rsidR="007643E3" w:rsidRPr="00D26E15" w:rsidRDefault="007643E3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43E3" w:rsidRPr="00D26E15" w14:paraId="4E03C542" w14:textId="77777777" w:rsidTr="009A2351">
        <w:trPr>
          <w:gridAfter w:val="1"/>
          <w:wAfter w:w="33" w:type="dxa"/>
        </w:trPr>
        <w:tc>
          <w:tcPr>
            <w:tcW w:w="1951" w:type="dxa"/>
            <w:shd w:val="clear" w:color="auto" w:fill="auto"/>
          </w:tcPr>
          <w:p w14:paraId="4592E1B4" w14:textId="77777777" w:rsidR="007643E3" w:rsidRDefault="007643E3" w:rsidP="000B209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2EE98E22" w14:textId="77777777" w:rsidR="007643E3" w:rsidRDefault="007643E3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και ΕΠΕΙΔΗ στο πλαίσιο αυτό απαιτείται η σημαντική και καινοτόμα μεταρρύθμιση του υφιστάμενου πλαισίου σε θεσμικό και διαδικαστικό επίπεδο, με απώτερο σκοπό τη βέλτιστη αξιοποίηση των υφιστάμενων διοικητικών δομών, καθώς και την εξοικονόμηση δημόσιων πόρων,  </w:t>
            </w:r>
          </w:p>
          <w:p w14:paraId="50FE7CBA" w14:textId="77777777" w:rsidR="007643E3" w:rsidRPr="00D26E15" w:rsidRDefault="007643E3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43E3" w:rsidRPr="00D26E15" w14:paraId="023420B1" w14:textId="77777777" w:rsidTr="009A2351">
        <w:trPr>
          <w:gridAfter w:val="1"/>
          <w:wAfter w:w="33" w:type="dxa"/>
        </w:trPr>
        <w:tc>
          <w:tcPr>
            <w:tcW w:w="1951" w:type="dxa"/>
            <w:shd w:val="clear" w:color="auto" w:fill="auto"/>
          </w:tcPr>
          <w:p w14:paraId="01B35F14" w14:textId="77777777" w:rsidR="007643E3" w:rsidRDefault="007643E3" w:rsidP="000B209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59533D88" w14:textId="07488865" w:rsidR="007643E3" w:rsidRDefault="007643E3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και ΕΠΕΙΔΗ στη βάση αυτή κρίνεται αναγκαίο να γίνουν οι απαραίτητες μεταβατικές ενέργειες, για την ομαλή μετάβαση στο νέο πλαίσιο λειτουργίας, </w:t>
            </w:r>
          </w:p>
          <w:p w14:paraId="696C7E3F" w14:textId="5287C3A6" w:rsidR="007643E3" w:rsidRPr="00D26E15" w:rsidRDefault="007643E3" w:rsidP="00116D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A2351" w:rsidRPr="00D26E15" w14:paraId="0A26F410" w14:textId="77777777" w:rsidTr="009A2351">
        <w:trPr>
          <w:gridAfter w:val="1"/>
          <w:wAfter w:w="33" w:type="dxa"/>
        </w:trPr>
        <w:tc>
          <w:tcPr>
            <w:tcW w:w="1951" w:type="dxa"/>
            <w:shd w:val="clear" w:color="auto" w:fill="auto"/>
          </w:tcPr>
          <w:p w14:paraId="4E664160" w14:textId="77777777" w:rsidR="009A2351" w:rsidRDefault="009A2351" w:rsidP="000B209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6B79E0CD" w14:textId="436829CF" w:rsidR="009A2351" w:rsidRPr="00214521" w:rsidRDefault="009A2351" w:rsidP="009A235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και ΕΠΕΙΔΗ η επόμενη διαδικασία εκλογής των μελών των σχολικών εφορειών επιβάλλεται να διεξαχθεί ταυτόχρονα </w:t>
            </w:r>
            <w:r w:rsidRPr="00214521">
              <w:rPr>
                <w:rFonts w:ascii="Arial" w:hAnsi="Arial" w:cs="Arial"/>
              </w:rPr>
              <w:t>με τις δημοτικές και κοινοτικές εκλογές</w:t>
            </w:r>
            <w:r w:rsidR="00AF3EE1" w:rsidRPr="00AF3EE1">
              <w:rPr>
                <w:rFonts w:ascii="Arial" w:hAnsi="Arial" w:cs="Arial"/>
              </w:rPr>
              <w:t>,</w:t>
            </w:r>
            <w:r w:rsidRPr="00214521">
              <w:rPr>
                <w:rFonts w:ascii="Arial" w:hAnsi="Arial" w:cs="Arial"/>
              </w:rPr>
              <w:t xml:space="preserve">  </w:t>
            </w:r>
          </w:p>
          <w:p w14:paraId="43E6D931" w14:textId="3D85F3F9" w:rsidR="009A2351" w:rsidRDefault="009A2351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4B45" w:rsidRPr="00076DB9" w14:paraId="7776DFA0" w14:textId="77777777" w:rsidTr="009A2351">
        <w:tc>
          <w:tcPr>
            <w:tcW w:w="1951" w:type="dxa"/>
            <w:shd w:val="clear" w:color="auto" w:fill="auto"/>
          </w:tcPr>
          <w:p w14:paraId="4962D9AD" w14:textId="583DEA63" w:rsidR="00784B45" w:rsidRDefault="00784B45" w:rsidP="00913E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  <w:shd w:val="clear" w:color="auto" w:fill="auto"/>
          </w:tcPr>
          <w:p w14:paraId="702B3A1E" w14:textId="77777777" w:rsidR="00784B45" w:rsidRDefault="00F2368E" w:rsidP="00F341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  <w:r w:rsidR="003D3A25">
              <w:rPr>
                <w:rFonts w:ascii="Arial" w:hAnsi="Arial" w:cs="Arial"/>
              </w:rPr>
              <w:t xml:space="preserve"> Βουλή των Αντιπροσώπων ψηφίζει ως ακολούθως</w:t>
            </w:r>
            <w:r w:rsidR="003D3A25" w:rsidRPr="003D3A25">
              <w:rPr>
                <w:rFonts w:ascii="Arial" w:hAnsi="Arial" w:cs="Arial"/>
              </w:rPr>
              <w:t>:</w:t>
            </w:r>
          </w:p>
          <w:p w14:paraId="4EE66328" w14:textId="2D56A601" w:rsidR="009A2351" w:rsidRPr="003D3A25" w:rsidRDefault="009A2351" w:rsidP="00F341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72226" w:rsidRPr="00076DB9" w14:paraId="77104D6B" w14:textId="77777777" w:rsidTr="009A2351">
        <w:tc>
          <w:tcPr>
            <w:tcW w:w="1951" w:type="dxa"/>
            <w:shd w:val="clear" w:color="auto" w:fill="auto"/>
          </w:tcPr>
          <w:p w14:paraId="4056B28C" w14:textId="77777777" w:rsidR="00D53F6F" w:rsidRPr="009A2351" w:rsidRDefault="00D53F6F" w:rsidP="00D53F6F">
            <w:pPr>
              <w:spacing w:after="2" w:line="273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Συνοπτικός</w:t>
            </w:r>
          </w:p>
          <w:p w14:paraId="590C8D9C" w14:textId="77777777" w:rsidR="00D53F6F" w:rsidRPr="009A2351" w:rsidRDefault="00D53F6F" w:rsidP="00D53F6F">
            <w:pPr>
              <w:spacing w:after="2" w:line="273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τίτλος.</w:t>
            </w:r>
          </w:p>
          <w:p w14:paraId="51A170F6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108(Ι) του 1997</w:t>
            </w:r>
          </w:p>
          <w:p w14:paraId="39777EA9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103(Ι) του 1999</w:t>
            </w:r>
          </w:p>
          <w:p w14:paraId="3842E573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114(Ι) του 2001</w:t>
            </w:r>
          </w:p>
          <w:p w14:paraId="79692E43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145(Ι) του 2001</w:t>
            </w:r>
          </w:p>
          <w:p w14:paraId="5320B71A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16(Ι) του 2003</w:t>
            </w:r>
          </w:p>
          <w:p w14:paraId="291D368A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191(Ι) του 2003</w:t>
            </w:r>
          </w:p>
          <w:p w14:paraId="60C21AA8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259(Ι) του 2004</w:t>
            </w:r>
          </w:p>
          <w:p w14:paraId="118586A9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70(Ι) του 2005</w:t>
            </w:r>
          </w:p>
          <w:p w14:paraId="4A8BBCE3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69(Ι) του 2006</w:t>
            </w:r>
          </w:p>
          <w:p w14:paraId="6DDA32D8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141(Ι) του 2006</w:t>
            </w:r>
          </w:p>
          <w:p w14:paraId="66DD7543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104(Ι) του 2007</w:t>
            </w:r>
          </w:p>
          <w:p w14:paraId="58E881A7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1(Ι) του 2008</w:t>
            </w:r>
          </w:p>
          <w:p w14:paraId="6AC2B63D" w14:textId="77777777" w:rsidR="00D53F6F" w:rsidRPr="009A2351" w:rsidRDefault="00D53F6F" w:rsidP="009A2351">
            <w:pPr>
              <w:spacing w:after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139(Ι) του 2011</w:t>
            </w:r>
          </w:p>
          <w:p w14:paraId="39FA308F" w14:textId="4E25BDA2" w:rsidR="00C27E86" w:rsidRPr="009A2351" w:rsidRDefault="00D53F6F" w:rsidP="009A235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113(Ι) του 2014</w:t>
            </w:r>
          </w:p>
          <w:p w14:paraId="2713702E" w14:textId="000F2309" w:rsidR="00D53F6F" w:rsidRPr="00C27E86" w:rsidRDefault="00D53F6F" w:rsidP="009A23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A2351">
              <w:rPr>
                <w:rFonts w:ascii="Arial" w:eastAsia="Arial" w:hAnsi="Arial" w:cs="Arial"/>
                <w:sz w:val="22"/>
                <w:szCs w:val="22"/>
              </w:rPr>
              <w:t>165(Ι) του 2020</w:t>
            </w:r>
            <w:r w:rsidR="009A235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736AD085" w14:textId="7FE0805E" w:rsidR="00002A19" w:rsidRDefault="00672226" w:rsidP="00D53F6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35554">
              <w:rPr>
                <w:rFonts w:ascii="Arial" w:eastAsia="Arial" w:hAnsi="Arial" w:cs="Arial"/>
              </w:rPr>
              <w:t>1.</w:t>
            </w:r>
            <w:r w:rsidR="00913EF3">
              <w:rPr>
                <w:rFonts w:ascii="Arial" w:eastAsia="Arial" w:hAnsi="Arial" w:cs="Arial"/>
                <w:b/>
              </w:rPr>
              <w:t xml:space="preserve"> </w:t>
            </w:r>
            <w:r w:rsidR="00580FBE" w:rsidRPr="00580FBE">
              <w:rPr>
                <w:rFonts w:ascii="Arial" w:eastAsia="Arial" w:hAnsi="Arial" w:cs="Arial"/>
              </w:rPr>
              <w:t>Ο παρών Νόμος θα αναφέρεται ως ο περί Σχολικών Εφορειών (Τροποποιητικός) Νόμος του</w:t>
            </w:r>
            <w:r w:rsidR="00580FBE">
              <w:rPr>
                <w:rFonts w:ascii="Arial" w:eastAsia="Arial" w:hAnsi="Arial" w:cs="Arial"/>
              </w:rPr>
              <w:t xml:space="preserve"> </w:t>
            </w:r>
            <w:r w:rsidR="00580FBE" w:rsidRPr="00580FBE">
              <w:rPr>
                <w:rFonts w:ascii="Arial" w:eastAsia="Arial" w:hAnsi="Arial" w:cs="Arial"/>
              </w:rPr>
              <w:t>20</w:t>
            </w:r>
            <w:r w:rsidR="00580FBE">
              <w:rPr>
                <w:rFonts w:ascii="Arial" w:eastAsia="Arial" w:hAnsi="Arial" w:cs="Arial"/>
              </w:rPr>
              <w:t>21</w:t>
            </w:r>
            <w:r w:rsidR="00580FBE" w:rsidRPr="00580FBE">
              <w:rPr>
                <w:rFonts w:ascii="Arial" w:eastAsia="Arial" w:hAnsi="Arial" w:cs="Arial"/>
              </w:rPr>
              <w:t xml:space="preserve"> και θα διαβάζεται μαζί με τους περί Σχολικών Εφορειών Νόμους του 1997 έως 20</w:t>
            </w:r>
            <w:r w:rsidR="00580FBE">
              <w:rPr>
                <w:rFonts w:ascii="Arial" w:eastAsia="Arial" w:hAnsi="Arial" w:cs="Arial"/>
              </w:rPr>
              <w:t>20</w:t>
            </w:r>
            <w:r w:rsidR="00580FBE" w:rsidRPr="00580FBE">
              <w:rPr>
                <w:rFonts w:ascii="Arial" w:eastAsia="Arial" w:hAnsi="Arial" w:cs="Arial"/>
              </w:rPr>
              <w:t xml:space="preserve"> (που στο</w:t>
            </w:r>
            <w:r w:rsidR="00D53F6F">
              <w:rPr>
                <w:rFonts w:ascii="Arial" w:eastAsia="Arial" w:hAnsi="Arial" w:cs="Arial"/>
              </w:rPr>
              <w:t xml:space="preserve"> </w:t>
            </w:r>
            <w:r w:rsidR="00580FBE" w:rsidRPr="00580FBE">
              <w:rPr>
                <w:rFonts w:ascii="Arial" w:eastAsia="Arial" w:hAnsi="Arial" w:cs="Arial"/>
              </w:rPr>
              <w:t>εξής θα αναφέρονται ως «ο βασικός νόμος») και ο βασικός νόμος και ο παρών Νόμος θα</w:t>
            </w:r>
            <w:r w:rsidR="00D53F6F">
              <w:rPr>
                <w:rFonts w:ascii="Arial" w:eastAsia="Arial" w:hAnsi="Arial" w:cs="Arial"/>
              </w:rPr>
              <w:t xml:space="preserve"> </w:t>
            </w:r>
            <w:r w:rsidR="00580FBE" w:rsidRPr="00580FBE">
              <w:rPr>
                <w:rFonts w:ascii="Arial" w:eastAsia="Arial" w:hAnsi="Arial" w:cs="Arial"/>
              </w:rPr>
              <w:t>αναφέρονται μαζί ως οι περί Σχολικών Εφορειών Νόμοι του 1997 έως 202</w:t>
            </w:r>
            <w:r w:rsidR="00D53F6F">
              <w:rPr>
                <w:rFonts w:ascii="Arial" w:eastAsia="Arial" w:hAnsi="Arial" w:cs="Arial"/>
              </w:rPr>
              <w:t>1</w:t>
            </w:r>
            <w:r w:rsidR="00580FBE" w:rsidRPr="00580FBE">
              <w:rPr>
                <w:rFonts w:ascii="Arial" w:eastAsia="Arial" w:hAnsi="Arial" w:cs="Arial"/>
              </w:rPr>
              <w:t>.</w:t>
            </w:r>
          </w:p>
          <w:p w14:paraId="62A994DA" w14:textId="1EC04F08" w:rsidR="00002A19" w:rsidRDefault="00002A19" w:rsidP="00D53F6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181516DB" w14:textId="7C1A867A" w:rsidR="00002A19" w:rsidRDefault="00002A19" w:rsidP="00D53F6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0A5FBFF" w14:textId="1AC11AEA" w:rsidR="00002A19" w:rsidRDefault="00002A19" w:rsidP="00D53F6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159FE61C" w14:textId="77777777" w:rsidR="00002A19" w:rsidRDefault="00002A19" w:rsidP="00D53F6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FC36BEE" w14:textId="0CDF73D1" w:rsidR="00002A19" w:rsidRPr="00B250DB" w:rsidRDefault="00002A19" w:rsidP="00D53F6F">
            <w:pPr>
              <w:spacing w:line="360" w:lineRule="auto"/>
              <w:jc w:val="both"/>
            </w:pPr>
          </w:p>
        </w:tc>
      </w:tr>
      <w:tr w:rsidR="00002A19" w14:paraId="68554CE1" w14:textId="77777777" w:rsidTr="009A2351">
        <w:tc>
          <w:tcPr>
            <w:tcW w:w="1985" w:type="dxa"/>
            <w:gridSpan w:val="2"/>
            <w:shd w:val="clear" w:color="auto" w:fill="auto"/>
          </w:tcPr>
          <w:p w14:paraId="0F4BADD1" w14:textId="3ECF8F1F" w:rsidR="00002A19" w:rsidRPr="000D1B26" w:rsidRDefault="00002A19" w:rsidP="00337D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Προσθήκη </w:t>
            </w:r>
            <w:r w:rsidR="009A2351">
              <w:rPr>
                <w:rFonts w:ascii="Arial" w:hAnsi="Arial" w:cs="Arial"/>
                <w:sz w:val="22"/>
                <w:szCs w:val="22"/>
              </w:rPr>
              <w:t xml:space="preserve">του </w:t>
            </w:r>
            <w:r>
              <w:rPr>
                <w:rFonts w:ascii="Arial" w:hAnsi="Arial" w:cs="Arial"/>
                <w:sz w:val="22"/>
                <w:szCs w:val="22"/>
              </w:rPr>
              <w:t xml:space="preserve">νέου άρθρου </w:t>
            </w:r>
            <w:r w:rsidR="00337D68" w:rsidRPr="00337D6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0D1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E8B">
              <w:rPr>
                <w:rFonts w:ascii="Arial" w:hAnsi="Arial" w:cs="Arial"/>
                <w:sz w:val="22"/>
                <w:szCs w:val="22"/>
              </w:rPr>
              <w:t>στο βασικό νόμο.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557D615" w14:textId="30255D3B" w:rsidR="00002A19" w:rsidRDefault="00002A19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Ο βασικός νόμος τροποποιείται με την προσθήκη του νέου άρθρου </w:t>
            </w:r>
            <w:r w:rsidR="00337D68" w:rsidRPr="00337D6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1, αμέσως μετά το άρθρο </w:t>
            </w:r>
            <w:r w:rsidR="00337D68" w:rsidRPr="0057146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="009A2351">
              <w:rPr>
                <w:rFonts w:ascii="Arial" w:hAnsi="Arial" w:cs="Arial"/>
              </w:rPr>
              <w:t>αυτού</w:t>
            </w:r>
            <w:r>
              <w:rPr>
                <w:rFonts w:ascii="Arial" w:hAnsi="Arial" w:cs="Arial"/>
              </w:rPr>
              <w:t>, ως ακολούθως:</w:t>
            </w:r>
          </w:p>
          <w:p w14:paraId="75BCD571" w14:textId="77777777" w:rsidR="00002A19" w:rsidRDefault="00002A19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02A19" w14:paraId="7BBCF780" w14:textId="77777777" w:rsidTr="009A2351">
        <w:tc>
          <w:tcPr>
            <w:tcW w:w="1985" w:type="dxa"/>
            <w:gridSpan w:val="2"/>
            <w:shd w:val="clear" w:color="auto" w:fill="auto"/>
          </w:tcPr>
          <w:p w14:paraId="2B734542" w14:textId="77777777" w:rsidR="00002A19" w:rsidRDefault="00002A19" w:rsidP="000B2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034AF93" w14:textId="2CC79C69" w:rsidR="00002A19" w:rsidRPr="00F11E8B" w:rsidRDefault="00002A19" w:rsidP="00EB7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5259D">
              <w:rPr>
                <w:rFonts w:ascii="Arial" w:hAnsi="Arial" w:cs="Arial"/>
                <w:sz w:val="22"/>
                <w:szCs w:val="22"/>
              </w:rPr>
              <w:t xml:space="preserve">Ειδική διάταξη </w:t>
            </w:r>
            <w:r w:rsidRPr="00F11E8B">
              <w:rPr>
                <w:rFonts w:ascii="Arial" w:hAnsi="Arial" w:cs="Arial"/>
                <w:sz w:val="22"/>
                <w:szCs w:val="22"/>
              </w:rPr>
              <w:t xml:space="preserve">για  την </w:t>
            </w:r>
            <w:r w:rsidRPr="00F11E8B">
              <w:rPr>
                <w:rFonts w:ascii="Arial" w:hAnsi="Arial" w:cs="Arial"/>
                <w:sz w:val="22"/>
                <w:szCs w:val="22"/>
              </w:rPr>
              <w:lastRenderedPageBreak/>
              <w:t xml:space="preserve">παράταση </w:t>
            </w:r>
            <w:r w:rsidR="009A2351">
              <w:rPr>
                <w:rFonts w:ascii="Arial" w:hAnsi="Arial" w:cs="Arial"/>
                <w:sz w:val="22"/>
                <w:szCs w:val="22"/>
              </w:rPr>
              <w:t xml:space="preserve">της </w:t>
            </w:r>
            <w:r w:rsidRPr="00F11E8B">
              <w:rPr>
                <w:rFonts w:ascii="Arial" w:hAnsi="Arial" w:cs="Arial"/>
                <w:sz w:val="22"/>
                <w:szCs w:val="22"/>
              </w:rPr>
              <w:t xml:space="preserve">θητείας </w:t>
            </w:r>
            <w:r>
              <w:rPr>
                <w:rFonts w:ascii="Arial" w:hAnsi="Arial" w:cs="Arial"/>
                <w:sz w:val="22"/>
                <w:szCs w:val="22"/>
              </w:rPr>
              <w:t xml:space="preserve"> μελών σχολικών εφορειών</w:t>
            </w:r>
            <w:r w:rsidR="000F551D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14:paraId="4938AB60" w14:textId="0CFD01DF" w:rsidR="00002A19" w:rsidRDefault="003577B1" w:rsidP="000B2096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2</w:t>
            </w:r>
            <w:r w:rsidR="00002A19">
              <w:rPr>
                <w:rFonts w:ascii="Arial" w:eastAsia="Arial" w:hAnsi="Arial" w:cs="Arial"/>
                <w:bCs/>
              </w:rPr>
              <w:t>1</w:t>
            </w:r>
            <w:r w:rsidR="00002A19" w:rsidRPr="00F11E8B">
              <w:rPr>
                <w:rFonts w:ascii="Arial" w:eastAsia="Arial" w:hAnsi="Arial" w:cs="Arial"/>
                <w:bCs/>
              </w:rPr>
              <w:t>. Ανεξαρτήτως των διατάξεων των άρθρων</w:t>
            </w:r>
            <w:r w:rsidR="00002A19">
              <w:rPr>
                <w:rFonts w:ascii="Arial" w:eastAsia="Arial" w:hAnsi="Arial" w:cs="Arial"/>
                <w:bCs/>
              </w:rPr>
              <w:t xml:space="preserve"> 4</w:t>
            </w:r>
            <w:r w:rsidR="00002A19" w:rsidRPr="00F11E8B">
              <w:rPr>
                <w:rFonts w:ascii="Arial" w:eastAsia="Arial" w:hAnsi="Arial" w:cs="Arial"/>
                <w:bCs/>
              </w:rPr>
              <w:t xml:space="preserve">, </w:t>
            </w:r>
            <w:r w:rsidR="00002A19">
              <w:rPr>
                <w:rFonts w:ascii="Arial" w:eastAsia="Arial" w:hAnsi="Arial" w:cs="Arial"/>
                <w:bCs/>
              </w:rPr>
              <w:t>4Α και 5</w:t>
            </w:r>
            <w:r w:rsidR="00002A19" w:rsidRPr="00F11E8B">
              <w:rPr>
                <w:rFonts w:ascii="Arial" w:eastAsia="Arial" w:hAnsi="Arial" w:cs="Arial"/>
                <w:bCs/>
              </w:rPr>
              <w:t>, η</w:t>
            </w:r>
            <w:r w:rsidR="00002A19" w:rsidRPr="00721CF0">
              <w:rPr>
                <w:rFonts w:ascii="Arial" w:eastAsia="Arial" w:hAnsi="Arial" w:cs="Arial"/>
                <w:bCs/>
              </w:rPr>
              <w:t xml:space="preserve"> θητεία των</w:t>
            </w:r>
            <w:r w:rsidR="00002A19" w:rsidRPr="00002A19">
              <w:rPr>
                <w:rFonts w:ascii="Arial" w:eastAsia="Arial" w:hAnsi="Arial" w:cs="Arial"/>
                <w:bCs/>
              </w:rPr>
              <w:t xml:space="preserve"> ήδη </w:t>
            </w:r>
            <w:proofErr w:type="spellStart"/>
            <w:r w:rsidR="00002A19" w:rsidRPr="00002A19">
              <w:rPr>
                <w:rFonts w:ascii="Arial" w:eastAsia="Arial" w:hAnsi="Arial" w:cs="Arial"/>
                <w:bCs/>
              </w:rPr>
              <w:t>εκλελεγμένων</w:t>
            </w:r>
            <w:proofErr w:type="spellEnd"/>
            <w:r w:rsidR="00002A19" w:rsidRPr="00002A19">
              <w:rPr>
                <w:rFonts w:ascii="Arial" w:eastAsia="Arial" w:hAnsi="Arial" w:cs="Arial"/>
                <w:bCs/>
              </w:rPr>
              <w:t xml:space="preserve"> το 2016 και </w:t>
            </w:r>
            <w:r w:rsidR="00002A19" w:rsidRPr="00002A19">
              <w:rPr>
                <w:rFonts w:ascii="Arial" w:eastAsia="Arial" w:hAnsi="Arial" w:cs="Arial"/>
                <w:bCs/>
              </w:rPr>
              <w:lastRenderedPageBreak/>
              <w:t>νυν εν ενεργεία μελών των σχολικών εφορειών</w:t>
            </w:r>
            <w:r w:rsidR="00002A19">
              <w:rPr>
                <w:rFonts w:ascii="Arial" w:eastAsia="Arial" w:hAnsi="Arial" w:cs="Arial"/>
                <w:bCs/>
              </w:rPr>
              <w:t>, παρατείνεται</w:t>
            </w:r>
            <w:r w:rsidR="00002A19" w:rsidRPr="00002A19">
              <w:rPr>
                <w:rFonts w:ascii="Arial" w:eastAsia="Arial" w:hAnsi="Arial" w:cs="Arial"/>
                <w:bCs/>
              </w:rPr>
              <w:t xml:space="preserve"> από την 1η Ιανουαρίου 2022 και μέχρι την τελευταία μέρα του μήνα κατά τον οποίο θα διενεργηθούν οι εκλογές για ανάδειξη των μελών του Ευρωπαϊκού Κοινοβουλίου κατά το έτος 2024</w:t>
            </w:r>
            <w:r w:rsidR="009A2351">
              <w:rPr>
                <w:rFonts w:ascii="Arial" w:eastAsia="Arial" w:hAnsi="Arial" w:cs="Arial"/>
                <w:bCs/>
              </w:rPr>
              <w:t>:</w:t>
            </w:r>
          </w:p>
          <w:p w14:paraId="3E37BF91" w14:textId="23076667" w:rsidR="00002A19" w:rsidRDefault="00002A19" w:rsidP="009A235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9A2351" w14:paraId="4D075235" w14:textId="77777777" w:rsidTr="009A2351">
        <w:tc>
          <w:tcPr>
            <w:tcW w:w="1985" w:type="dxa"/>
            <w:gridSpan w:val="2"/>
            <w:shd w:val="clear" w:color="auto" w:fill="auto"/>
          </w:tcPr>
          <w:p w14:paraId="34F36887" w14:textId="77777777" w:rsidR="009A2351" w:rsidRDefault="009A2351" w:rsidP="000B20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FDC880" w14:textId="77777777" w:rsidR="009A2351" w:rsidRDefault="009A2351" w:rsidP="009A23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14:paraId="0EF7BA5D" w14:textId="6CE98D24" w:rsidR="009A2351" w:rsidRDefault="009A2351" w:rsidP="000B20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Νοείται ότι</w:t>
            </w:r>
            <w:r w:rsidR="009164C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κατά τη διάρκεια της ως άνω παράτασης, η </w:t>
            </w:r>
            <w:r w:rsidRPr="00BE3E5B">
              <w:rPr>
                <w:rFonts w:ascii="Arial" w:hAnsi="Arial" w:cs="Arial"/>
              </w:rPr>
              <w:t>λειτουργία</w:t>
            </w:r>
            <w:r>
              <w:rPr>
                <w:rFonts w:ascii="Arial" w:hAnsi="Arial" w:cs="Arial"/>
              </w:rPr>
              <w:t>,</w:t>
            </w:r>
            <w:r w:rsidRPr="00BE3E5B">
              <w:rPr>
                <w:rFonts w:ascii="Arial" w:hAnsi="Arial" w:cs="Arial"/>
              </w:rPr>
              <w:t xml:space="preserve"> η λήψη αποφάσεων και η δράση </w:t>
            </w:r>
            <w:r>
              <w:rPr>
                <w:rFonts w:ascii="Arial" w:hAnsi="Arial" w:cs="Arial"/>
              </w:rPr>
              <w:t xml:space="preserve">των σχολικών εφορειών, </w:t>
            </w:r>
            <w:r w:rsidRPr="00BE3E5B">
              <w:rPr>
                <w:rFonts w:ascii="Arial" w:hAnsi="Arial" w:cs="Arial"/>
              </w:rPr>
              <w:t>λογίζεται ότι διενεργ</w:t>
            </w:r>
            <w:r>
              <w:rPr>
                <w:rFonts w:ascii="Arial" w:hAnsi="Arial" w:cs="Arial"/>
              </w:rPr>
              <w:t xml:space="preserve">είται </w:t>
            </w:r>
            <w:r w:rsidRPr="009164C8">
              <w:rPr>
                <w:rFonts w:ascii="Arial" w:hAnsi="Arial" w:cs="Arial"/>
              </w:rPr>
              <w:t>δυνάμει των διατάξεων του παρόντος</w:t>
            </w:r>
            <w:r w:rsidR="00470A4B" w:rsidRPr="009164C8">
              <w:rPr>
                <w:rFonts w:ascii="Arial" w:hAnsi="Arial" w:cs="Arial"/>
              </w:rPr>
              <w:t xml:space="preserve"> Νόμου</w:t>
            </w:r>
            <w:r w:rsidR="007F1AFB">
              <w:rPr>
                <w:rFonts w:ascii="Arial" w:hAnsi="Arial" w:cs="Arial"/>
              </w:rPr>
              <w:t xml:space="preserve">, </w:t>
            </w:r>
            <w:r w:rsidR="00BD71E8" w:rsidRPr="009164C8">
              <w:rPr>
                <w:rFonts w:ascii="Arial" w:hAnsi="Arial" w:cs="Arial"/>
              </w:rPr>
              <w:t xml:space="preserve"> θεωρείται έγκυρη ως γενόμενη στο πλαίσιο της θητείας τους </w:t>
            </w:r>
            <w:r w:rsidRPr="009164C8">
              <w:rPr>
                <w:rFonts w:ascii="Arial" w:hAnsi="Arial" w:cs="Arial"/>
              </w:rPr>
              <w:t>και</w:t>
            </w:r>
            <w:r>
              <w:rPr>
                <w:rFonts w:ascii="Arial" w:hAnsi="Arial" w:cs="Arial"/>
              </w:rPr>
              <w:t xml:space="preserve"> κατά τα λοιπά εφαρμόζονται οι διατάξεις </w:t>
            </w:r>
            <w:r w:rsidR="00B12D20">
              <w:rPr>
                <w:rFonts w:ascii="Arial" w:hAnsi="Arial" w:cs="Arial"/>
              </w:rPr>
              <w:t>του παρόντος Νόμου</w:t>
            </w:r>
            <w:r>
              <w:rPr>
                <w:rFonts w:ascii="Arial" w:hAnsi="Arial" w:cs="Arial"/>
              </w:rPr>
              <w:t>.»</w:t>
            </w:r>
            <w:r w:rsidR="00DF335B">
              <w:rPr>
                <w:rFonts w:ascii="Arial" w:hAnsi="Arial" w:cs="Arial"/>
              </w:rPr>
              <w:t>.</w:t>
            </w:r>
          </w:p>
          <w:p w14:paraId="3B01BEF3" w14:textId="719F7FD3" w:rsidR="009A2351" w:rsidRDefault="009A2351" w:rsidP="000B2096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</w:tbl>
    <w:p w14:paraId="29E577C1" w14:textId="77777777" w:rsidR="00B07C51" w:rsidRPr="00C36A8B" w:rsidRDefault="00B07C51" w:rsidP="0067222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07C51" w:rsidRPr="00C36A8B" w:rsidSect="00C36A8B">
      <w:headerReference w:type="even" r:id="rId6"/>
      <w:headerReference w:type="default" r:id="rId7"/>
      <w:pgSz w:w="11906" w:h="16838"/>
      <w:pgMar w:top="426" w:right="17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0150" w14:textId="77777777" w:rsidR="005F230C" w:rsidRDefault="005F230C">
      <w:r>
        <w:separator/>
      </w:r>
    </w:p>
  </w:endnote>
  <w:endnote w:type="continuationSeparator" w:id="0">
    <w:p w14:paraId="3D0F32B6" w14:textId="77777777" w:rsidR="005F230C" w:rsidRDefault="005F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A6B8" w14:textId="77777777" w:rsidR="005F230C" w:rsidRDefault="005F230C">
      <w:r>
        <w:separator/>
      </w:r>
    </w:p>
  </w:footnote>
  <w:footnote w:type="continuationSeparator" w:id="0">
    <w:p w14:paraId="5D948361" w14:textId="77777777" w:rsidR="005F230C" w:rsidRDefault="005F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C27D" w14:textId="77777777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4EA3B" w14:textId="77777777" w:rsidR="00250478" w:rsidRDefault="00250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7024" w14:textId="7629BB3F" w:rsidR="00250478" w:rsidRDefault="00250478" w:rsidP="00AB7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5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2DC3AF" w14:textId="77777777" w:rsidR="00250478" w:rsidRDefault="00250478">
    <w:pPr>
      <w:pStyle w:val="Header"/>
    </w:pPr>
  </w:p>
  <w:p w14:paraId="14B8E9AB" w14:textId="77777777" w:rsidR="00250478" w:rsidRDefault="00250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4"/>
    <w:rsid w:val="00002A19"/>
    <w:rsid w:val="000218A3"/>
    <w:rsid w:val="000249B8"/>
    <w:rsid w:val="000328BE"/>
    <w:rsid w:val="00061D1E"/>
    <w:rsid w:val="0006384A"/>
    <w:rsid w:val="0006766F"/>
    <w:rsid w:val="00076DB9"/>
    <w:rsid w:val="00083630"/>
    <w:rsid w:val="00087DEA"/>
    <w:rsid w:val="0009312C"/>
    <w:rsid w:val="00096D02"/>
    <w:rsid w:val="000A0D44"/>
    <w:rsid w:val="000A1693"/>
    <w:rsid w:val="000C558B"/>
    <w:rsid w:val="000E4A41"/>
    <w:rsid w:val="000E6273"/>
    <w:rsid w:val="000F551D"/>
    <w:rsid w:val="00106D18"/>
    <w:rsid w:val="00112136"/>
    <w:rsid w:val="00116DB7"/>
    <w:rsid w:val="00124DD8"/>
    <w:rsid w:val="00131AE0"/>
    <w:rsid w:val="00141247"/>
    <w:rsid w:val="0014367C"/>
    <w:rsid w:val="001573AC"/>
    <w:rsid w:val="001622A5"/>
    <w:rsid w:val="00162C8B"/>
    <w:rsid w:val="001739A9"/>
    <w:rsid w:val="001803A0"/>
    <w:rsid w:val="00181F06"/>
    <w:rsid w:val="001935F0"/>
    <w:rsid w:val="001A2111"/>
    <w:rsid w:val="001A23A2"/>
    <w:rsid w:val="001C3990"/>
    <w:rsid w:val="001C6D8A"/>
    <w:rsid w:val="001D1294"/>
    <w:rsid w:val="001D4E42"/>
    <w:rsid w:val="001D558B"/>
    <w:rsid w:val="001D6EA3"/>
    <w:rsid w:val="001E27C5"/>
    <w:rsid w:val="00250478"/>
    <w:rsid w:val="00257302"/>
    <w:rsid w:val="002643AA"/>
    <w:rsid w:val="0026666A"/>
    <w:rsid w:val="0029000C"/>
    <w:rsid w:val="00295CE6"/>
    <w:rsid w:val="002B5ACE"/>
    <w:rsid w:val="002C01EC"/>
    <w:rsid w:val="002C130F"/>
    <w:rsid w:val="002C38A5"/>
    <w:rsid w:val="002C41A1"/>
    <w:rsid w:val="002C6FF0"/>
    <w:rsid w:val="002D4967"/>
    <w:rsid w:val="003026AC"/>
    <w:rsid w:val="0030377D"/>
    <w:rsid w:val="00320199"/>
    <w:rsid w:val="00337D68"/>
    <w:rsid w:val="00347DD4"/>
    <w:rsid w:val="003577B1"/>
    <w:rsid w:val="0036579C"/>
    <w:rsid w:val="00371386"/>
    <w:rsid w:val="00371692"/>
    <w:rsid w:val="003A5709"/>
    <w:rsid w:val="003B0BF9"/>
    <w:rsid w:val="003B4B08"/>
    <w:rsid w:val="003D2FD8"/>
    <w:rsid w:val="003D3A25"/>
    <w:rsid w:val="003D5F75"/>
    <w:rsid w:val="00402353"/>
    <w:rsid w:val="004041CE"/>
    <w:rsid w:val="0041029C"/>
    <w:rsid w:val="00410FA9"/>
    <w:rsid w:val="00411037"/>
    <w:rsid w:val="00416AEC"/>
    <w:rsid w:val="00426CE5"/>
    <w:rsid w:val="00437A2E"/>
    <w:rsid w:val="00455945"/>
    <w:rsid w:val="0045754C"/>
    <w:rsid w:val="00464312"/>
    <w:rsid w:val="00470A4B"/>
    <w:rsid w:val="004756EF"/>
    <w:rsid w:val="004853E5"/>
    <w:rsid w:val="0048712C"/>
    <w:rsid w:val="00494330"/>
    <w:rsid w:val="0050651D"/>
    <w:rsid w:val="00511AF0"/>
    <w:rsid w:val="00512B97"/>
    <w:rsid w:val="0055354C"/>
    <w:rsid w:val="00554438"/>
    <w:rsid w:val="005556B8"/>
    <w:rsid w:val="00562274"/>
    <w:rsid w:val="00563889"/>
    <w:rsid w:val="0056415C"/>
    <w:rsid w:val="00571469"/>
    <w:rsid w:val="00580FBE"/>
    <w:rsid w:val="005B2972"/>
    <w:rsid w:val="005C387D"/>
    <w:rsid w:val="005D2419"/>
    <w:rsid w:val="005E2612"/>
    <w:rsid w:val="005F230C"/>
    <w:rsid w:val="006170E5"/>
    <w:rsid w:val="00621DD2"/>
    <w:rsid w:val="00636162"/>
    <w:rsid w:val="00672226"/>
    <w:rsid w:val="00672A05"/>
    <w:rsid w:val="006A28B8"/>
    <w:rsid w:val="006A3CA5"/>
    <w:rsid w:val="006A612B"/>
    <w:rsid w:val="006C32BA"/>
    <w:rsid w:val="006D2837"/>
    <w:rsid w:val="006D5A8B"/>
    <w:rsid w:val="006F2ADE"/>
    <w:rsid w:val="006F2F41"/>
    <w:rsid w:val="00702CDD"/>
    <w:rsid w:val="00707E0D"/>
    <w:rsid w:val="007212B7"/>
    <w:rsid w:val="00721CF0"/>
    <w:rsid w:val="00727AB6"/>
    <w:rsid w:val="00727E22"/>
    <w:rsid w:val="00730E1E"/>
    <w:rsid w:val="007423AA"/>
    <w:rsid w:val="00762BD1"/>
    <w:rsid w:val="007643E3"/>
    <w:rsid w:val="00784B45"/>
    <w:rsid w:val="00787DAF"/>
    <w:rsid w:val="00795913"/>
    <w:rsid w:val="00796FBF"/>
    <w:rsid w:val="007C453D"/>
    <w:rsid w:val="007E3603"/>
    <w:rsid w:val="007E4570"/>
    <w:rsid w:val="007F1AFB"/>
    <w:rsid w:val="007F2044"/>
    <w:rsid w:val="007F7AD9"/>
    <w:rsid w:val="00823B9C"/>
    <w:rsid w:val="00842BC7"/>
    <w:rsid w:val="0085177C"/>
    <w:rsid w:val="00852785"/>
    <w:rsid w:val="00854192"/>
    <w:rsid w:val="0085548F"/>
    <w:rsid w:val="008618BC"/>
    <w:rsid w:val="008729E9"/>
    <w:rsid w:val="008823C8"/>
    <w:rsid w:val="008B45C9"/>
    <w:rsid w:val="008D1915"/>
    <w:rsid w:val="008D29D4"/>
    <w:rsid w:val="008E54C4"/>
    <w:rsid w:val="008F12EF"/>
    <w:rsid w:val="00906FDB"/>
    <w:rsid w:val="00913EF3"/>
    <w:rsid w:val="009147D4"/>
    <w:rsid w:val="00916465"/>
    <w:rsid w:val="009164C8"/>
    <w:rsid w:val="00917C06"/>
    <w:rsid w:val="0093204F"/>
    <w:rsid w:val="0093544F"/>
    <w:rsid w:val="009435B1"/>
    <w:rsid w:val="00954E67"/>
    <w:rsid w:val="00975898"/>
    <w:rsid w:val="00976A25"/>
    <w:rsid w:val="00976C20"/>
    <w:rsid w:val="00977CB2"/>
    <w:rsid w:val="0099132D"/>
    <w:rsid w:val="0099443F"/>
    <w:rsid w:val="0099683C"/>
    <w:rsid w:val="009A2351"/>
    <w:rsid w:val="009B0EA2"/>
    <w:rsid w:val="009D36A1"/>
    <w:rsid w:val="009D5116"/>
    <w:rsid w:val="009F19AB"/>
    <w:rsid w:val="009F29FA"/>
    <w:rsid w:val="00A1005D"/>
    <w:rsid w:val="00A13989"/>
    <w:rsid w:val="00A25069"/>
    <w:rsid w:val="00A3197C"/>
    <w:rsid w:val="00A352F6"/>
    <w:rsid w:val="00A54331"/>
    <w:rsid w:val="00A57843"/>
    <w:rsid w:val="00A60F96"/>
    <w:rsid w:val="00A67E05"/>
    <w:rsid w:val="00A747F2"/>
    <w:rsid w:val="00A75A3E"/>
    <w:rsid w:val="00A92D80"/>
    <w:rsid w:val="00AB1B0F"/>
    <w:rsid w:val="00AB3D7E"/>
    <w:rsid w:val="00AB51E9"/>
    <w:rsid w:val="00AB7024"/>
    <w:rsid w:val="00AE01FC"/>
    <w:rsid w:val="00AF3EE1"/>
    <w:rsid w:val="00B036E1"/>
    <w:rsid w:val="00B07C51"/>
    <w:rsid w:val="00B12D20"/>
    <w:rsid w:val="00B20CB6"/>
    <w:rsid w:val="00B267BA"/>
    <w:rsid w:val="00B36592"/>
    <w:rsid w:val="00B36E50"/>
    <w:rsid w:val="00B44491"/>
    <w:rsid w:val="00B451E5"/>
    <w:rsid w:val="00B45CB3"/>
    <w:rsid w:val="00B637F0"/>
    <w:rsid w:val="00B73ED1"/>
    <w:rsid w:val="00B948F5"/>
    <w:rsid w:val="00BB3526"/>
    <w:rsid w:val="00BC15CD"/>
    <w:rsid w:val="00BD71E8"/>
    <w:rsid w:val="00BF33BA"/>
    <w:rsid w:val="00BF4A89"/>
    <w:rsid w:val="00C00EA7"/>
    <w:rsid w:val="00C06AA7"/>
    <w:rsid w:val="00C15784"/>
    <w:rsid w:val="00C27096"/>
    <w:rsid w:val="00C27E86"/>
    <w:rsid w:val="00C36A8B"/>
    <w:rsid w:val="00C828B7"/>
    <w:rsid w:val="00C96027"/>
    <w:rsid w:val="00C978F3"/>
    <w:rsid w:val="00CA2C75"/>
    <w:rsid w:val="00CA404D"/>
    <w:rsid w:val="00CB083B"/>
    <w:rsid w:val="00CB3BBB"/>
    <w:rsid w:val="00CD1DB9"/>
    <w:rsid w:val="00CE257E"/>
    <w:rsid w:val="00CE492B"/>
    <w:rsid w:val="00CF66DF"/>
    <w:rsid w:val="00D00127"/>
    <w:rsid w:val="00D2565F"/>
    <w:rsid w:val="00D339F1"/>
    <w:rsid w:val="00D4579C"/>
    <w:rsid w:val="00D46B30"/>
    <w:rsid w:val="00D53F6F"/>
    <w:rsid w:val="00D60844"/>
    <w:rsid w:val="00D76883"/>
    <w:rsid w:val="00D81046"/>
    <w:rsid w:val="00DB2B89"/>
    <w:rsid w:val="00DE6538"/>
    <w:rsid w:val="00DF335B"/>
    <w:rsid w:val="00E129D2"/>
    <w:rsid w:val="00E138E0"/>
    <w:rsid w:val="00E27A56"/>
    <w:rsid w:val="00E476FB"/>
    <w:rsid w:val="00E5595D"/>
    <w:rsid w:val="00E617E1"/>
    <w:rsid w:val="00E9367E"/>
    <w:rsid w:val="00EB737E"/>
    <w:rsid w:val="00EF5404"/>
    <w:rsid w:val="00F12A07"/>
    <w:rsid w:val="00F169A5"/>
    <w:rsid w:val="00F2368E"/>
    <w:rsid w:val="00F26230"/>
    <w:rsid w:val="00F31421"/>
    <w:rsid w:val="00F3417C"/>
    <w:rsid w:val="00F6550E"/>
    <w:rsid w:val="00F776CD"/>
    <w:rsid w:val="00FA79AE"/>
    <w:rsid w:val="00FC069E"/>
    <w:rsid w:val="00FC1BD1"/>
    <w:rsid w:val="00FC7B14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3EB8D"/>
  <w15:chartTrackingRefBased/>
  <w15:docId w15:val="{3CAE0A1B-7C96-40E5-93D4-5776B3B3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4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0478"/>
  </w:style>
  <w:style w:type="paragraph" w:styleId="Footer">
    <w:name w:val="footer"/>
    <w:basedOn w:val="Normal"/>
    <w:rsid w:val="002504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2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subject/>
  <dc:creator>Kitsa Michael</dc:creator>
  <cp:keywords/>
  <cp:lastModifiedBy>Piperi  Theodora</cp:lastModifiedBy>
  <cp:revision>10</cp:revision>
  <cp:lastPrinted>2021-09-15T04:57:00Z</cp:lastPrinted>
  <dcterms:created xsi:type="dcterms:W3CDTF">2021-09-15T05:10:00Z</dcterms:created>
  <dcterms:modified xsi:type="dcterms:W3CDTF">2021-09-15T06:24:00Z</dcterms:modified>
</cp:coreProperties>
</file>