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8AEB" w14:textId="77777777" w:rsidR="00243776" w:rsidRPr="00D21F99" w:rsidRDefault="00915C42" w:rsidP="00D21F99">
      <w:pPr>
        <w:spacing w:line="360" w:lineRule="auto"/>
        <w:jc w:val="center"/>
        <w:rPr>
          <w:rFonts w:ascii="Arial" w:hAnsi="Arial" w:cs="Arial"/>
          <w:sz w:val="24"/>
          <w:szCs w:val="24"/>
          <w:lang w:val="el-GR"/>
        </w:rPr>
      </w:pPr>
      <w:r w:rsidRPr="00D21F99">
        <w:rPr>
          <w:rFonts w:ascii="Arial" w:hAnsi="Arial" w:cs="Arial"/>
          <w:sz w:val="24"/>
          <w:szCs w:val="24"/>
          <w:lang w:val="el-GR"/>
        </w:rPr>
        <w:t>ΝΟΜΟΣΧΕΔΙΟ ΜΕ ΤΙΤΛΟ</w:t>
      </w:r>
    </w:p>
    <w:p w14:paraId="6D3D1E3A" w14:textId="77777777" w:rsidR="002D0ED5" w:rsidRPr="00D21F99" w:rsidRDefault="00FB2F66" w:rsidP="00D21F99">
      <w:pPr>
        <w:spacing w:line="360" w:lineRule="auto"/>
        <w:jc w:val="center"/>
        <w:rPr>
          <w:rFonts w:ascii="Arial" w:hAnsi="Arial" w:cs="Arial"/>
          <w:sz w:val="24"/>
          <w:szCs w:val="24"/>
          <w:lang w:val="el-GR"/>
        </w:rPr>
      </w:pPr>
      <w:r w:rsidRPr="00D21F99">
        <w:rPr>
          <w:rFonts w:ascii="Arial" w:hAnsi="Arial" w:cs="Arial"/>
          <w:sz w:val="24"/>
          <w:szCs w:val="24"/>
          <w:lang w:val="el-GR"/>
        </w:rPr>
        <w:t>ΝΟΜΟΣ ΠΟΥ ΤΡΟΠΟΠΟΙΕΙ ΤΟ</w:t>
      </w:r>
      <w:r w:rsidRPr="00D21F99">
        <w:rPr>
          <w:rFonts w:ascii="Arial" w:hAnsi="Arial" w:cs="Arial"/>
          <w:sz w:val="24"/>
          <w:szCs w:val="24"/>
        </w:rPr>
        <w:t>N</w:t>
      </w:r>
      <w:r w:rsidR="009A34E1" w:rsidRPr="00D21F99">
        <w:rPr>
          <w:rFonts w:ascii="Arial" w:hAnsi="Arial" w:cs="Arial"/>
          <w:sz w:val="24"/>
          <w:szCs w:val="24"/>
          <w:lang w:val="el-GR"/>
        </w:rPr>
        <w:t xml:space="preserve"> ΠΕΡΙ ΕΥΡΩΠΑΪΚΟΥ ΕΝΤΑΛΜΑΤΟΣ ΣΥΛΛΗΨΗΣ ΚΑΙ </w:t>
      </w:r>
      <w:r w:rsidR="000F7621" w:rsidRPr="00D21F99">
        <w:rPr>
          <w:rFonts w:ascii="Arial" w:hAnsi="Arial" w:cs="Arial"/>
          <w:sz w:val="24"/>
          <w:szCs w:val="24"/>
        </w:rPr>
        <w:t>T</w:t>
      </w:r>
      <w:r w:rsidR="000F7621" w:rsidRPr="00D21F99">
        <w:rPr>
          <w:rFonts w:ascii="Arial" w:hAnsi="Arial" w:cs="Arial"/>
          <w:sz w:val="24"/>
          <w:szCs w:val="24"/>
          <w:lang w:val="el-GR"/>
        </w:rPr>
        <w:t xml:space="preserve">ΩΝ </w:t>
      </w:r>
      <w:r w:rsidR="009A34E1" w:rsidRPr="00D21F99">
        <w:rPr>
          <w:rFonts w:ascii="Arial" w:hAnsi="Arial" w:cs="Arial"/>
          <w:sz w:val="24"/>
          <w:szCs w:val="24"/>
          <w:lang w:val="el-GR"/>
        </w:rPr>
        <w:t xml:space="preserve">ΔΙΑΔΙΚΑΣΙΩΝ ΠΑΡΑΔΟΣΗΣ </w:t>
      </w:r>
      <w:r w:rsidR="006551C3" w:rsidRPr="00D21F99">
        <w:rPr>
          <w:rFonts w:ascii="Arial" w:hAnsi="Arial" w:cs="Arial"/>
          <w:sz w:val="24"/>
          <w:szCs w:val="24"/>
          <w:lang w:val="el-GR"/>
        </w:rPr>
        <w:t xml:space="preserve">ΕΚΖΗΤΟΥΜΕΝΩΝ </w:t>
      </w:r>
      <w:r w:rsidR="009A34E1" w:rsidRPr="00D21F99">
        <w:rPr>
          <w:rFonts w:ascii="Arial" w:hAnsi="Arial" w:cs="Arial"/>
          <w:sz w:val="24"/>
          <w:szCs w:val="24"/>
          <w:lang w:val="el-GR"/>
        </w:rPr>
        <w:t>ΜΕΤΑΞΥ ΤΩΝ ΚΡΑΤΩΝ ΜΕΛΩΝ ΤΗΣ ΕΥΡΩΠΑΪΚΗΣ ΕΝΩΣΗΣ ΝΟΜΟ ΤΟΥ 2004</w:t>
      </w:r>
      <w:r w:rsidR="00CB669A" w:rsidRPr="00D21F99">
        <w:rPr>
          <w:rFonts w:ascii="Arial" w:hAnsi="Arial" w:cs="Arial"/>
          <w:sz w:val="24"/>
          <w:szCs w:val="24"/>
          <w:lang w:val="el-GR"/>
        </w:rPr>
        <w:t xml:space="preserve"> ΜΕΧΡΙ 2017 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7308"/>
      </w:tblGrid>
      <w:tr w:rsidR="00135BDB" w:rsidRPr="00010C4A" w14:paraId="6B53890E" w14:textId="77777777" w:rsidTr="0083432D">
        <w:tc>
          <w:tcPr>
            <w:tcW w:w="2538" w:type="dxa"/>
          </w:tcPr>
          <w:p w14:paraId="5CBD9480" w14:textId="77777777" w:rsidR="00FB2F66" w:rsidRPr="00D21F99" w:rsidRDefault="00FB2F66" w:rsidP="00D21F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2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</w:tblGrid>
            <w:tr w:rsidR="00802B4A" w:rsidRPr="00010C4A" w14:paraId="4250BCEF" w14:textId="77777777" w:rsidTr="0058447E">
              <w:trPr>
                <w:trHeight w:val="3932"/>
              </w:trPr>
              <w:tc>
                <w:tcPr>
                  <w:tcW w:w="2322" w:type="dxa"/>
                </w:tcPr>
                <w:p w14:paraId="6FF6CF09" w14:textId="77777777" w:rsidR="00CB669A" w:rsidRPr="00D21F99" w:rsidRDefault="00CB669A" w:rsidP="00D21F99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Συνοπτικός τίτλος.  </w:t>
                  </w:r>
                </w:p>
                <w:p w14:paraId="6A71729F" w14:textId="77777777" w:rsidR="00CB669A" w:rsidRPr="00D21F99" w:rsidRDefault="00CB669A" w:rsidP="00D21F99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1D471C66" w14:textId="77777777" w:rsidR="00CB669A" w:rsidRPr="00D21F99" w:rsidRDefault="00CB669A" w:rsidP="00D21F99">
                  <w:pPr>
                    <w:spacing w:line="360" w:lineRule="auto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133(Ι) του 2004</w:t>
                  </w:r>
                </w:p>
                <w:p w14:paraId="4C193857" w14:textId="77777777" w:rsidR="00CB669A" w:rsidRPr="00D21F99" w:rsidRDefault="00CB669A" w:rsidP="00D21F99">
                  <w:pPr>
                    <w:spacing w:line="360" w:lineRule="auto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112(Ι) του 2006    </w:t>
                  </w:r>
                </w:p>
                <w:p w14:paraId="7E933FC9" w14:textId="77777777" w:rsidR="00F53F79" w:rsidRPr="00D21F99" w:rsidRDefault="00CB669A" w:rsidP="00D21F99">
                  <w:pPr>
                    <w:spacing w:line="360" w:lineRule="auto"/>
                    <w:ind w:left="-113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 30(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) του 2014</w:t>
                  </w:r>
                </w:p>
                <w:p w14:paraId="72030E95" w14:textId="77777777" w:rsidR="00CB669A" w:rsidRPr="00D21F99" w:rsidRDefault="00CB669A" w:rsidP="00D21F99">
                  <w:pPr>
                    <w:spacing w:line="360" w:lineRule="auto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183(Ι) του 2014</w:t>
                  </w:r>
                </w:p>
                <w:p w14:paraId="7A536109" w14:textId="77777777" w:rsidR="00CB669A" w:rsidRPr="00D21F99" w:rsidRDefault="00CB669A" w:rsidP="00D21F99">
                  <w:pPr>
                    <w:spacing w:line="360" w:lineRule="auto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21(Ι) του 2017</w:t>
                  </w:r>
                </w:p>
                <w:p w14:paraId="6BBEA0A9" w14:textId="77777777" w:rsidR="00CB669A" w:rsidRPr="00D21F99" w:rsidRDefault="00CB669A" w:rsidP="00D21F99">
                  <w:pPr>
                    <w:spacing w:line="360" w:lineRule="auto"/>
                    <w:ind w:left="-113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0B26601E" w14:textId="77777777" w:rsidR="00F53F79" w:rsidRPr="00D21F99" w:rsidRDefault="00F53F79" w:rsidP="00D21F99">
                  <w:pPr>
                    <w:spacing w:line="360" w:lineRule="auto"/>
                    <w:ind w:left="-113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5A4227F4" w14:textId="77777777" w:rsidR="00CB669A" w:rsidRPr="00D21F99" w:rsidRDefault="00CB669A" w:rsidP="00D21F99">
                  <w:pPr>
                    <w:spacing w:line="360" w:lineRule="auto"/>
                    <w:ind w:left="-113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3703994D" w14:textId="77777777" w:rsidR="00CB669A" w:rsidRPr="00D21F99" w:rsidRDefault="00CB669A" w:rsidP="00D21F99">
                  <w:pPr>
                    <w:spacing w:line="360" w:lineRule="auto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201CFAC3" w14:textId="77777777" w:rsidR="00695224" w:rsidRDefault="00695224" w:rsidP="00D21F99">
                  <w:pPr>
                    <w:spacing w:line="360" w:lineRule="auto"/>
                    <w:ind w:left="-113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12CCD1E0" w14:textId="77777777" w:rsidR="00010C4A" w:rsidRDefault="00010C4A" w:rsidP="00D21F99">
                  <w:pPr>
                    <w:spacing w:line="360" w:lineRule="auto"/>
                    <w:ind w:left="-113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569C3958" w14:textId="77777777" w:rsidR="00802B4A" w:rsidRPr="00D21F99" w:rsidRDefault="00802B4A" w:rsidP="00D21F99">
                  <w:pPr>
                    <w:spacing w:line="360" w:lineRule="auto"/>
                    <w:ind w:left="-113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Τροποποίηση του άρθρου </w:t>
                  </w:r>
                  <w:r w:rsidR="00CB669A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1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3 του βασικού Νόμου</w:t>
                  </w:r>
                </w:p>
              </w:tc>
            </w:tr>
          </w:tbl>
          <w:p w14:paraId="2E6D001B" w14:textId="77777777" w:rsidR="00802B4A" w:rsidRPr="00D21F99" w:rsidRDefault="00802B4A" w:rsidP="00D21F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6"/>
            </w:tblGrid>
            <w:tr w:rsidR="00FD7213" w:rsidRPr="00010C4A" w14:paraId="3BF215FB" w14:textId="77777777" w:rsidTr="0058447E">
              <w:trPr>
                <w:trHeight w:val="568"/>
              </w:trPr>
              <w:tc>
                <w:tcPr>
                  <w:tcW w:w="2276" w:type="dxa"/>
                </w:tcPr>
                <w:p w14:paraId="26A9D923" w14:textId="77777777" w:rsidR="00695224" w:rsidRDefault="00695224" w:rsidP="00D21F99">
                  <w:pPr>
                    <w:spacing w:line="360" w:lineRule="auto"/>
                    <w:ind w:left="-113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5CFBD893" w14:textId="77777777" w:rsidR="00010C4A" w:rsidRDefault="00010C4A" w:rsidP="00D21F99">
                  <w:pPr>
                    <w:spacing w:line="360" w:lineRule="auto"/>
                    <w:ind w:left="-113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44B05678" w14:textId="77777777" w:rsidR="00FD7213" w:rsidRPr="00D21F99" w:rsidRDefault="00FD7213" w:rsidP="00D21F99">
                  <w:pPr>
                    <w:spacing w:line="360" w:lineRule="auto"/>
                    <w:ind w:left="-113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Τροποποίηση του άρθρου </w:t>
                  </w:r>
                  <w:r w:rsidR="00D66BE7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1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4 του βασικού Νόμου</w:t>
                  </w:r>
                </w:p>
              </w:tc>
            </w:tr>
          </w:tbl>
          <w:p w14:paraId="51421699" w14:textId="77777777" w:rsidR="00FD7213" w:rsidRPr="00D21F99" w:rsidRDefault="00FD7213" w:rsidP="00D21F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7"/>
            </w:tblGrid>
            <w:tr w:rsidR="00802B4A" w:rsidRPr="00010C4A" w14:paraId="24CA1954" w14:textId="77777777" w:rsidTr="00EA3AC3"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9D24E" w14:textId="77777777" w:rsidR="00695224" w:rsidRDefault="00695224" w:rsidP="00D21F99">
                  <w:pPr>
                    <w:spacing w:line="360" w:lineRule="auto"/>
                    <w:ind w:left="-113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49B5FBA9" w14:textId="77777777" w:rsidR="00695224" w:rsidRDefault="00695224" w:rsidP="00D21F99">
                  <w:pPr>
                    <w:spacing w:line="360" w:lineRule="auto"/>
                    <w:ind w:left="-113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65847003" w14:textId="77777777" w:rsidR="00802B4A" w:rsidRPr="00D21F99" w:rsidRDefault="004E29DB" w:rsidP="00D21F99">
                  <w:pPr>
                    <w:spacing w:line="360" w:lineRule="auto"/>
                    <w:ind w:left="-113"/>
                    <w:jc w:val="left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Τροποποίηση του άρθρου 15</w:t>
                  </w:r>
                  <w:r w:rsidR="00FD7213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του βασικού Νόμου</w:t>
                  </w:r>
                </w:p>
              </w:tc>
            </w:tr>
          </w:tbl>
          <w:p w14:paraId="783A771D" w14:textId="77777777" w:rsidR="0005513A" w:rsidRPr="00D21F99" w:rsidRDefault="0005513A" w:rsidP="00D21F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5F89E4D" w14:textId="77777777" w:rsidR="00010C4A" w:rsidRDefault="00010C4A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DDDD918" w14:textId="77777777" w:rsidR="00010C4A" w:rsidRDefault="00010C4A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2DE67EE" w14:textId="77777777" w:rsidR="00010C4A" w:rsidRDefault="00010C4A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945D2C1" w14:textId="77777777" w:rsidR="0005513A" w:rsidRPr="00D21F99" w:rsidRDefault="0005513A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21F99">
              <w:rPr>
                <w:rFonts w:ascii="Arial" w:hAnsi="Arial" w:cs="Arial"/>
                <w:sz w:val="24"/>
                <w:szCs w:val="24"/>
                <w:lang w:val="el-GR"/>
              </w:rPr>
              <w:t>Τροποποίηση του άρθρου 24 του βασικού Νόμου</w:t>
            </w:r>
          </w:p>
          <w:p w14:paraId="16B2FFEC" w14:textId="77777777" w:rsidR="0005513A" w:rsidRPr="00D21F99" w:rsidRDefault="0005513A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C10B0FC" w14:textId="77777777" w:rsidR="00695224" w:rsidRDefault="00695224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762B2D9" w14:textId="77777777" w:rsidR="00695224" w:rsidRDefault="00695224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074200E" w14:textId="77777777" w:rsidR="00010C4A" w:rsidRDefault="00010C4A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1FE57D0" w14:textId="77777777" w:rsidR="0005513A" w:rsidRPr="00D21F99" w:rsidRDefault="0005513A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21F99">
              <w:rPr>
                <w:rFonts w:ascii="Arial" w:hAnsi="Arial" w:cs="Arial"/>
                <w:sz w:val="24"/>
                <w:szCs w:val="24"/>
                <w:lang w:val="el-GR"/>
              </w:rPr>
              <w:t>Τροποποίηση του άρθρου 29 του βασικού Νόμου</w:t>
            </w:r>
          </w:p>
          <w:p w14:paraId="157B65D0" w14:textId="77777777" w:rsidR="00052F66" w:rsidRPr="00D21F99" w:rsidRDefault="00052F66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9FD91B9" w14:textId="77777777" w:rsidR="00695224" w:rsidRDefault="00695224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FCC3764" w14:textId="77777777" w:rsidR="00695224" w:rsidRDefault="00695224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875DCEE" w14:textId="77777777" w:rsidR="00695224" w:rsidRDefault="00695224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CA97BFE" w14:textId="77777777" w:rsidR="00695224" w:rsidRDefault="00695224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D067778" w14:textId="77777777" w:rsidR="00E53704" w:rsidRDefault="00E53704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C221946" w14:textId="77777777" w:rsidR="00E53704" w:rsidRDefault="00E53704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33074BD" w14:textId="77777777" w:rsidR="00E53704" w:rsidRDefault="00E53704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4FB3621" w14:textId="77777777" w:rsidR="00052F66" w:rsidRPr="00D21F99" w:rsidRDefault="00052F66" w:rsidP="00D21F9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21F99">
              <w:rPr>
                <w:rFonts w:ascii="Arial" w:hAnsi="Arial" w:cs="Arial"/>
                <w:sz w:val="24"/>
                <w:szCs w:val="24"/>
                <w:lang w:val="el-GR"/>
              </w:rPr>
              <w:t>Τροποποίηση του άρθρου 32 του βασικού Νόμου</w:t>
            </w:r>
          </w:p>
        </w:tc>
        <w:tc>
          <w:tcPr>
            <w:tcW w:w="7308" w:type="dxa"/>
          </w:tcPr>
          <w:p w14:paraId="04583DB3" w14:textId="77777777" w:rsidR="006F46F5" w:rsidRPr="00D21F99" w:rsidRDefault="006F46F5" w:rsidP="00D21F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843A7DC" w14:textId="77777777" w:rsidR="00CB669A" w:rsidRPr="00D21F99" w:rsidRDefault="00CB669A" w:rsidP="00D21F9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7" w:hanging="317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21F99">
              <w:rPr>
                <w:rFonts w:ascii="Arial" w:hAnsi="Arial" w:cs="Arial"/>
                <w:sz w:val="24"/>
                <w:szCs w:val="24"/>
                <w:lang w:val="el-GR"/>
              </w:rPr>
              <w:t xml:space="preserve">Ο παρών Νόμος θα αναφέρεται ως ο περί του Ευρωπαϊκού Εντάλματος Σύλληψης και των Διαδικασιών Παράδοσης </w:t>
            </w:r>
            <w:proofErr w:type="spellStart"/>
            <w:r w:rsidR="00010C4A">
              <w:rPr>
                <w:rFonts w:ascii="Arial" w:hAnsi="Arial" w:cs="Arial"/>
                <w:sz w:val="24"/>
                <w:szCs w:val="24"/>
                <w:lang w:val="el-GR"/>
              </w:rPr>
              <w:t>Εκζητουμένων</w:t>
            </w:r>
            <w:proofErr w:type="spellEnd"/>
            <w:r w:rsidR="00010C4A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21F99">
              <w:rPr>
                <w:rFonts w:ascii="Arial" w:hAnsi="Arial" w:cs="Arial"/>
                <w:sz w:val="24"/>
                <w:szCs w:val="24"/>
                <w:lang w:val="el-GR"/>
              </w:rPr>
              <w:t xml:space="preserve">μεταξύ των Κρατών Μελών της Ευρωπαϊκής Ένωσης (Τροποποιητικός) Νόμος του 2021 και θα διαβάζεται μαζί με τον περί του Ευρωπαϊκού Εντάλματος Σύλληψης και των Διαδικασιών Παράδοσης </w:t>
            </w:r>
            <w:proofErr w:type="spellStart"/>
            <w:r w:rsidR="00010C4A">
              <w:rPr>
                <w:rFonts w:ascii="Arial" w:hAnsi="Arial" w:cs="Arial"/>
                <w:sz w:val="24"/>
                <w:szCs w:val="24"/>
                <w:lang w:val="el-GR"/>
              </w:rPr>
              <w:t>Εκζητουμένων</w:t>
            </w:r>
            <w:proofErr w:type="spellEnd"/>
            <w:r w:rsidR="00010C4A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21F99">
              <w:rPr>
                <w:rFonts w:ascii="Arial" w:hAnsi="Arial" w:cs="Arial"/>
                <w:sz w:val="24"/>
                <w:szCs w:val="24"/>
                <w:lang w:val="el-GR"/>
              </w:rPr>
              <w:t>μεταξύ των Κρατών Μελών της Ευρωπαϊκής Ένωσης Νόμο του 2004 (που στο εξής θα αναφέρεται ως «ο βασικός νόμος») και ο παρών νόμος και ο βασικός νόμος θα αναφέρονται μαζί ως οι περί του Ευρωπαϊκού Εντάλματος Σύλληψης και των Διαδικασιών Παράδοσης</w:t>
            </w:r>
            <w:r w:rsidR="00010C4A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proofErr w:type="spellStart"/>
            <w:r w:rsidR="00010C4A">
              <w:rPr>
                <w:rFonts w:ascii="Arial" w:hAnsi="Arial" w:cs="Arial"/>
                <w:sz w:val="24"/>
                <w:szCs w:val="24"/>
                <w:lang w:val="el-GR"/>
              </w:rPr>
              <w:t>Εκζητουμένων</w:t>
            </w:r>
            <w:proofErr w:type="spellEnd"/>
            <w:r w:rsidRPr="00D21F99">
              <w:rPr>
                <w:rFonts w:ascii="Arial" w:hAnsi="Arial" w:cs="Arial"/>
                <w:sz w:val="24"/>
                <w:szCs w:val="24"/>
                <w:lang w:val="el-GR"/>
              </w:rPr>
              <w:t xml:space="preserve"> μεταξύ των Κρατών Μελών της Ευρωπαϊκής Ένωσης Νόμοι του 2004 έως 2021.</w:t>
            </w:r>
          </w:p>
          <w:p w14:paraId="668B86B9" w14:textId="77777777" w:rsidR="00F53F79" w:rsidRPr="00D21F99" w:rsidRDefault="00F53F79" w:rsidP="00D21F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92"/>
            </w:tblGrid>
            <w:tr w:rsidR="00802B4A" w:rsidRPr="00010C4A" w14:paraId="28C86C17" w14:textId="77777777" w:rsidTr="002566C0">
              <w:tc>
                <w:tcPr>
                  <w:tcW w:w="7097" w:type="dxa"/>
                </w:tcPr>
                <w:p w14:paraId="11BC6551" w14:textId="77777777" w:rsidR="00C74113" w:rsidRPr="00D21F99" w:rsidRDefault="00802B4A" w:rsidP="00D21F99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ind w:left="204" w:hanging="278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D21F99">
                    <w:rPr>
                      <w:rFonts w:ascii="Arial" w:hAnsi="Arial" w:cs="Arial"/>
                      <w:sz w:val="24"/>
                      <w:szCs w:val="24"/>
                    </w:rPr>
                    <w:t>To</w:t>
                  </w:r>
                  <w:r w:rsidR="00F629E1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άρθρο </w:t>
                  </w:r>
                  <w:r w:rsidR="00CB669A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1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3 του βασικού νόμου τροποποιείται </w:t>
                  </w:r>
                  <w:r w:rsidR="00C74113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ως ακολούθως:</w:t>
                  </w:r>
                </w:p>
                <w:p w14:paraId="03877C71" w14:textId="77777777" w:rsidR="00C74113" w:rsidRPr="00D21F99" w:rsidRDefault="00C74113" w:rsidP="00D21F99">
                  <w:pPr>
                    <w:pStyle w:val="ListParagraph"/>
                    <w:spacing w:line="360" w:lineRule="auto"/>
                    <w:ind w:left="204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7FBDAE60" w14:textId="77777777" w:rsidR="006B21E4" w:rsidRPr="00D21F99" w:rsidRDefault="00C74113" w:rsidP="00D21F99">
                  <w:pPr>
                    <w:pStyle w:val="ListParagraph"/>
                    <w:spacing w:line="360" w:lineRule="auto"/>
                    <w:ind w:left="204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D21F99"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  <w:r w:rsidR="00D66BE7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ε την διαγραφή των παραγράφων</w:t>
                  </w:r>
                  <w:r w:rsidR="00CB669A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(ε) </w:t>
                  </w:r>
                  <w:r w:rsidR="006B21E4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και </w:t>
                  </w:r>
                  <w:r w:rsidR="00D66BE7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(στ).</w:t>
                  </w:r>
                </w:p>
                <w:p w14:paraId="2AD782FA" w14:textId="77777777" w:rsidR="00D66BE7" w:rsidRPr="00D21F99" w:rsidRDefault="00D66BE7" w:rsidP="00D21F99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2BE77BD5" w14:textId="77777777" w:rsidR="004E29DB" w:rsidRPr="00D21F99" w:rsidRDefault="004E29DB" w:rsidP="00D21F99">
            <w:pPr>
              <w:pStyle w:val="ListParagraph"/>
              <w:spacing w:line="360" w:lineRule="auto"/>
              <w:ind w:left="317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A866D2C" w14:textId="77777777" w:rsidR="00C74113" w:rsidRPr="00D21F99" w:rsidRDefault="00C74113" w:rsidP="00D21F9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7" w:hanging="283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21F99">
              <w:rPr>
                <w:rFonts w:ascii="Arial" w:hAnsi="Arial" w:cs="Arial"/>
                <w:sz w:val="24"/>
                <w:szCs w:val="24"/>
                <w:lang w:val="el-GR"/>
              </w:rPr>
              <w:t>Το άρθρο 14 του βασικού νόμου τροποποιείται ως ακολούθως:</w:t>
            </w:r>
          </w:p>
          <w:p w14:paraId="4217262C" w14:textId="77777777" w:rsidR="00C74113" w:rsidRPr="00D21F99" w:rsidRDefault="00C74113" w:rsidP="00D21F99">
            <w:pPr>
              <w:pStyle w:val="ListParagraph"/>
              <w:spacing w:line="360" w:lineRule="auto"/>
              <w:ind w:left="317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D204320" w14:textId="77777777" w:rsidR="00C74113" w:rsidRPr="00D21F99" w:rsidRDefault="00C74113" w:rsidP="00D21F99">
            <w:pPr>
              <w:pStyle w:val="ListParagraph"/>
              <w:spacing w:line="360" w:lineRule="auto"/>
              <w:ind w:left="317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21F99">
              <w:rPr>
                <w:rFonts w:ascii="Arial" w:hAnsi="Arial" w:cs="Arial"/>
                <w:sz w:val="24"/>
                <w:szCs w:val="24"/>
              </w:rPr>
              <w:t>M</w:t>
            </w:r>
            <w:r w:rsidRPr="00D21F99">
              <w:rPr>
                <w:rFonts w:ascii="Arial" w:hAnsi="Arial" w:cs="Arial"/>
                <w:sz w:val="24"/>
                <w:szCs w:val="24"/>
                <w:lang w:val="el-GR"/>
              </w:rPr>
              <w:t xml:space="preserve">ε την προσθήκη αμέσως μετά τη φράση «εφόσον ο </w:t>
            </w:r>
            <w:proofErr w:type="spellStart"/>
            <w:r w:rsidRPr="00D21F99">
              <w:rPr>
                <w:rFonts w:ascii="Arial" w:hAnsi="Arial" w:cs="Arial"/>
                <w:sz w:val="24"/>
                <w:szCs w:val="24"/>
                <w:lang w:val="el-GR"/>
              </w:rPr>
              <w:t>εκζητούμενος</w:t>
            </w:r>
            <w:proofErr w:type="spellEnd"/>
            <w:r w:rsidRPr="00D21F99">
              <w:rPr>
                <w:rFonts w:ascii="Arial" w:hAnsi="Arial" w:cs="Arial"/>
                <w:sz w:val="24"/>
                <w:szCs w:val="24"/>
                <w:lang w:val="el-GR"/>
              </w:rPr>
              <w:t>» (πρώτη γραμμή) της παραγράφου (ζ) του εδαφίου (1)</w:t>
            </w:r>
            <w:r w:rsidR="00D21F99">
              <w:rPr>
                <w:rFonts w:ascii="Arial" w:hAnsi="Arial" w:cs="Arial"/>
                <w:sz w:val="24"/>
                <w:szCs w:val="24"/>
                <w:lang w:val="el-GR"/>
              </w:rPr>
              <w:t xml:space="preserve">, </w:t>
            </w:r>
            <w:r w:rsidR="00D21F99" w:rsidRPr="00D21F99">
              <w:rPr>
                <w:rFonts w:ascii="Arial" w:hAnsi="Arial" w:cs="Arial"/>
                <w:sz w:val="24"/>
                <w:szCs w:val="24"/>
                <w:lang w:val="el-GR"/>
              </w:rPr>
              <w:t>της φράσης «είναι ημεδαπός ή»</w:t>
            </w:r>
            <w:r w:rsidRPr="00D21F99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</w:p>
          <w:p w14:paraId="29BBCDA3" w14:textId="77777777" w:rsidR="00FD7213" w:rsidRPr="00D21F99" w:rsidRDefault="00FD7213" w:rsidP="00D21F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92"/>
            </w:tblGrid>
            <w:tr w:rsidR="00FD7213" w:rsidRPr="00010C4A" w14:paraId="43613A57" w14:textId="77777777" w:rsidTr="002566C0">
              <w:tc>
                <w:tcPr>
                  <w:tcW w:w="7097" w:type="dxa"/>
                </w:tcPr>
                <w:p w14:paraId="24CCA3BC" w14:textId="77777777" w:rsidR="00D21F99" w:rsidRDefault="00D21F99" w:rsidP="00D21F99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ind w:left="209" w:hanging="283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Το άρθρο 15 του βασικού νόμου τροποποιείται ως ακολούθως:</w:t>
                  </w:r>
                </w:p>
                <w:p w14:paraId="59B21BA4" w14:textId="77777777" w:rsidR="00D21F99" w:rsidRDefault="00D21F99" w:rsidP="00D21F99">
                  <w:pPr>
                    <w:pStyle w:val="ListParagraph"/>
                    <w:spacing w:line="360" w:lineRule="auto"/>
                    <w:ind w:left="209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20DB5333" w14:textId="77777777" w:rsidR="00D21F99" w:rsidRDefault="00D21F99" w:rsidP="00D21F99">
                  <w:pPr>
                    <w:pStyle w:val="ListParagraph"/>
                    <w:spacing w:line="360" w:lineRule="auto"/>
                    <w:ind w:left="209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lastRenderedPageBreak/>
                    <w:t xml:space="preserve">Με την προσθήκη 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αμέσως μετά τη φράση «προς τον σκοπό της δίωξης» (πρώτη γραμμή)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 του εδαφίου (2) 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της φράσης «είναι ημεδαπός ή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» 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.</w:t>
                  </w:r>
                </w:p>
                <w:p w14:paraId="19137F3B" w14:textId="77777777" w:rsidR="00010C4A" w:rsidRPr="00D21F99" w:rsidRDefault="00010C4A" w:rsidP="00D21F99">
                  <w:pPr>
                    <w:pStyle w:val="ListParagraph"/>
                    <w:spacing w:line="360" w:lineRule="auto"/>
                    <w:ind w:left="209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1C04BAA6" w14:textId="77777777" w:rsidR="00D21F99" w:rsidRDefault="00D21F99" w:rsidP="00D21F99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ind w:left="189" w:hanging="283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Το άρθρο 24 του βασικού νόμου τροποποιείται ως ακολούθως</w:t>
                  </w:r>
                  <w:r w:rsidRPr="00B67263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:</w:t>
                  </w:r>
                </w:p>
                <w:p w14:paraId="7C793F54" w14:textId="77777777" w:rsidR="00D21F99" w:rsidRDefault="00D21F99" w:rsidP="00B67263">
                  <w:pPr>
                    <w:pStyle w:val="ListParagraph"/>
                    <w:spacing w:line="360" w:lineRule="auto"/>
                    <w:ind w:left="189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527F6F3A" w14:textId="77777777" w:rsidR="00B67263" w:rsidRDefault="00B67263" w:rsidP="002C3C84">
                  <w:pPr>
                    <w:pStyle w:val="ListParagraph"/>
                    <w:spacing w:line="360" w:lineRule="auto"/>
                    <w:ind w:left="189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B67263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Με την προσθήκη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</w:t>
                  </w:r>
                  <w:r w:rsidRPr="00B67263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αμέσως μετά τις λέξεις «Ανώτατο Δικαστήριο»)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(πρώτη γραμμή) του εδαφίου (1) της φράσης </w:t>
                  </w:r>
                  <w:r w:rsidRPr="00B67263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«επί νομικών σημείων μόνο,». </w:t>
                  </w:r>
                </w:p>
                <w:p w14:paraId="7DDAEBB1" w14:textId="77777777" w:rsidR="00B67263" w:rsidRPr="00B67263" w:rsidRDefault="00B67263" w:rsidP="00B67263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5290ED85" w14:textId="77777777" w:rsidR="00B67263" w:rsidRPr="00B67263" w:rsidRDefault="00B67263" w:rsidP="00B67263">
                  <w:pPr>
                    <w:pStyle w:val="ListParagraph"/>
                    <w:spacing w:line="360" w:lineRule="auto"/>
                    <w:ind w:left="189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1CF4E9D9" w14:textId="77777777" w:rsidR="00B67263" w:rsidRPr="00B67263" w:rsidRDefault="007268EC" w:rsidP="006103EB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ind w:left="189" w:hanging="283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B67263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Τ</w:t>
                  </w:r>
                  <w:r w:rsidRPr="00B67263">
                    <w:rPr>
                      <w:rFonts w:ascii="Arial" w:hAnsi="Arial" w:cs="Arial"/>
                      <w:sz w:val="24"/>
                      <w:szCs w:val="24"/>
                    </w:rPr>
                    <w:t>o</w:t>
                  </w:r>
                  <w:r w:rsidRPr="00B67263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</w:t>
                  </w:r>
                  <w:r w:rsidR="00B67263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άρθρο 29 του βασικού νόμου τροποποιείται ως ακολούθως</w:t>
                  </w:r>
                  <w:r w:rsidR="00B67263" w:rsidRPr="00B67263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:</w:t>
                  </w:r>
                </w:p>
                <w:p w14:paraId="7ABBFE33" w14:textId="77777777" w:rsidR="002C3C84" w:rsidRDefault="002C3C84" w:rsidP="002C3C84">
                  <w:pPr>
                    <w:pStyle w:val="ListParagraph"/>
                    <w:spacing w:line="360" w:lineRule="auto"/>
                    <w:ind w:left="204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1913D89A" w14:textId="77777777" w:rsidR="002C3C84" w:rsidRPr="00D21F99" w:rsidRDefault="002C3C84" w:rsidP="002C3C84">
                  <w:pPr>
                    <w:pStyle w:val="ListParagraph"/>
                    <w:spacing w:line="360" w:lineRule="auto"/>
                    <w:ind w:left="204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Μ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ε την αφαίρεση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αμέσως 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μετά τη φράση «ο Δικαστής» (δεύτερη</w:t>
                  </w:r>
                  <w:r w:rsidR="00E5370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γραμμή</w:t>
                  </w:r>
                  <w:r w:rsidR="00E5370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)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, </w:t>
                  </w:r>
                  <w:r w:rsidR="00E5370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του εδαφίου (2)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της φράσης 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«αφού υποβληθεί γραπτό αίτημα από την Κεντρική Αρχή»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.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</w:t>
                  </w:r>
                </w:p>
                <w:p w14:paraId="296938FB" w14:textId="77777777" w:rsidR="002C3C84" w:rsidRDefault="002C3C84" w:rsidP="002C3C84">
                  <w:pPr>
                    <w:pStyle w:val="ListParagraph"/>
                    <w:spacing w:line="360" w:lineRule="auto"/>
                    <w:ind w:left="204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44BBAF07" w14:textId="77777777" w:rsidR="00E53704" w:rsidRPr="00D21F99" w:rsidRDefault="00E53704" w:rsidP="00E53704">
                  <w:pPr>
                    <w:pStyle w:val="ListParagraph"/>
                    <w:spacing w:line="360" w:lineRule="auto"/>
                    <w:ind w:left="204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Μ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ε την αφαίρεση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αμέσως 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μετά τη φράση «ο Δικαστής» (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τρίτη 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γραμμή)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, του εδαφίου  (3) της φράσης 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«αφού υποβληθεί γραπτό αίτημα από την Κεντρική Αρχή»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.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</w:t>
                  </w:r>
                </w:p>
                <w:p w14:paraId="6F368212" w14:textId="77777777" w:rsidR="002C3C84" w:rsidRDefault="002C3C84" w:rsidP="002C3C84">
                  <w:pPr>
                    <w:pStyle w:val="ListParagraph"/>
                    <w:spacing w:line="360" w:lineRule="auto"/>
                    <w:ind w:left="204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1928E746" w14:textId="77777777" w:rsidR="0005513A" w:rsidRPr="00D21F99" w:rsidRDefault="0005513A" w:rsidP="00D21F99">
                  <w:pPr>
                    <w:pStyle w:val="ListParagraph"/>
                    <w:spacing w:line="360" w:lineRule="auto"/>
                    <w:ind w:left="204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513D3049" w14:textId="77777777" w:rsidR="00FB2F66" w:rsidRPr="00D21F99" w:rsidRDefault="00052F66" w:rsidP="00D21F99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ind w:left="209" w:hanging="283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Το </w:t>
                  </w:r>
                  <w:r w:rsidR="00FB2F66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άρθρο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32</w:t>
                  </w:r>
                  <w:r w:rsidR="0005513A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του βασικού νόμου </w:t>
                  </w:r>
                  <w:r w:rsidR="0005513A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τροποποιείται </w:t>
                  </w:r>
                  <w:r w:rsidR="00FB2F66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ως ακολούθως:</w:t>
                  </w:r>
                </w:p>
                <w:p w14:paraId="337241C7" w14:textId="77777777" w:rsidR="00FB2F66" w:rsidRPr="00D21F99" w:rsidRDefault="00FB2F66" w:rsidP="00D21F99">
                  <w:pPr>
                    <w:pStyle w:val="ListParagraph"/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4152404A" w14:textId="77777777" w:rsidR="0083432D" w:rsidRPr="00D21F99" w:rsidRDefault="00FB2F66" w:rsidP="0083432D">
                  <w:pPr>
                    <w:pStyle w:val="ListParagraph"/>
                    <w:spacing w:line="360" w:lineRule="auto"/>
                    <w:ind w:left="209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(α) </w:t>
                  </w:r>
                  <w:r w:rsidR="002C3C8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Μ</w:t>
                  </w:r>
                  <w:r w:rsidR="0005513A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ε την </w:t>
                  </w:r>
                  <w:r w:rsidR="00052F66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προσθήκη </w:t>
                  </w:r>
                  <w:r w:rsidR="002C3C8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αμέσως </w:t>
                  </w:r>
                  <w:r w:rsidR="002C3C84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μετά τη λέξη «ημεδαπός» (πρώτη γραμμή)</w:t>
                  </w:r>
                  <w:r w:rsidR="002C3C8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</w:t>
                  </w:r>
                  <w:r w:rsidR="00E5370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του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εδ</w:t>
                  </w:r>
                  <w:r w:rsidR="00E5370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αφίου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(3)</w:t>
                  </w:r>
                  <w:r w:rsidR="002C3C8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,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</w:t>
                  </w:r>
                  <w:r w:rsidR="00052F66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της φράσης «ή κατοικεί στην Κυπριακή Δημοκρατία» και τη διαγραφή της </w:t>
                  </w:r>
                  <w:r w:rsid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φράσης  </w:t>
                  </w:r>
                  <w:r w:rsidR="0083432D">
                    <w:rPr>
                      <w:lang w:val="el-GR"/>
                    </w:rPr>
                    <w:t>«</w:t>
                  </w:r>
                  <w:r w:rsidR="0083432D" w:rsidRP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Στην περίπτωση που το πρόσωπο αυτό κατοικεί στην Κύπρο η αρμόδια αρχή μπορεί να αρνηθεί τη </w:t>
                  </w:r>
                  <w:proofErr w:type="spellStart"/>
                  <w:r w:rsidR="0083432D" w:rsidRP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διαμεταγωγή</w:t>
                  </w:r>
                  <w:proofErr w:type="spellEnd"/>
                  <w:r w:rsidR="0083432D" w:rsidRP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του</w:t>
                  </w:r>
                  <w:r w:rsid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»</w:t>
                  </w:r>
                  <w:r w:rsidR="0083432D" w:rsidRP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.</w:t>
                  </w:r>
                </w:p>
                <w:p w14:paraId="0B793E4A" w14:textId="77777777" w:rsidR="00FB2F66" w:rsidRPr="00D21F99" w:rsidRDefault="0083432D" w:rsidP="00D21F99">
                  <w:pPr>
                    <w:pStyle w:val="ListParagraph"/>
                    <w:spacing w:line="360" w:lineRule="auto"/>
                    <w:ind w:left="209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</w:t>
                  </w:r>
                </w:p>
                <w:p w14:paraId="45574379" w14:textId="77777777" w:rsidR="00052F66" w:rsidRPr="00D21F99" w:rsidRDefault="00FB2F66" w:rsidP="00D21F99">
                  <w:pPr>
                    <w:pStyle w:val="ListParagraph"/>
                    <w:spacing w:line="360" w:lineRule="auto"/>
                    <w:ind w:left="209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(β) </w:t>
                  </w:r>
                  <w:r w:rsidR="00052F66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με την προσθήκη </w:t>
                  </w:r>
                  <w:r w:rsid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αμέσως </w:t>
                  </w:r>
                  <w:r w:rsidR="0083432D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μετά τη λέξη «ημεδαπός» (</w:t>
                  </w:r>
                  <w:r w:rsidR="0069522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δεύτερη</w:t>
                  </w:r>
                  <w:r w:rsidR="0083432D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γραμμή)</w:t>
                  </w:r>
                  <w:r w:rsid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</w:t>
                  </w:r>
                  <w:r w:rsidR="00E5370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του </w:t>
                  </w:r>
                  <w:proofErr w:type="spellStart"/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εδ</w:t>
                  </w:r>
                  <w:r w:rsidR="00E5370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αφιού</w:t>
                  </w:r>
                  <w:proofErr w:type="spellEnd"/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(4)</w:t>
                  </w:r>
                  <w:r w:rsid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,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</w:t>
                  </w:r>
                  <w:r w:rsidR="00052F66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της φράσης «ή κατοικεί στην Κυπριακή Δημοκρατία»</w:t>
                  </w:r>
                  <w:r w:rsidR="0083432D" w:rsidRPr="0083432D">
                    <w:rPr>
                      <w:lang w:val="el-GR"/>
                    </w:rPr>
                    <w:t xml:space="preserve"> </w:t>
                  </w:r>
                  <w:r w:rsidR="0083432D">
                    <w:rPr>
                      <w:lang w:val="el-GR"/>
                    </w:rPr>
                    <w:t xml:space="preserve"> </w:t>
                  </w:r>
                  <w:r w:rsidR="0083432D" w:rsidRP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και τη διαγραφή της φράσης</w:t>
                  </w:r>
                  <w:r w:rsidR="0083432D">
                    <w:rPr>
                      <w:lang w:val="el-GR"/>
                    </w:rPr>
                    <w:t xml:space="preserve"> «</w:t>
                  </w:r>
                  <w:r w:rsidR="0083432D" w:rsidRP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Στην περίπτωση που το πρόσωπο αυτό κατοικεί στην Κύπρο </w:t>
                  </w:r>
                  <w:r w:rsidR="0083432D" w:rsidRP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lastRenderedPageBreak/>
                    <w:t xml:space="preserve">η αρμόδια αρχή μπορεί να αρνηθεί τη </w:t>
                  </w:r>
                  <w:proofErr w:type="spellStart"/>
                  <w:r w:rsidR="0083432D" w:rsidRP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διαμεταγωγή</w:t>
                  </w:r>
                  <w:proofErr w:type="spellEnd"/>
                  <w:r w:rsidR="0083432D" w:rsidRP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του</w:t>
                  </w:r>
                  <w:r w:rsid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»</w:t>
                  </w:r>
                  <w:r w:rsidR="0083432D" w:rsidRP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.</w:t>
                  </w:r>
                </w:p>
                <w:p w14:paraId="3FC44157" w14:textId="77777777" w:rsidR="00052F66" w:rsidRPr="00D21F99" w:rsidRDefault="00052F66" w:rsidP="00D21F99">
                  <w:pPr>
                    <w:pStyle w:val="ListParagraph"/>
                    <w:spacing w:line="360" w:lineRule="auto"/>
                    <w:ind w:left="209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670B6BE9" w14:textId="77777777" w:rsidR="00695224" w:rsidRPr="00D21F99" w:rsidRDefault="00FB2F66" w:rsidP="00695224">
                  <w:pPr>
                    <w:pStyle w:val="ListParagraph"/>
                    <w:spacing w:line="360" w:lineRule="auto"/>
                    <w:ind w:left="209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(γ</w:t>
                  </w:r>
                  <w:r w:rsidR="00A8559E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) </w:t>
                  </w:r>
                  <w:r w:rsidR="00052F66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με την αντικατάσταση</w:t>
                  </w:r>
                  <w:r w:rsid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αμέσως μετά τη φράση </w:t>
                  </w:r>
                  <w:r w:rsidR="0083432D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«η αρμόδια αρχή αρνείται τη </w:t>
                  </w:r>
                  <w:proofErr w:type="spellStart"/>
                  <w:r w:rsidR="0083432D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διαμεταγωγή</w:t>
                  </w:r>
                  <w:proofErr w:type="spellEnd"/>
                  <w:r w:rsidR="0083432D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του, εκτός εάν διασφαλιστεί ότι,» </w:t>
                  </w:r>
                  <w:r w:rsid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</w:t>
                  </w:r>
                  <w:r w:rsidR="00052F66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</w:t>
                  </w:r>
                  <w:r w:rsid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(δεύτερη γραμμή) </w:t>
                  </w:r>
                  <w:r w:rsidR="00E5370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του εδαφίου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(4)</w:t>
                  </w:r>
                  <w:r w:rsid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, </w:t>
                  </w:r>
                  <w:r w:rsidR="00A8559E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από τη φράση «η </w:t>
                  </w:r>
                  <w:proofErr w:type="spellStart"/>
                  <w:r w:rsidR="00A8559E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διαμεταγωγή</w:t>
                  </w:r>
                  <w:proofErr w:type="spellEnd"/>
                  <w:r w:rsidR="00A8559E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μπορεί να εξαρτηθεί από την προ</w:t>
                  </w:r>
                  <w:r w:rsidR="0069522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ϋπόθεση ότι το εν λόγω πρόσωπο»</w:t>
                  </w:r>
                  <w:r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και </w:t>
                  </w:r>
                  <w:r w:rsidR="00A8559E" w:rsidRPr="00D21F99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με τη διαγραφή της </w:t>
                  </w:r>
                  <w:r w:rsidR="0069522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φράσης «</w:t>
                  </w:r>
                  <w:r w:rsidR="00695224" w:rsidRP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Στην περίπτωση που το πρόσωπο αυτό κατοικεί στην Κύπρο η αρμόδια αρχή μπορεί να αρνηθεί τη </w:t>
                  </w:r>
                  <w:proofErr w:type="spellStart"/>
                  <w:r w:rsidR="00695224" w:rsidRP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διαμεταγωγή</w:t>
                  </w:r>
                  <w:proofErr w:type="spellEnd"/>
                  <w:r w:rsidR="00695224" w:rsidRP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 του</w:t>
                  </w:r>
                  <w:r w:rsidR="0069522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»</w:t>
                  </w:r>
                  <w:r w:rsidR="00695224" w:rsidRPr="0083432D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.</w:t>
                  </w:r>
                </w:p>
                <w:p w14:paraId="3C37CA86" w14:textId="77777777" w:rsidR="00A8559E" w:rsidRPr="00D21F99" w:rsidRDefault="00A8559E" w:rsidP="00695224">
                  <w:pPr>
                    <w:pStyle w:val="ListParagraph"/>
                    <w:spacing w:line="360" w:lineRule="auto"/>
                    <w:ind w:left="209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407F646" w14:textId="77777777" w:rsidR="00135BDB" w:rsidRPr="00D21F99" w:rsidRDefault="00135BDB" w:rsidP="00D21F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07F86AA" w14:textId="77777777" w:rsidR="00802B4A" w:rsidRPr="00D21F99" w:rsidRDefault="00802B4A" w:rsidP="00D21F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75DFA2D" w14:textId="77777777" w:rsidR="00135BDB" w:rsidRPr="00D21F99" w:rsidRDefault="00135BDB" w:rsidP="00D21F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7EBDCFE6" w14:textId="77777777" w:rsidR="00373C50" w:rsidRPr="00915C42" w:rsidRDefault="00373C50" w:rsidP="00695224">
      <w:pPr>
        <w:tabs>
          <w:tab w:val="left" w:pos="1710"/>
        </w:tabs>
        <w:spacing w:after="0"/>
        <w:ind w:right="-270"/>
        <w:rPr>
          <w:lang w:val="el-GR"/>
        </w:rPr>
      </w:pPr>
    </w:p>
    <w:sectPr w:rsidR="00373C50" w:rsidRPr="00915C42" w:rsidSect="0058447E">
      <w:pgSz w:w="12240" w:h="15840"/>
      <w:pgMar w:top="851" w:right="117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66883"/>
    <w:multiLevelType w:val="hybridMultilevel"/>
    <w:tmpl w:val="D31C6E98"/>
    <w:lvl w:ilvl="0" w:tplc="7026DEC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C8A2D30"/>
    <w:multiLevelType w:val="multilevel"/>
    <w:tmpl w:val="76F8903A"/>
    <w:lvl w:ilvl="0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2"/>
    <w:rsid w:val="00010C4A"/>
    <w:rsid w:val="00013E96"/>
    <w:rsid w:val="00051FE4"/>
    <w:rsid w:val="00052F66"/>
    <w:rsid w:val="0005513A"/>
    <w:rsid w:val="000570AD"/>
    <w:rsid w:val="0007185E"/>
    <w:rsid w:val="00075334"/>
    <w:rsid w:val="00076D55"/>
    <w:rsid w:val="000970E8"/>
    <w:rsid w:val="000A3151"/>
    <w:rsid w:val="000B4389"/>
    <w:rsid w:val="000D2B73"/>
    <w:rsid w:val="000F7621"/>
    <w:rsid w:val="000F796A"/>
    <w:rsid w:val="00130035"/>
    <w:rsid w:val="00135BDB"/>
    <w:rsid w:val="001641D2"/>
    <w:rsid w:val="00177EFB"/>
    <w:rsid w:val="0019067C"/>
    <w:rsid w:val="001A3602"/>
    <w:rsid w:val="001D3EDB"/>
    <w:rsid w:val="001F25DE"/>
    <w:rsid w:val="00243776"/>
    <w:rsid w:val="00255071"/>
    <w:rsid w:val="002566C0"/>
    <w:rsid w:val="002C3C84"/>
    <w:rsid w:val="002D0ED5"/>
    <w:rsid w:val="002F0659"/>
    <w:rsid w:val="002F4EA9"/>
    <w:rsid w:val="00366CB1"/>
    <w:rsid w:val="00373C50"/>
    <w:rsid w:val="00396310"/>
    <w:rsid w:val="003D714E"/>
    <w:rsid w:val="003E2579"/>
    <w:rsid w:val="003E7D0E"/>
    <w:rsid w:val="00402A70"/>
    <w:rsid w:val="004056AB"/>
    <w:rsid w:val="00446AE1"/>
    <w:rsid w:val="00484424"/>
    <w:rsid w:val="004C0784"/>
    <w:rsid w:val="004E29DB"/>
    <w:rsid w:val="004F0997"/>
    <w:rsid w:val="00581FD4"/>
    <w:rsid w:val="0058447E"/>
    <w:rsid w:val="005D0C2E"/>
    <w:rsid w:val="005D6300"/>
    <w:rsid w:val="005E7463"/>
    <w:rsid w:val="005F52F1"/>
    <w:rsid w:val="00604D46"/>
    <w:rsid w:val="006547F9"/>
    <w:rsid w:val="006551C3"/>
    <w:rsid w:val="00655C35"/>
    <w:rsid w:val="00657992"/>
    <w:rsid w:val="006641BD"/>
    <w:rsid w:val="006644F4"/>
    <w:rsid w:val="0067211F"/>
    <w:rsid w:val="00695224"/>
    <w:rsid w:val="006A5FB6"/>
    <w:rsid w:val="006B21E4"/>
    <w:rsid w:val="006B581C"/>
    <w:rsid w:val="006F46F5"/>
    <w:rsid w:val="006F6317"/>
    <w:rsid w:val="007050B7"/>
    <w:rsid w:val="00717739"/>
    <w:rsid w:val="007268EC"/>
    <w:rsid w:val="0076029D"/>
    <w:rsid w:val="00770139"/>
    <w:rsid w:val="007C019B"/>
    <w:rsid w:val="007D6AC6"/>
    <w:rsid w:val="00802B4A"/>
    <w:rsid w:val="00831247"/>
    <w:rsid w:val="00832EC1"/>
    <w:rsid w:val="0083432D"/>
    <w:rsid w:val="00841D7D"/>
    <w:rsid w:val="00896AEC"/>
    <w:rsid w:val="00896DED"/>
    <w:rsid w:val="008A2929"/>
    <w:rsid w:val="008A2E28"/>
    <w:rsid w:val="008D2DAD"/>
    <w:rsid w:val="008D7C9B"/>
    <w:rsid w:val="008F6F37"/>
    <w:rsid w:val="00903DD0"/>
    <w:rsid w:val="00906C7D"/>
    <w:rsid w:val="00915C42"/>
    <w:rsid w:val="00927792"/>
    <w:rsid w:val="00944FAF"/>
    <w:rsid w:val="00945F6F"/>
    <w:rsid w:val="00952378"/>
    <w:rsid w:val="00954972"/>
    <w:rsid w:val="009567DC"/>
    <w:rsid w:val="00984F0B"/>
    <w:rsid w:val="00997515"/>
    <w:rsid w:val="009A34E1"/>
    <w:rsid w:val="009C0C07"/>
    <w:rsid w:val="009D3CCE"/>
    <w:rsid w:val="009D439F"/>
    <w:rsid w:val="009F2D01"/>
    <w:rsid w:val="00A039CC"/>
    <w:rsid w:val="00A2309B"/>
    <w:rsid w:val="00A60668"/>
    <w:rsid w:val="00A60CFE"/>
    <w:rsid w:val="00A80A4F"/>
    <w:rsid w:val="00A8559E"/>
    <w:rsid w:val="00A86E55"/>
    <w:rsid w:val="00A95A94"/>
    <w:rsid w:val="00AA5D15"/>
    <w:rsid w:val="00AD1018"/>
    <w:rsid w:val="00AD75B8"/>
    <w:rsid w:val="00AE6ACE"/>
    <w:rsid w:val="00B108D9"/>
    <w:rsid w:val="00B44D67"/>
    <w:rsid w:val="00B57D2C"/>
    <w:rsid w:val="00B6087A"/>
    <w:rsid w:val="00B617EF"/>
    <w:rsid w:val="00B67263"/>
    <w:rsid w:val="00B71FEA"/>
    <w:rsid w:val="00BB38FD"/>
    <w:rsid w:val="00BF3E07"/>
    <w:rsid w:val="00C0501B"/>
    <w:rsid w:val="00C17C74"/>
    <w:rsid w:val="00C74113"/>
    <w:rsid w:val="00CB0090"/>
    <w:rsid w:val="00CB3B40"/>
    <w:rsid w:val="00CB669A"/>
    <w:rsid w:val="00CC0688"/>
    <w:rsid w:val="00D05BF4"/>
    <w:rsid w:val="00D11ABD"/>
    <w:rsid w:val="00D21F99"/>
    <w:rsid w:val="00D62735"/>
    <w:rsid w:val="00D66BE7"/>
    <w:rsid w:val="00D761F2"/>
    <w:rsid w:val="00DB5010"/>
    <w:rsid w:val="00DE4BD2"/>
    <w:rsid w:val="00DF055A"/>
    <w:rsid w:val="00DF307B"/>
    <w:rsid w:val="00E06F1F"/>
    <w:rsid w:val="00E15AE0"/>
    <w:rsid w:val="00E47148"/>
    <w:rsid w:val="00E50FFF"/>
    <w:rsid w:val="00E53704"/>
    <w:rsid w:val="00E55239"/>
    <w:rsid w:val="00EA33AD"/>
    <w:rsid w:val="00EA3AC3"/>
    <w:rsid w:val="00EA7C80"/>
    <w:rsid w:val="00EB349A"/>
    <w:rsid w:val="00EB6156"/>
    <w:rsid w:val="00F010E0"/>
    <w:rsid w:val="00F069E4"/>
    <w:rsid w:val="00F21D80"/>
    <w:rsid w:val="00F53F79"/>
    <w:rsid w:val="00F629E1"/>
    <w:rsid w:val="00FB2F66"/>
    <w:rsid w:val="00FB7008"/>
    <w:rsid w:val="00FC6EB7"/>
    <w:rsid w:val="00FD64D6"/>
    <w:rsid w:val="00FD7213"/>
    <w:rsid w:val="00FE0C2A"/>
    <w:rsid w:val="00FE7563"/>
    <w:rsid w:val="00FE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2BEB"/>
  <w15:docId w15:val="{D6081B51-8C92-4C26-A0CD-78861CB4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B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0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FE8E-8DEA-462C-9BC2-437646B6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Georgios Isaia</cp:lastModifiedBy>
  <cp:revision>2</cp:revision>
  <cp:lastPrinted>2021-05-26T09:01:00Z</cp:lastPrinted>
  <dcterms:created xsi:type="dcterms:W3CDTF">2021-09-20T05:41:00Z</dcterms:created>
  <dcterms:modified xsi:type="dcterms:W3CDTF">2021-09-20T05:41:00Z</dcterms:modified>
</cp:coreProperties>
</file>