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8E40" w14:textId="77777777" w:rsidR="00331493" w:rsidRDefault="00331493" w:rsidP="00331493">
      <w:pPr>
        <w:spacing w:after="0" w:line="240" w:lineRule="auto"/>
        <w:rPr>
          <w:rFonts w:ascii="Arial" w:hAnsi="Arial" w:cs="Arial"/>
          <w:b/>
          <w:lang w:val="el-GR"/>
        </w:rPr>
      </w:pPr>
    </w:p>
    <w:p w14:paraId="14FFEA78" w14:textId="77777777" w:rsidR="00331493" w:rsidRDefault="00331493" w:rsidP="00331493">
      <w:pPr>
        <w:spacing w:after="0" w:line="240" w:lineRule="auto"/>
        <w:rPr>
          <w:rFonts w:ascii="Arial" w:hAnsi="Arial" w:cs="Arial"/>
          <w:b/>
          <w:lang w:val="el-GR"/>
        </w:rPr>
      </w:pPr>
      <w:r w:rsidRPr="00331493">
        <w:rPr>
          <w:rFonts w:ascii="Arial" w:hAnsi="Arial" w:cs="Arial"/>
          <w:b/>
        </w:rPr>
        <w:t>Y</w:t>
      </w:r>
      <w:r w:rsidRPr="00331493">
        <w:rPr>
          <w:rFonts w:ascii="Arial" w:hAnsi="Arial" w:cs="Arial"/>
          <w:b/>
          <w:lang w:val="el-GR"/>
        </w:rPr>
        <w:t>.Δ.Δ.Τ.12.03.001.735.001, 04.02.007.004.005</w:t>
      </w:r>
    </w:p>
    <w:p w14:paraId="38D2C06E" w14:textId="77777777" w:rsidR="00331493" w:rsidRDefault="00331493" w:rsidP="00331493">
      <w:pPr>
        <w:spacing w:after="0" w:line="240" w:lineRule="auto"/>
        <w:rPr>
          <w:rFonts w:ascii="Arial" w:hAnsi="Arial" w:cs="Arial"/>
          <w:b/>
          <w:lang w:val="el-GR"/>
        </w:rPr>
      </w:pPr>
    </w:p>
    <w:p w14:paraId="082D16B4" w14:textId="77777777" w:rsidR="00331493" w:rsidRPr="00331493" w:rsidRDefault="00331493" w:rsidP="00331493">
      <w:pPr>
        <w:spacing w:after="0" w:line="240" w:lineRule="auto"/>
        <w:rPr>
          <w:rFonts w:ascii="Arial" w:hAnsi="Arial" w:cs="Arial"/>
          <w:b/>
          <w:lang w:val="el-GR"/>
        </w:rPr>
      </w:pPr>
    </w:p>
    <w:p w14:paraId="44CCA998" w14:textId="77777777" w:rsidR="00331493" w:rsidRPr="00331493" w:rsidRDefault="00331493" w:rsidP="00331493">
      <w:pPr>
        <w:spacing w:after="0" w:line="240" w:lineRule="auto"/>
        <w:rPr>
          <w:rFonts w:ascii="Arial" w:hAnsi="Arial" w:cs="Arial"/>
          <w:sz w:val="23"/>
          <w:szCs w:val="23"/>
          <w:lang w:val="el-GR"/>
        </w:rPr>
      </w:pPr>
    </w:p>
    <w:p w14:paraId="7A92FA84" w14:textId="77777777" w:rsidR="00331493" w:rsidRPr="00331493" w:rsidRDefault="00331493" w:rsidP="00331493">
      <w:pPr>
        <w:spacing w:after="0" w:line="240" w:lineRule="auto"/>
        <w:jc w:val="center"/>
        <w:rPr>
          <w:rFonts w:ascii="Arial" w:hAnsi="Arial" w:cs="Arial"/>
          <w:b/>
          <w:sz w:val="23"/>
          <w:szCs w:val="23"/>
          <w:lang w:val="el-GR"/>
        </w:rPr>
      </w:pPr>
      <w:r w:rsidRPr="00331493">
        <w:rPr>
          <w:rFonts w:ascii="Arial" w:hAnsi="Arial" w:cs="Arial"/>
          <w:b/>
          <w:sz w:val="23"/>
          <w:szCs w:val="23"/>
          <w:lang w:val="el-GR"/>
        </w:rPr>
        <w:t>ΕΙΣΗΓΗΤΙΚΗ ΕΚΘΕΣΗ</w:t>
      </w:r>
    </w:p>
    <w:p w14:paraId="73A19309" w14:textId="77777777" w:rsidR="00331493" w:rsidRPr="00331493" w:rsidRDefault="00331493" w:rsidP="00331493">
      <w:pPr>
        <w:spacing w:after="0" w:line="240" w:lineRule="auto"/>
        <w:jc w:val="center"/>
        <w:rPr>
          <w:rFonts w:ascii="Arial" w:hAnsi="Arial" w:cs="Arial"/>
          <w:b/>
          <w:sz w:val="23"/>
          <w:szCs w:val="23"/>
          <w:lang w:val="el-GR"/>
        </w:rPr>
      </w:pPr>
      <w:r>
        <w:rPr>
          <w:rFonts w:ascii="Arial" w:hAnsi="Arial" w:cs="Arial"/>
          <w:b/>
          <w:sz w:val="23"/>
          <w:szCs w:val="23"/>
          <w:lang w:val="el-GR"/>
        </w:rPr>
        <w:t>___</w:t>
      </w:r>
      <w:r w:rsidRPr="00331493">
        <w:rPr>
          <w:rFonts w:ascii="Arial" w:hAnsi="Arial" w:cs="Arial"/>
          <w:b/>
          <w:sz w:val="23"/>
          <w:szCs w:val="23"/>
          <w:lang w:val="el-GR"/>
        </w:rPr>
        <w:t>___________________________________________________________________</w:t>
      </w:r>
    </w:p>
    <w:p w14:paraId="1892AE7E" w14:textId="77777777" w:rsidR="00331493" w:rsidRPr="00331493" w:rsidRDefault="00331493" w:rsidP="00331493">
      <w:pPr>
        <w:pBdr>
          <w:bottom w:val="single" w:sz="12" w:space="6" w:color="auto"/>
        </w:pBdr>
        <w:spacing w:after="0" w:line="240" w:lineRule="auto"/>
        <w:jc w:val="center"/>
        <w:rPr>
          <w:rFonts w:ascii="Arial" w:hAnsi="Arial" w:cs="Arial"/>
          <w:b/>
          <w:sz w:val="23"/>
          <w:szCs w:val="23"/>
          <w:lang w:val="el-GR"/>
        </w:rPr>
      </w:pPr>
    </w:p>
    <w:p w14:paraId="4E3CD2BE"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r w:rsidRPr="00331493">
        <w:rPr>
          <w:rFonts w:ascii="Arial" w:hAnsi="Arial" w:cs="Arial"/>
          <w:b/>
          <w:sz w:val="23"/>
          <w:szCs w:val="23"/>
          <w:lang w:val="el-GR"/>
        </w:rPr>
        <w:t>Θέμα: Νομοσχέδιο με τίτλο «</w:t>
      </w:r>
      <w:r w:rsidRPr="00331493">
        <w:rPr>
          <w:rFonts w:ascii="Arial" w:hAnsi="Arial" w:cs="Arial"/>
          <w:b/>
          <w:sz w:val="23"/>
          <w:szCs w:val="23"/>
          <w:lang w:val="en-US"/>
        </w:rPr>
        <w:t>o</w:t>
      </w:r>
      <w:r w:rsidRPr="00331493">
        <w:rPr>
          <w:rFonts w:ascii="Arial" w:hAnsi="Arial" w:cs="Arial"/>
          <w:b/>
          <w:sz w:val="23"/>
          <w:szCs w:val="23"/>
          <w:lang w:val="el-GR"/>
        </w:rPr>
        <w:t xml:space="preserve"> Περί του Ευρωπαϊκού Εντάλματος Σύλληψης και  των Διαδικασιών Παράδοσης</w:t>
      </w:r>
      <w:r w:rsidR="00FC156C">
        <w:rPr>
          <w:rFonts w:ascii="Arial" w:hAnsi="Arial" w:cs="Arial"/>
          <w:b/>
          <w:sz w:val="23"/>
          <w:szCs w:val="23"/>
          <w:lang w:val="el-GR"/>
        </w:rPr>
        <w:t xml:space="preserve"> </w:t>
      </w:r>
      <w:proofErr w:type="spellStart"/>
      <w:r w:rsidR="00FC156C">
        <w:rPr>
          <w:rFonts w:ascii="Arial" w:hAnsi="Arial" w:cs="Arial"/>
          <w:b/>
          <w:sz w:val="23"/>
          <w:szCs w:val="23"/>
          <w:lang w:val="el-GR"/>
        </w:rPr>
        <w:t>Εκζητουμένων</w:t>
      </w:r>
      <w:proofErr w:type="spellEnd"/>
      <w:r w:rsidRPr="00331493">
        <w:rPr>
          <w:rFonts w:ascii="Arial" w:hAnsi="Arial" w:cs="Arial"/>
          <w:b/>
          <w:sz w:val="23"/>
          <w:szCs w:val="23"/>
          <w:lang w:val="el-GR"/>
        </w:rPr>
        <w:t xml:space="preserve"> μεταξύ των Κρατών Μελών της Ευρωπαϊκής Ένωσης (Τροποποιητικός) Νόμος του 2021»</w:t>
      </w:r>
    </w:p>
    <w:p w14:paraId="0E6D9AFE" w14:textId="77777777" w:rsidR="00331493" w:rsidRDefault="00331493" w:rsidP="00331493">
      <w:pPr>
        <w:tabs>
          <w:tab w:val="left" w:pos="0"/>
        </w:tabs>
        <w:ind w:left="142"/>
        <w:contextualSpacing/>
        <w:jc w:val="both"/>
        <w:rPr>
          <w:rFonts w:ascii="Arial" w:hAnsi="Arial" w:cs="Arial"/>
          <w:sz w:val="23"/>
          <w:szCs w:val="23"/>
          <w:lang w:val="el-GR"/>
        </w:rPr>
      </w:pPr>
    </w:p>
    <w:p w14:paraId="1DDFBF31" w14:textId="77777777" w:rsidR="00331493" w:rsidRPr="00331493" w:rsidRDefault="00AE6492" w:rsidP="00AE6492">
      <w:pPr>
        <w:tabs>
          <w:tab w:val="left" w:pos="0"/>
        </w:tabs>
        <w:contextualSpacing/>
        <w:jc w:val="both"/>
        <w:rPr>
          <w:rFonts w:ascii="Arial" w:hAnsi="Arial" w:cs="Arial"/>
          <w:sz w:val="23"/>
          <w:szCs w:val="23"/>
          <w:lang w:val="el-GR"/>
        </w:rPr>
      </w:pPr>
      <w:r>
        <w:rPr>
          <w:rFonts w:ascii="Arial" w:hAnsi="Arial" w:cs="Arial"/>
          <w:sz w:val="23"/>
          <w:szCs w:val="23"/>
          <w:lang w:val="el-GR"/>
        </w:rPr>
        <w:t>Σκοπός του παρόντος νομοσχεδίου</w:t>
      </w:r>
      <w:r w:rsidR="00331493" w:rsidRPr="00331493">
        <w:rPr>
          <w:rFonts w:ascii="Arial" w:hAnsi="Arial" w:cs="Arial"/>
          <w:sz w:val="23"/>
          <w:szCs w:val="23"/>
          <w:lang w:val="el-GR"/>
        </w:rPr>
        <w:t xml:space="preserve"> </w:t>
      </w:r>
      <w:r>
        <w:rPr>
          <w:rFonts w:ascii="Arial" w:hAnsi="Arial" w:cs="Arial"/>
          <w:sz w:val="23"/>
          <w:szCs w:val="23"/>
          <w:lang w:val="el-GR"/>
        </w:rPr>
        <w:t xml:space="preserve">είναι η </w:t>
      </w:r>
      <w:r w:rsidR="00331493" w:rsidRPr="00331493">
        <w:rPr>
          <w:rFonts w:ascii="Arial" w:hAnsi="Arial" w:cs="Arial"/>
          <w:sz w:val="23"/>
          <w:szCs w:val="23"/>
          <w:lang w:val="el-GR"/>
        </w:rPr>
        <w:t xml:space="preserve">τροποποίηση του βασικού Νόμου </w:t>
      </w:r>
      <w:r>
        <w:rPr>
          <w:rFonts w:ascii="Arial" w:hAnsi="Arial" w:cs="Arial"/>
          <w:sz w:val="23"/>
          <w:szCs w:val="23"/>
          <w:lang w:val="el-GR"/>
        </w:rPr>
        <w:t>με στόχο την ορθότερη μεταφορά</w:t>
      </w:r>
      <w:r w:rsidR="00331493" w:rsidRPr="00331493">
        <w:rPr>
          <w:rFonts w:ascii="Arial" w:hAnsi="Arial" w:cs="Arial"/>
          <w:sz w:val="23"/>
          <w:szCs w:val="23"/>
          <w:lang w:val="el-GR"/>
        </w:rPr>
        <w:t xml:space="preserve"> της Απόφασης – Πλαισίου 2002/584/ΔΕΥ αναφορικά με το Ευρωπαϊκό Ένταλμα Σύλληψης και τις διαδικασίες παράδοσης </w:t>
      </w:r>
      <w:proofErr w:type="spellStart"/>
      <w:r w:rsidR="00FC156C">
        <w:rPr>
          <w:rFonts w:ascii="Arial" w:hAnsi="Arial" w:cs="Arial"/>
          <w:sz w:val="23"/>
          <w:szCs w:val="23"/>
          <w:lang w:val="el-GR"/>
        </w:rPr>
        <w:t>Εκζητουμένων</w:t>
      </w:r>
      <w:proofErr w:type="spellEnd"/>
      <w:r w:rsidR="00FC156C">
        <w:rPr>
          <w:rFonts w:ascii="Arial" w:hAnsi="Arial" w:cs="Arial"/>
          <w:sz w:val="23"/>
          <w:szCs w:val="23"/>
          <w:lang w:val="el-GR"/>
        </w:rPr>
        <w:t xml:space="preserve"> </w:t>
      </w:r>
      <w:r w:rsidR="00331493" w:rsidRPr="00331493">
        <w:rPr>
          <w:rFonts w:ascii="Arial" w:hAnsi="Arial" w:cs="Arial"/>
          <w:sz w:val="23"/>
          <w:szCs w:val="23"/>
          <w:lang w:val="el-GR"/>
        </w:rPr>
        <w:t>μεταξύ των Κρατών Μελών, και</w:t>
      </w:r>
      <w:r>
        <w:rPr>
          <w:rFonts w:ascii="Arial" w:hAnsi="Arial" w:cs="Arial"/>
          <w:sz w:val="23"/>
          <w:szCs w:val="23"/>
          <w:lang w:val="el-GR"/>
        </w:rPr>
        <w:t xml:space="preserve"> η συμμόρφωση</w:t>
      </w:r>
      <w:r w:rsidR="00331493" w:rsidRPr="00331493">
        <w:rPr>
          <w:rFonts w:ascii="Arial" w:hAnsi="Arial" w:cs="Arial"/>
          <w:sz w:val="23"/>
          <w:szCs w:val="23"/>
          <w:lang w:val="el-GR"/>
        </w:rPr>
        <w:t xml:space="preserve"> με τους λόγους που έχει εγείρει η Ευρωπαϊκή Επιτροπή στην </w:t>
      </w:r>
      <w:r w:rsidR="00331493" w:rsidRPr="00331493">
        <w:rPr>
          <w:rFonts w:ascii="Arial" w:hAnsi="Arial" w:cs="Arial"/>
          <w:lang w:val="el-GR"/>
        </w:rPr>
        <w:t xml:space="preserve">Προειδοποιητική Επιστολή που απέστειλε στη Δημοκρατία με αρ. αναφ. </w:t>
      </w:r>
      <w:r w:rsidR="00331493" w:rsidRPr="00331493">
        <w:rPr>
          <w:rFonts w:ascii="Arial" w:hAnsi="Arial" w:cs="Arial"/>
          <w:lang w:val="en-US"/>
        </w:rPr>
        <w:t>C</w:t>
      </w:r>
      <w:r w:rsidR="00331493" w:rsidRPr="00331493">
        <w:rPr>
          <w:rFonts w:ascii="Arial" w:hAnsi="Arial" w:cs="Arial"/>
          <w:lang w:val="el-GR"/>
        </w:rPr>
        <w:t xml:space="preserve"> (2021)815 </w:t>
      </w:r>
      <w:r w:rsidR="00331493" w:rsidRPr="00331493">
        <w:rPr>
          <w:rFonts w:ascii="Arial" w:hAnsi="Arial" w:cs="Arial"/>
          <w:lang w:val="en-US"/>
        </w:rPr>
        <w:t>final</w:t>
      </w:r>
      <w:r w:rsidR="00331493" w:rsidRPr="00331493">
        <w:rPr>
          <w:rFonts w:ascii="Arial" w:hAnsi="Arial" w:cs="Arial"/>
          <w:lang w:val="el-GR"/>
        </w:rPr>
        <w:t xml:space="preserve"> και </w:t>
      </w:r>
      <w:proofErr w:type="spellStart"/>
      <w:r w:rsidR="00331493" w:rsidRPr="00331493">
        <w:rPr>
          <w:rFonts w:ascii="Arial" w:hAnsi="Arial" w:cs="Arial"/>
          <w:lang w:val="el-GR"/>
        </w:rPr>
        <w:t>ημερ</w:t>
      </w:r>
      <w:proofErr w:type="spellEnd"/>
      <w:r w:rsidR="00331493" w:rsidRPr="00331493">
        <w:rPr>
          <w:rFonts w:ascii="Arial" w:hAnsi="Arial" w:cs="Arial"/>
          <w:lang w:val="el-GR"/>
        </w:rPr>
        <w:t>. 18/2/2021.</w:t>
      </w:r>
    </w:p>
    <w:p w14:paraId="2BB68821" w14:textId="77777777" w:rsidR="00331493" w:rsidRPr="00331493" w:rsidRDefault="00331493" w:rsidP="00331493">
      <w:pPr>
        <w:tabs>
          <w:tab w:val="left" w:pos="0"/>
        </w:tabs>
        <w:ind w:left="142"/>
        <w:contextualSpacing/>
        <w:jc w:val="both"/>
        <w:rPr>
          <w:rFonts w:ascii="Arial" w:hAnsi="Arial" w:cs="Arial"/>
          <w:sz w:val="23"/>
          <w:szCs w:val="23"/>
          <w:lang w:val="el-GR"/>
        </w:rPr>
      </w:pPr>
    </w:p>
    <w:p w14:paraId="14911EDA" w14:textId="77777777" w:rsidR="00331493" w:rsidRPr="00331493" w:rsidRDefault="00331493" w:rsidP="00AE6492">
      <w:pPr>
        <w:tabs>
          <w:tab w:val="left" w:pos="0"/>
        </w:tabs>
        <w:contextualSpacing/>
        <w:jc w:val="both"/>
        <w:rPr>
          <w:rFonts w:ascii="Arial" w:hAnsi="Arial" w:cs="Arial"/>
          <w:sz w:val="23"/>
          <w:szCs w:val="23"/>
          <w:lang w:val="el-GR"/>
        </w:rPr>
      </w:pPr>
      <w:r w:rsidRPr="00331493">
        <w:rPr>
          <w:rFonts w:ascii="Arial" w:hAnsi="Arial" w:cs="Arial"/>
          <w:sz w:val="23"/>
          <w:szCs w:val="23"/>
          <w:lang w:val="el-GR"/>
        </w:rPr>
        <w:t>Συγκεκριμένα, ο βασικός νόμος τροποποιείται ώστε στις περιπτώσεις όπου η μη εκτέλεση του ευρωπαϊκού εντάλματος σύλληψης εξαρτάται από το γεγονός ότι η Δημοκρατία αναλαμβάνει την υποχρέωση να εκτελέσει την ποινή ή το μέτρο ασφαλείας σύμφωνα με τους ποινικούς της νόμους, τόσο οι ημεδαποί όσο και τα πρόσωπα που κατοικούν ή διαμένουν στη Δημοκρατία να τυγχάνουν της ίδιας ρύθμισης. Οι υφιστάμενες διατάξεις περιλαμβάνουν τις περιπτώσεις ημεδαπών προσώπων στους λόγους υποχρεωτικής μη εκτέλεσης σε αντίθεση με τις περιπτώσεις των προσώπων που κατοικούν οι διαμένουν στη Δημοκρατία που περιλαμβάνονται στους λόγους προαιρετικής μη εκτέλεσης, γεγονός που, ως επισημαίνει η Επιτροπή, δημιουργεί διάκριση.</w:t>
      </w:r>
    </w:p>
    <w:p w14:paraId="1E5941E7" w14:textId="77777777" w:rsidR="00331493" w:rsidRPr="00331493" w:rsidRDefault="00331493" w:rsidP="00331493">
      <w:pPr>
        <w:tabs>
          <w:tab w:val="left" w:pos="0"/>
        </w:tabs>
        <w:contextualSpacing/>
        <w:jc w:val="both"/>
        <w:rPr>
          <w:rFonts w:ascii="Arial" w:hAnsi="Arial" w:cs="Arial"/>
          <w:sz w:val="23"/>
          <w:szCs w:val="23"/>
          <w:lang w:val="el-GR"/>
        </w:rPr>
      </w:pPr>
      <w:r w:rsidRPr="00331493">
        <w:rPr>
          <w:rFonts w:ascii="Arial" w:hAnsi="Arial" w:cs="Arial"/>
          <w:sz w:val="23"/>
          <w:szCs w:val="23"/>
          <w:lang w:val="el-GR"/>
        </w:rPr>
        <w:t xml:space="preserve"> </w:t>
      </w:r>
    </w:p>
    <w:p w14:paraId="6141F0F1" w14:textId="77777777" w:rsidR="00331493" w:rsidRPr="00331493" w:rsidRDefault="00331493" w:rsidP="00AE6492">
      <w:pPr>
        <w:tabs>
          <w:tab w:val="left" w:pos="0"/>
        </w:tabs>
        <w:contextualSpacing/>
        <w:jc w:val="both"/>
        <w:rPr>
          <w:rFonts w:ascii="Arial" w:hAnsi="Arial" w:cs="Arial"/>
          <w:sz w:val="23"/>
          <w:szCs w:val="23"/>
          <w:lang w:val="el-GR"/>
        </w:rPr>
      </w:pPr>
      <w:r w:rsidRPr="00331493">
        <w:rPr>
          <w:rFonts w:ascii="Arial" w:hAnsi="Arial" w:cs="Arial"/>
          <w:sz w:val="23"/>
          <w:szCs w:val="23"/>
          <w:lang w:val="el-GR"/>
        </w:rPr>
        <w:t xml:space="preserve">Με το ίδιο τρόπο, τροποποιείται το εδάφιο 1 του άρθρου 15 του Νόμου ώστε οι εγγυήσεις που προβλέπονται για τη </w:t>
      </w:r>
      <w:proofErr w:type="spellStart"/>
      <w:r w:rsidRPr="00331493">
        <w:rPr>
          <w:rFonts w:ascii="Arial" w:hAnsi="Arial" w:cs="Arial"/>
          <w:sz w:val="23"/>
          <w:szCs w:val="23"/>
          <w:lang w:val="el-GR"/>
        </w:rPr>
        <w:t>διαμεταγωγή</w:t>
      </w:r>
      <w:proofErr w:type="spellEnd"/>
      <w:r w:rsidRPr="00331493">
        <w:rPr>
          <w:rFonts w:ascii="Arial" w:hAnsi="Arial" w:cs="Arial"/>
          <w:sz w:val="23"/>
          <w:szCs w:val="23"/>
          <w:lang w:val="el-GR"/>
        </w:rPr>
        <w:t xml:space="preserve"> στην Κυπριακή Δημοκρατία προσώπου </w:t>
      </w:r>
      <w:r w:rsidRPr="00331493">
        <w:rPr>
          <w:rFonts w:ascii="Arial" w:hAnsi="Arial" w:cs="Arial"/>
          <w:color w:val="000000"/>
          <w:sz w:val="23"/>
          <w:szCs w:val="23"/>
          <w:lang w:val="el-GR"/>
        </w:rPr>
        <w:t>που διώκεται στη βάση ευρωπαϊκού εντάλματος σύλληψης</w:t>
      </w:r>
      <w:r w:rsidRPr="00331493">
        <w:rPr>
          <w:rFonts w:ascii="Arial" w:hAnsi="Arial" w:cs="Arial"/>
          <w:sz w:val="23"/>
          <w:szCs w:val="23"/>
          <w:lang w:val="el-GR"/>
        </w:rPr>
        <w:t>, για να εκτίσει στην Κύπρο την στερητική της ελευθερίας ποινή ή το στερητικό της ελευθερίας μέτρο ασφαλείας που θα απαγγελθεί εναντίον του στο κράτος έκδοσης του εντάλματος, να ρυθμίζουν με όμοιο τρόπο τόσο τις περιπτώσεις των προσώπων που κατοικούν στη Δημοκρατία όσο και τις περιπτώσεις των ημεδαπών προσώπων.</w:t>
      </w:r>
    </w:p>
    <w:p w14:paraId="39C525F8" w14:textId="77777777" w:rsidR="00331493" w:rsidRPr="00331493" w:rsidRDefault="00331493" w:rsidP="00331493">
      <w:pPr>
        <w:ind w:left="720"/>
        <w:contextualSpacing/>
        <w:rPr>
          <w:rFonts w:ascii="Arial" w:hAnsi="Arial" w:cs="Arial"/>
          <w:sz w:val="23"/>
          <w:szCs w:val="23"/>
          <w:lang w:val="el-GR"/>
        </w:rPr>
      </w:pPr>
    </w:p>
    <w:p w14:paraId="5B4E5B75" w14:textId="77777777" w:rsidR="00331493" w:rsidRPr="00331493" w:rsidRDefault="00331493" w:rsidP="00AE6492">
      <w:pPr>
        <w:tabs>
          <w:tab w:val="left" w:pos="0"/>
        </w:tabs>
        <w:contextualSpacing/>
        <w:jc w:val="both"/>
        <w:rPr>
          <w:rFonts w:ascii="Arial" w:hAnsi="Arial" w:cs="Arial"/>
          <w:sz w:val="23"/>
          <w:szCs w:val="23"/>
          <w:lang w:val="el-GR"/>
        </w:rPr>
      </w:pPr>
      <w:r w:rsidRPr="00331493">
        <w:rPr>
          <w:rFonts w:ascii="Arial" w:hAnsi="Arial" w:cs="Arial"/>
          <w:sz w:val="23"/>
          <w:szCs w:val="23"/>
          <w:lang w:val="el-GR"/>
        </w:rPr>
        <w:t xml:space="preserve">Περαιτέρω, τροποποιούνται τα εδάφια 3 και 4 του άρθρου 32 του βασικού Νόμου ώστε οι όροι </w:t>
      </w:r>
      <w:proofErr w:type="spellStart"/>
      <w:r w:rsidRPr="00331493">
        <w:rPr>
          <w:rFonts w:ascii="Arial" w:hAnsi="Arial" w:cs="Arial"/>
          <w:sz w:val="23"/>
          <w:szCs w:val="23"/>
          <w:lang w:val="el-GR"/>
        </w:rPr>
        <w:t>διαμεταγωγής</w:t>
      </w:r>
      <w:proofErr w:type="spellEnd"/>
      <w:r w:rsidRPr="00331493">
        <w:rPr>
          <w:rFonts w:ascii="Arial" w:hAnsi="Arial" w:cs="Arial"/>
          <w:sz w:val="23"/>
          <w:szCs w:val="23"/>
          <w:lang w:val="el-GR"/>
        </w:rPr>
        <w:t xml:space="preserve"> προσώπων μέσω του εδάφους της Κυπριακής Δημοκρατίας να επεκταθούν και στις περιπτώσεις προσώπων που κατοικούν στη Δημοκρατία, επιπρόσθετα από τις περιπτώσεις των ημεδαπών.</w:t>
      </w:r>
    </w:p>
    <w:p w14:paraId="68177277" w14:textId="77777777" w:rsidR="00331493" w:rsidRPr="00331493" w:rsidRDefault="00331493" w:rsidP="00331493">
      <w:pPr>
        <w:ind w:left="720"/>
        <w:contextualSpacing/>
        <w:rPr>
          <w:rFonts w:ascii="Arial" w:hAnsi="Arial" w:cs="Arial"/>
          <w:sz w:val="23"/>
          <w:szCs w:val="23"/>
          <w:lang w:val="el-GR"/>
        </w:rPr>
      </w:pPr>
    </w:p>
    <w:p w14:paraId="668F2CB3" w14:textId="77777777" w:rsidR="00AE6492" w:rsidRDefault="00331493" w:rsidP="00331493">
      <w:pPr>
        <w:tabs>
          <w:tab w:val="left" w:pos="0"/>
        </w:tabs>
        <w:contextualSpacing/>
        <w:jc w:val="both"/>
        <w:rPr>
          <w:rFonts w:ascii="Arial" w:hAnsi="Arial" w:cs="Arial"/>
          <w:sz w:val="23"/>
          <w:szCs w:val="23"/>
          <w:lang w:val="el-GR"/>
        </w:rPr>
      </w:pPr>
      <w:r w:rsidRPr="00331493">
        <w:rPr>
          <w:rFonts w:ascii="Arial" w:hAnsi="Arial" w:cs="Arial"/>
          <w:sz w:val="23"/>
          <w:szCs w:val="23"/>
          <w:lang w:val="el-GR"/>
        </w:rPr>
        <w:t xml:space="preserve">Ένας από τους λόγους που έχει εγείρει η Επιτροπή είναι ότι ο Νόμος δεν διασφαλίζει σε όλες τις περιπτώσεις ότι η διαδικασία έφεσης κατά της οριστικής απόφασης του αρμόδιου Δικαστή, όταν ο </w:t>
      </w:r>
      <w:proofErr w:type="spellStart"/>
      <w:r w:rsidRPr="00331493">
        <w:rPr>
          <w:rFonts w:ascii="Arial" w:hAnsi="Arial" w:cs="Arial"/>
          <w:sz w:val="23"/>
          <w:szCs w:val="23"/>
          <w:lang w:val="el-GR"/>
        </w:rPr>
        <w:t>εκζητούμενος</w:t>
      </w:r>
      <w:proofErr w:type="spellEnd"/>
      <w:r w:rsidRPr="00331493">
        <w:rPr>
          <w:rFonts w:ascii="Arial" w:hAnsi="Arial" w:cs="Arial"/>
          <w:sz w:val="23"/>
          <w:szCs w:val="23"/>
          <w:lang w:val="el-GR"/>
        </w:rPr>
        <w:t xml:space="preserve"> δεν συγκατατίθεται στην παράδοση, συμμορφώνεται με την προθεσμία των εξήντα (60) ημερών που θέτει η Απόφαση - Πλαίσιο για έκδοση οριστικής απόφαση</w:t>
      </w:r>
      <w:r w:rsidR="00AE6492">
        <w:rPr>
          <w:rFonts w:ascii="Arial" w:hAnsi="Arial" w:cs="Arial"/>
          <w:sz w:val="23"/>
          <w:szCs w:val="23"/>
          <w:lang w:val="el-GR"/>
        </w:rPr>
        <w:t>ς αναφορικά με την εκτέλεση του</w:t>
      </w:r>
      <w:r w:rsidRPr="00331493">
        <w:rPr>
          <w:rFonts w:ascii="Arial" w:hAnsi="Arial" w:cs="Arial"/>
          <w:sz w:val="23"/>
          <w:szCs w:val="23"/>
          <w:lang w:val="el-GR"/>
        </w:rPr>
        <w:t xml:space="preserve"> ευρωπαϊκού </w:t>
      </w:r>
    </w:p>
    <w:p w14:paraId="1DB2B754" w14:textId="77777777" w:rsidR="00AE6492" w:rsidRDefault="00AE6492" w:rsidP="00331493">
      <w:pPr>
        <w:tabs>
          <w:tab w:val="left" w:pos="0"/>
        </w:tabs>
        <w:contextualSpacing/>
        <w:jc w:val="both"/>
        <w:rPr>
          <w:rFonts w:ascii="Arial" w:hAnsi="Arial" w:cs="Arial"/>
          <w:sz w:val="23"/>
          <w:szCs w:val="23"/>
          <w:lang w:val="el-GR"/>
        </w:rPr>
      </w:pPr>
    </w:p>
    <w:p w14:paraId="6C2FE55C" w14:textId="77777777" w:rsidR="00AE6492" w:rsidRDefault="00AE6492" w:rsidP="00331493">
      <w:pPr>
        <w:tabs>
          <w:tab w:val="left" w:pos="0"/>
        </w:tabs>
        <w:contextualSpacing/>
        <w:jc w:val="both"/>
        <w:rPr>
          <w:rFonts w:ascii="Arial" w:hAnsi="Arial" w:cs="Arial"/>
          <w:sz w:val="23"/>
          <w:szCs w:val="23"/>
          <w:lang w:val="el-GR"/>
        </w:rPr>
      </w:pPr>
    </w:p>
    <w:p w14:paraId="047EDE15" w14:textId="77777777" w:rsidR="00AE6492" w:rsidRPr="00216ABA" w:rsidRDefault="00AE6492" w:rsidP="00331493">
      <w:pPr>
        <w:tabs>
          <w:tab w:val="left" w:pos="0"/>
        </w:tabs>
        <w:contextualSpacing/>
        <w:jc w:val="both"/>
        <w:rPr>
          <w:rFonts w:ascii="Arial" w:hAnsi="Arial" w:cs="Arial"/>
          <w:sz w:val="23"/>
          <w:szCs w:val="23"/>
          <w:lang w:val="el-GR"/>
        </w:rPr>
      </w:pPr>
    </w:p>
    <w:p w14:paraId="121A6F39" w14:textId="77777777" w:rsidR="00592B90" w:rsidRPr="00216ABA" w:rsidRDefault="00592B90" w:rsidP="00331493">
      <w:pPr>
        <w:tabs>
          <w:tab w:val="left" w:pos="0"/>
        </w:tabs>
        <w:contextualSpacing/>
        <w:jc w:val="both"/>
        <w:rPr>
          <w:rFonts w:ascii="Arial" w:hAnsi="Arial" w:cs="Arial"/>
          <w:sz w:val="23"/>
          <w:szCs w:val="23"/>
          <w:lang w:val="el-GR"/>
        </w:rPr>
      </w:pPr>
    </w:p>
    <w:p w14:paraId="1B299BE6" w14:textId="77777777" w:rsidR="00AE6492" w:rsidRDefault="00AE6492" w:rsidP="00331493">
      <w:pPr>
        <w:tabs>
          <w:tab w:val="left" w:pos="0"/>
        </w:tabs>
        <w:contextualSpacing/>
        <w:jc w:val="both"/>
        <w:rPr>
          <w:rFonts w:ascii="Arial" w:hAnsi="Arial" w:cs="Arial"/>
          <w:sz w:val="23"/>
          <w:szCs w:val="23"/>
          <w:lang w:val="el-GR"/>
        </w:rPr>
      </w:pPr>
    </w:p>
    <w:p w14:paraId="264E9741" w14:textId="77777777" w:rsidR="00AE6492" w:rsidRDefault="00AE6492" w:rsidP="00331493">
      <w:pPr>
        <w:tabs>
          <w:tab w:val="left" w:pos="0"/>
        </w:tabs>
        <w:contextualSpacing/>
        <w:jc w:val="both"/>
        <w:rPr>
          <w:rFonts w:ascii="Arial" w:hAnsi="Arial" w:cs="Arial"/>
          <w:sz w:val="23"/>
          <w:szCs w:val="23"/>
          <w:lang w:val="el-GR"/>
        </w:rPr>
      </w:pPr>
    </w:p>
    <w:p w14:paraId="300D6424" w14:textId="77777777" w:rsidR="00331493" w:rsidRDefault="00331493" w:rsidP="00331493">
      <w:pPr>
        <w:tabs>
          <w:tab w:val="left" w:pos="0"/>
        </w:tabs>
        <w:contextualSpacing/>
        <w:jc w:val="both"/>
        <w:rPr>
          <w:rFonts w:ascii="Arial" w:hAnsi="Arial" w:cs="Arial"/>
          <w:sz w:val="23"/>
          <w:szCs w:val="23"/>
          <w:lang w:val="el-GR"/>
        </w:rPr>
      </w:pPr>
      <w:r w:rsidRPr="00331493">
        <w:rPr>
          <w:rFonts w:ascii="Arial" w:hAnsi="Arial" w:cs="Arial"/>
          <w:sz w:val="23"/>
          <w:szCs w:val="23"/>
          <w:lang w:val="el-GR"/>
        </w:rPr>
        <w:t xml:space="preserve">εντάλματος σύλληψης και που ξεκινά με την σύλληψη του </w:t>
      </w:r>
      <w:proofErr w:type="spellStart"/>
      <w:r w:rsidRPr="00331493">
        <w:rPr>
          <w:rFonts w:ascii="Arial" w:hAnsi="Arial" w:cs="Arial"/>
          <w:sz w:val="23"/>
          <w:szCs w:val="23"/>
          <w:lang w:val="el-GR"/>
        </w:rPr>
        <w:t>εκζητουμένου</w:t>
      </w:r>
      <w:proofErr w:type="spellEnd"/>
      <w:r w:rsidRPr="00331493">
        <w:rPr>
          <w:rFonts w:ascii="Arial" w:hAnsi="Arial" w:cs="Arial"/>
          <w:sz w:val="23"/>
          <w:szCs w:val="23"/>
          <w:lang w:val="el-GR"/>
        </w:rPr>
        <w:t xml:space="preserve">. Το Υπουργείο ήγειρε το ζήτημα στο Ανώτατο Δικαστήριο το οποίο, με εισήγησή του, προχωρεί σε ρύθμιση του θέματος με Διαδικαστικό Κανονισμό. </w:t>
      </w:r>
    </w:p>
    <w:p w14:paraId="0CC79684" w14:textId="77777777" w:rsidR="00AE6492" w:rsidRPr="00331493" w:rsidRDefault="00AE6492" w:rsidP="00331493">
      <w:pPr>
        <w:tabs>
          <w:tab w:val="left" w:pos="0"/>
        </w:tabs>
        <w:contextualSpacing/>
        <w:jc w:val="both"/>
        <w:rPr>
          <w:rFonts w:ascii="Arial" w:hAnsi="Arial" w:cs="Arial"/>
          <w:sz w:val="23"/>
          <w:szCs w:val="23"/>
          <w:lang w:val="el-GR"/>
        </w:rPr>
      </w:pPr>
    </w:p>
    <w:p w14:paraId="5FE60CD5" w14:textId="77777777" w:rsidR="00331493" w:rsidRPr="00331493" w:rsidRDefault="00331493" w:rsidP="00AE6492">
      <w:pPr>
        <w:tabs>
          <w:tab w:val="left" w:pos="0"/>
        </w:tabs>
        <w:contextualSpacing/>
        <w:jc w:val="both"/>
        <w:rPr>
          <w:rFonts w:ascii="Arial" w:hAnsi="Arial" w:cs="Arial"/>
          <w:sz w:val="23"/>
          <w:szCs w:val="23"/>
          <w:lang w:val="el-GR"/>
        </w:rPr>
      </w:pPr>
      <w:r w:rsidRPr="00331493">
        <w:rPr>
          <w:rFonts w:ascii="Arial" w:hAnsi="Arial" w:cs="Arial"/>
          <w:sz w:val="23"/>
          <w:szCs w:val="23"/>
          <w:lang w:val="el-GR"/>
        </w:rPr>
        <w:t>Πρόσθετα, το νομοσχέδιο προσδιορίζει, με την τροποποίηση που επιφέρει στο εδάφιο (1) του άρθρου 24, ότι οι λόγοι έφεσης κατά της οριστικής απόφασης του αρμοδίου Δικαστή θα αφορούν μόνο νομικά σημεία.</w:t>
      </w:r>
    </w:p>
    <w:p w14:paraId="17874124" w14:textId="77777777" w:rsidR="00331493" w:rsidRPr="00331493" w:rsidRDefault="00331493" w:rsidP="00AE6492">
      <w:pPr>
        <w:ind w:left="720"/>
        <w:contextualSpacing/>
        <w:jc w:val="both"/>
        <w:rPr>
          <w:rFonts w:ascii="Arial" w:hAnsi="Arial" w:cs="Arial"/>
          <w:sz w:val="23"/>
          <w:szCs w:val="23"/>
          <w:lang w:val="el-GR"/>
        </w:rPr>
      </w:pPr>
    </w:p>
    <w:p w14:paraId="3ADABBEC" w14:textId="77777777" w:rsidR="00331493" w:rsidRDefault="00331493" w:rsidP="00AE6492">
      <w:pPr>
        <w:pBdr>
          <w:bottom w:val="single" w:sz="12" w:space="6" w:color="auto"/>
        </w:pBdr>
        <w:spacing w:after="0" w:line="240" w:lineRule="auto"/>
        <w:jc w:val="both"/>
        <w:rPr>
          <w:rFonts w:ascii="Arial" w:hAnsi="Arial" w:cs="Arial"/>
          <w:sz w:val="23"/>
          <w:szCs w:val="23"/>
          <w:lang w:val="el-GR"/>
        </w:rPr>
      </w:pPr>
      <w:r w:rsidRPr="00331493">
        <w:rPr>
          <w:rFonts w:ascii="Arial" w:hAnsi="Arial" w:cs="Arial"/>
          <w:sz w:val="23"/>
          <w:szCs w:val="23"/>
          <w:lang w:val="el-GR"/>
        </w:rPr>
        <w:t xml:space="preserve">Τέλος, το νομοσχέδιο επιφέρει τροποποίηση στα εδάφια (2) και (3) του άρθρου 29 του βασικού Νόμου ούτως ώστε ο καθορισμός νέας ημερομηνίας παράδοσης του </w:t>
      </w:r>
      <w:proofErr w:type="spellStart"/>
      <w:r w:rsidRPr="00331493">
        <w:rPr>
          <w:rFonts w:ascii="Arial" w:hAnsi="Arial" w:cs="Arial"/>
          <w:sz w:val="23"/>
          <w:szCs w:val="23"/>
          <w:lang w:val="el-GR"/>
        </w:rPr>
        <w:t>εκζητουμένου</w:t>
      </w:r>
      <w:proofErr w:type="spellEnd"/>
      <w:r w:rsidRPr="00331493">
        <w:rPr>
          <w:rFonts w:ascii="Arial" w:hAnsi="Arial" w:cs="Arial"/>
          <w:sz w:val="23"/>
          <w:szCs w:val="23"/>
          <w:lang w:val="el-GR"/>
        </w:rPr>
        <w:t xml:space="preserve"> προσώπου στις περιπτώσεις όπου η παράδοση εμποδίζεται λόγω περιστάσεων που δεν ελέγχονται από τα κράτη μέλη ή όπου,</w:t>
      </w:r>
      <w:r w:rsidRPr="00331493">
        <w:rPr>
          <w:lang w:val="el-GR"/>
        </w:rPr>
        <w:t xml:space="preserve"> </w:t>
      </w:r>
      <w:r w:rsidRPr="00331493">
        <w:rPr>
          <w:rFonts w:ascii="Arial" w:hAnsi="Arial" w:cs="Arial"/>
          <w:sz w:val="23"/>
          <w:szCs w:val="23"/>
          <w:lang w:val="el-GR"/>
        </w:rPr>
        <w:t>κατ’ εξαίρεση</w:t>
      </w:r>
      <w:r w:rsidRPr="00331493">
        <w:rPr>
          <w:lang w:val="el-GR"/>
        </w:rPr>
        <w:t>,</w:t>
      </w:r>
      <w:r w:rsidRPr="00331493">
        <w:rPr>
          <w:rFonts w:ascii="Arial" w:hAnsi="Arial" w:cs="Arial"/>
          <w:lang w:val="el-GR"/>
        </w:rPr>
        <w:t xml:space="preserve"> αυτή</w:t>
      </w:r>
      <w:r w:rsidRPr="00331493">
        <w:rPr>
          <w:lang w:val="el-GR"/>
        </w:rPr>
        <w:t xml:space="preserve"> </w:t>
      </w:r>
      <w:r w:rsidRPr="00331493">
        <w:rPr>
          <w:rFonts w:ascii="Arial" w:hAnsi="Arial" w:cs="Arial"/>
          <w:sz w:val="23"/>
          <w:szCs w:val="23"/>
          <w:lang w:val="el-GR"/>
        </w:rPr>
        <w:t>αναστέλλεται προσωρινά για σοβαρούς ανθρωπιστικούς λόγους, να μπορεί να οριστεί από το Δικαστήριο χωρίς την υποβολή γραπτού αιτήματος από την Κεντρική Αρχή</w:t>
      </w:r>
      <w:r w:rsidR="00AE6492">
        <w:rPr>
          <w:rFonts w:ascii="Arial" w:hAnsi="Arial" w:cs="Arial"/>
          <w:sz w:val="23"/>
          <w:szCs w:val="23"/>
          <w:lang w:val="el-GR"/>
        </w:rPr>
        <w:t>.</w:t>
      </w:r>
    </w:p>
    <w:p w14:paraId="74682F43"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p>
    <w:p w14:paraId="5BEA1812"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r w:rsidRPr="00AE6492">
        <w:rPr>
          <w:rFonts w:ascii="Arial" w:hAnsi="Arial" w:cs="Arial"/>
          <w:sz w:val="23"/>
          <w:szCs w:val="23"/>
          <w:lang w:val="el-GR"/>
        </w:rPr>
        <w:t>Το συνημμένο νομοσχέδιο έτυχε νομοτεχνικού ελέγχου από τη Νομική Υπηρεσία της Δημοκρατίας και υποβάλλεται με την αιτιολογική έκθεση του Γενικού Εισαγγελέα που το συνοδεύει.</w:t>
      </w:r>
    </w:p>
    <w:p w14:paraId="3EAA58C2"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p>
    <w:p w14:paraId="281BEBBC"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r w:rsidRPr="00AE6492">
        <w:rPr>
          <w:rFonts w:ascii="Arial" w:hAnsi="Arial" w:cs="Arial"/>
          <w:sz w:val="23"/>
          <w:szCs w:val="23"/>
          <w:lang w:val="el-GR"/>
        </w:rPr>
        <w:t>Συνυποβάλλεται με την παρούσα Εισηγητική Έκθεση, Ερωτηματολόγιο Ανάλυσης Αντικτύπου</w:t>
      </w:r>
      <w:r>
        <w:rPr>
          <w:rFonts w:ascii="Arial" w:hAnsi="Arial" w:cs="Arial"/>
          <w:sz w:val="23"/>
          <w:szCs w:val="23"/>
          <w:lang w:val="el-GR"/>
        </w:rPr>
        <w:t>,</w:t>
      </w:r>
      <w:r w:rsidRPr="00AE6492">
        <w:rPr>
          <w:rFonts w:ascii="Arial" w:hAnsi="Arial" w:cs="Arial"/>
          <w:sz w:val="23"/>
          <w:szCs w:val="23"/>
          <w:lang w:val="el-GR"/>
        </w:rPr>
        <w:t xml:space="preserve"> συμπληρωμένο στα σημεία που εφαρμόζεται.</w:t>
      </w:r>
    </w:p>
    <w:p w14:paraId="522F5C4B"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p>
    <w:p w14:paraId="7DF490A5"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r w:rsidRPr="00AE6492">
        <w:rPr>
          <w:rFonts w:ascii="Arial" w:hAnsi="Arial" w:cs="Arial"/>
          <w:sz w:val="23"/>
          <w:szCs w:val="23"/>
          <w:lang w:val="el-GR"/>
        </w:rPr>
        <w:t xml:space="preserve">Το Νομοσχέδιο εγκρίθηκε από το Υπουργικό Συμβούλιο κατά την συνεδρία του ημερομηνίας </w:t>
      </w:r>
      <w:r w:rsidR="00434BA2">
        <w:rPr>
          <w:rFonts w:ascii="Arial" w:hAnsi="Arial" w:cs="Arial"/>
          <w:sz w:val="23"/>
          <w:szCs w:val="23"/>
          <w:lang w:val="el-GR"/>
        </w:rPr>
        <w:t>16 Ιουν</w:t>
      </w:r>
      <w:r w:rsidRPr="00AE6492">
        <w:rPr>
          <w:rFonts w:ascii="Arial" w:hAnsi="Arial" w:cs="Arial"/>
          <w:sz w:val="23"/>
          <w:szCs w:val="23"/>
          <w:lang w:val="el-GR"/>
        </w:rPr>
        <w:t xml:space="preserve">ίου </w:t>
      </w:r>
      <w:r w:rsidR="00434BA2">
        <w:rPr>
          <w:rFonts w:ascii="Arial" w:hAnsi="Arial" w:cs="Arial"/>
          <w:sz w:val="23"/>
          <w:szCs w:val="23"/>
          <w:lang w:val="el-GR"/>
        </w:rPr>
        <w:t>2021</w:t>
      </w:r>
      <w:r w:rsidRPr="00AE6492">
        <w:rPr>
          <w:rFonts w:ascii="Arial" w:hAnsi="Arial" w:cs="Arial"/>
          <w:sz w:val="23"/>
          <w:szCs w:val="23"/>
          <w:lang w:val="el-GR"/>
        </w:rPr>
        <w:t>.</w:t>
      </w:r>
    </w:p>
    <w:p w14:paraId="2A5DFD42"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72C9956E"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3A768F9A"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716FDD7C"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6B90D661"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p>
    <w:p w14:paraId="2E7D3CA7"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p>
    <w:p w14:paraId="158C9E6C" w14:textId="77777777" w:rsidR="00AE6492" w:rsidRPr="00AE6492" w:rsidRDefault="00AE6492" w:rsidP="00AE6492">
      <w:pPr>
        <w:pBdr>
          <w:bottom w:val="single" w:sz="12" w:space="6" w:color="auto"/>
        </w:pBdr>
        <w:spacing w:after="0" w:line="240" w:lineRule="auto"/>
        <w:jc w:val="right"/>
        <w:rPr>
          <w:rFonts w:ascii="Arial" w:hAnsi="Arial" w:cs="Arial"/>
          <w:sz w:val="23"/>
          <w:szCs w:val="23"/>
          <w:lang w:val="el-GR"/>
        </w:rPr>
      </w:pPr>
      <w:r w:rsidRPr="00AE6492">
        <w:rPr>
          <w:rFonts w:ascii="Arial" w:hAnsi="Arial" w:cs="Arial"/>
          <w:sz w:val="23"/>
          <w:szCs w:val="23"/>
          <w:lang w:val="el-GR"/>
        </w:rPr>
        <w:t>ΥΠΟΥΡΓΕΙΟ ΔΙΚΑΙΟΣΥΝΗΣ</w:t>
      </w:r>
    </w:p>
    <w:p w14:paraId="4EA66136" w14:textId="77777777" w:rsidR="00AE6492" w:rsidRPr="00AE6492" w:rsidRDefault="00AE6492" w:rsidP="00AE6492">
      <w:pPr>
        <w:pBdr>
          <w:bottom w:val="single" w:sz="12" w:space="6" w:color="auto"/>
        </w:pBdr>
        <w:spacing w:after="0" w:line="240" w:lineRule="auto"/>
        <w:jc w:val="right"/>
        <w:rPr>
          <w:rFonts w:ascii="Arial" w:hAnsi="Arial" w:cs="Arial"/>
          <w:sz w:val="23"/>
          <w:szCs w:val="23"/>
          <w:lang w:val="el-GR"/>
        </w:rPr>
      </w:pPr>
      <w:r w:rsidRPr="00AE6492">
        <w:rPr>
          <w:rFonts w:ascii="Arial" w:hAnsi="Arial" w:cs="Arial"/>
          <w:sz w:val="23"/>
          <w:szCs w:val="23"/>
          <w:lang w:val="el-GR"/>
        </w:rPr>
        <w:t>ΚΑΙ ΔΗΜΟΣΙΑΣ ΤΑΞΕΩΣ</w:t>
      </w:r>
    </w:p>
    <w:p w14:paraId="5FEC357F"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03CD4406"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74B74975"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3689FEF2" w14:textId="77777777" w:rsidR="00AE6492" w:rsidRPr="00AE6492" w:rsidRDefault="00216ABA" w:rsidP="00AE6492">
      <w:pPr>
        <w:pBdr>
          <w:bottom w:val="single" w:sz="12" w:space="6" w:color="auto"/>
        </w:pBdr>
        <w:spacing w:after="0" w:line="240" w:lineRule="auto"/>
        <w:jc w:val="both"/>
        <w:rPr>
          <w:rFonts w:ascii="Arial" w:hAnsi="Arial" w:cs="Arial"/>
          <w:sz w:val="23"/>
          <w:szCs w:val="23"/>
          <w:lang w:val="el-GR"/>
        </w:rPr>
      </w:pPr>
      <w:r w:rsidRPr="00FC156C">
        <w:rPr>
          <w:rFonts w:ascii="Arial" w:hAnsi="Arial" w:cs="Arial"/>
          <w:sz w:val="23"/>
          <w:szCs w:val="23"/>
          <w:lang w:val="el-GR"/>
        </w:rPr>
        <w:t>8</w:t>
      </w:r>
      <w:r w:rsidR="0010395B">
        <w:rPr>
          <w:rFonts w:ascii="Arial" w:hAnsi="Arial" w:cs="Arial"/>
          <w:sz w:val="23"/>
          <w:szCs w:val="23"/>
          <w:lang w:val="el-GR"/>
        </w:rPr>
        <w:t xml:space="preserve"> Ιουλ</w:t>
      </w:r>
      <w:r w:rsidR="00AE6492" w:rsidRPr="00AE6492">
        <w:rPr>
          <w:rFonts w:ascii="Arial" w:hAnsi="Arial" w:cs="Arial"/>
          <w:sz w:val="23"/>
          <w:szCs w:val="23"/>
          <w:lang w:val="el-GR"/>
        </w:rPr>
        <w:t xml:space="preserve">ίου </w:t>
      </w:r>
      <w:r w:rsidR="00AE6492">
        <w:rPr>
          <w:rFonts w:ascii="Arial" w:hAnsi="Arial" w:cs="Arial"/>
          <w:sz w:val="23"/>
          <w:szCs w:val="23"/>
          <w:lang w:val="el-GR"/>
        </w:rPr>
        <w:t>2021</w:t>
      </w:r>
    </w:p>
    <w:p w14:paraId="6706640D"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7B393444" w14:textId="77777777" w:rsidR="00AE6492" w:rsidRDefault="00AE6492" w:rsidP="00AE6492">
      <w:pPr>
        <w:pBdr>
          <w:bottom w:val="single" w:sz="12" w:space="6" w:color="auto"/>
        </w:pBdr>
        <w:spacing w:after="0" w:line="240" w:lineRule="auto"/>
        <w:jc w:val="both"/>
        <w:rPr>
          <w:rFonts w:ascii="Arial" w:hAnsi="Arial" w:cs="Arial"/>
          <w:sz w:val="23"/>
          <w:szCs w:val="23"/>
          <w:lang w:val="el-GR"/>
        </w:rPr>
      </w:pPr>
    </w:p>
    <w:p w14:paraId="5C9703F8" w14:textId="77777777" w:rsidR="00AE6492" w:rsidRPr="00AE6492" w:rsidRDefault="00AE6492" w:rsidP="00AE6492">
      <w:pPr>
        <w:pBdr>
          <w:bottom w:val="single" w:sz="12" w:space="6" w:color="auto"/>
        </w:pBdr>
        <w:spacing w:after="0" w:line="240" w:lineRule="auto"/>
        <w:jc w:val="both"/>
        <w:rPr>
          <w:rFonts w:ascii="Arial" w:hAnsi="Arial" w:cs="Arial"/>
          <w:sz w:val="23"/>
          <w:szCs w:val="23"/>
          <w:lang w:val="el-GR"/>
        </w:rPr>
      </w:pPr>
      <w:r w:rsidRPr="00AE6492">
        <w:rPr>
          <w:rFonts w:ascii="Arial" w:hAnsi="Arial" w:cs="Arial"/>
          <w:sz w:val="23"/>
          <w:szCs w:val="23"/>
          <w:lang w:val="el-GR"/>
        </w:rPr>
        <w:t>ΓΔΧ</w:t>
      </w:r>
    </w:p>
    <w:p w14:paraId="28803742" w14:textId="77777777" w:rsidR="00AE6492" w:rsidRDefault="00AE6492" w:rsidP="00AE6492">
      <w:pPr>
        <w:pBdr>
          <w:bottom w:val="single" w:sz="12" w:space="6" w:color="auto"/>
        </w:pBdr>
        <w:spacing w:after="0" w:line="240" w:lineRule="auto"/>
        <w:jc w:val="both"/>
        <w:rPr>
          <w:rFonts w:ascii="Arial" w:hAnsi="Arial" w:cs="Arial"/>
          <w:b/>
          <w:sz w:val="23"/>
          <w:szCs w:val="23"/>
          <w:lang w:val="el-GR"/>
        </w:rPr>
      </w:pPr>
    </w:p>
    <w:p w14:paraId="59D4A39C" w14:textId="77777777" w:rsidR="00331493" w:rsidRDefault="00331493" w:rsidP="00AE6492">
      <w:pPr>
        <w:pBdr>
          <w:bottom w:val="single" w:sz="12" w:space="6" w:color="auto"/>
        </w:pBdr>
        <w:spacing w:after="0" w:line="240" w:lineRule="auto"/>
        <w:jc w:val="both"/>
        <w:rPr>
          <w:rFonts w:ascii="Arial" w:hAnsi="Arial" w:cs="Arial"/>
          <w:b/>
          <w:sz w:val="23"/>
          <w:szCs w:val="23"/>
          <w:lang w:val="el-GR"/>
        </w:rPr>
      </w:pPr>
    </w:p>
    <w:p w14:paraId="4D958032"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7B63E6E9"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429E764D"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42D32FA"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50973D7"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36ADE2D6" w14:textId="77777777" w:rsidR="00FC156C" w:rsidRPr="00FC156C" w:rsidRDefault="00FC156C" w:rsidP="00331493">
      <w:pPr>
        <w:pBdr>
          <w:bottom w:val="single" w:sz="12" w:space="6" w:color="auto"/>
        </w:pBdr>
        <w:spacing w:after="0" w:line="240" w:lineRule="auto"/>
        <w:jc w:val="center"/>
        <w:rPr>
          <w:rFonts w:ascii="Arial" w:hAnsi="Arial" w:cs="Arial"/>
          <w:b/>
          <w:sz w:val="23"/>
          <w:szCs w:val="23"/>
          <w:lang w:val="el-GR"/>
        </w:rPr>
      </w:pPr>
    </w:p>
    <w:p w14:paraId="47E3FC84"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105B2674"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13DEE318" w14:textId="77777777" w:rsidR="00592B90" w:rsidRPr="00FC156C" w:rsidRDefault="00592B90" w:rsidP="00FC156C">
      <w:pPr>
        <w:pBdr>
          <w:bottom w:val="single" w:sz="12" w:space="6" w:color="auto"/>
        </w:pBdr>
        <w:spacing w:after="0" w:line="240" w:lineRule="auto"/>
        <w:rPr>
          <w:rFonts w:ascii="Arial" w:hAnsi="Arial" w:cs="Arial"/>
          <w:b/>
          <w:sz w:val="23"/>
          <w:szCs w:val="23"/>
          <w:lang w:val="el-GR"/>
        </w:rPr>
      </w:pPr>
    </w:p>
    <w:p w14:paraId="68BAD6F9" w14:textId="77777777" w:rsidR="00592B90" w:rsidRPr="00592B90" w:rsidRDefault="00592B90" w:rsidP="00331493">
      <w:pPr>
        <w:pBdr>
          <w:bottom w:val="single" w:sz="12" w:space="6" w:color="auto"/>
        </w:pBdr>
        <w:spacing w:after="0" w:line="240" w:lineRule="auto"/>
        <w:jc w:val="center"/>
        <w:rPr>
          <w:rFonts w:ascii="Arial" w:hAnsi="Arial" w:cs="Arial"/>
          <w:b/>
          <w:sz w:val="23"/>
          <w:szCs w:val="23"/>
          <w:lang w:val="en-US"/>
        </w:rPr>
      </w:pPr>
    </w:p>
    <w:p w14:paraId="62D604B1" w14:textId="77777777" w:rsidR="00331493" w:rsidRDefault="00331493" w:rsidP="00331493">
      <w:pPr>
        <w:pBdr>
          <w:bottom w:val="single" w:sz="12" w:space="6" w:color="auto"/>
        </w:pBdr>
        <w:spacing w:after="0" w:line="240" w:lineRule="auto"/>
        <w:jc w:val="center"/>
        <w:rPr>
          <w:rFonts w:ascii="Arial" w:hAnsi="Arial" w:cs="Arial"/>
          <w:b/>
          <w:sz w:val="23"/>
          <w:szCs w:val="23"/>
          <w:lang w:val="en-US"/>
        </w:rPr>
      </w:pPr>
    </w:p>
    <w:p w14:paraId="477EEC44" w14:textId="77777777" w:rsidR="00E37BD5" w:rsidRDefault="00E37BD5" w:rsidP="00331493">
      <w:pPr>
        <w:pBdr>
          <w:bottom w:val="single" w:sz="12" w:space="6" w:color="auto"/>
        </w:pBdr>
        <w:spacing w:after="0" w:line="240" w:lineRule="auto"/>
        <w:jc w:val="center"/>
        <w:rPr>
          <w:rFonts w:ascii="Arial" w:hAnsi="Arial" w:cs="Arial"/>
          <w:b/>
          <w:sz w:val="23"/>
          <w:szCs w:val="23"/>
          <w:lang w:val="en-US"/>
        </w:rPr>
      </w:pPr>
    </w:p>
    <w:p w14:paraId="6B3AD11B" w14:textId="77777777" w:rsidR="00E37BD5" w:rsidRDefault="00E37BD5" w:rsidP="00331493">
      <w:pPr>
        <w:pBdr>
          <w:bottom w:val="single" w:sz="12" w:space="6" w:color="auto"/>
        </w:pBdr>
        <w:spacing w:after="0" w:line="240" w:lineRule="auto"/>
        <w:jc w:val="center"/>
        <w:rPr>
          <w:rFonts w:ascii="Arial" w:hAnsi="Arial" w:cs="Arial"/>
          <w:b/>
          <w:sz w:val="23"/>
          <w:szCs w:val="23"/>
          <w:lang w:val="en-US"/>
        </w:rPr>
      </w:pPr>
    </w:p>
    <w:p w14:paraId="4A74E1EF" w14:textId="77777777" w:rsidR="00E37BD5" w:rsidRDefault="00E37BD5" w:rsidP="00331493">
      <w:pPr>
        <w:pBdr>
          <w:bottom w:val="single" w:sz="12" w:space="6" w:color="auto"/>
        </w:pBdr>
        <w:spacing w:after="0" w:line="240" w:lineRule="auto"/>
        <w:jc w:val="center"/>
        <w:rPr>
          <w:rFonts w:ascii="Arial" w:hAnsi="Arial" w:cs="Arial"/>
          <w:b/>
          <w:sz w:val="23"/>
          <w:szCs w:val="23"/>
          <w:lang w:val="en-US"/>
        </w:rPr>
      </w:pPr>
    </w:p>
    <w:p w14:paraId="010C61AC" w14:textId="77777777" w:rsidR="00E37BD5" w:rsidRPr="00E37BD5" w:rsidRDefault="00E37BD5" w:rsidP="00331493">
      <w:pPr>
        <w:pBdr>
          <w:bottom w:val="single" w:sz="12" w:space="6" w:color="auto"/>
        </w:pBdr>
        <w:spacing w:after="0" w:line="240" w:lineRule="auto"/>
        <w:jc w:val="center"/>
        <w:rPr>
          <w:rFonts w:ascii="Arial" w:hAnsi="Arial" w:cs="Arial"/>
          <w:b/>
          <w:sz w:val="23"/>
          <w:szCs w:val="23"/>
          <w:lang w:val="en-US"/>
        </w:rPr>
      </w:pPr>
    </w:p>
    <w:p w14:paraId="530BC0C6" w14:textId="77777777" w:rsidR="00573A3F" w:rsidRDefault="00573A3F" w:rsidP="00331493">
      <w:pPr>
        <w:pBdr>
          <w:bottom w:val="single" w:sz="12" w:space="6" w:color="auto"/>
        </w:pBdr>
        <w:spacing w:after="0" w:line="240" w:lineRule="auto"/>
        <w:jc w:val="center"/>
        <w:rPr>
          <w:rFonts w:ascii="Arial" w:hAnsi="Arial" w:cs="Arial"/>
          <w:b/>
          <w:sz w:val="23"/>
          <w:szCs w:val="23"/>
          <w:lang w:val="el-GR"/>
        </w:rPr>
      </w:pPr>
    </w:p>
    <w:p w14:paraId="04EF5C1A" w14:textId="77777777" w:rsidR="00573A3F" w:rsidRDefault="00573A3F" w:rsidP="00331493">
      <w:pPr>
        <w:pBdr>
          <w:bottom w:val="single" w:sz="12" w:space="6" w:color="auto"/>
        </w:pBdr>
        <w:spacing w:after="0" w:line="240" w:lineRule="auto"/>
        <w:jc w:val="center"/>
        <w:rPr>
          <w:rFonts w:ascii="Arial" w:hAnsi="Arial" w:cs="Arial"/>
          <w:b/>
          <w:sz w:val="23"/>
          <w:szCs w:val="23"/>
          <w:lang w:val="el-GR"/>
        </w:rPr>
      </w:pPr>
    </w:p>
    <w:p w14:paraId="6DAD0D29" w14:textId="77777777" w:rsidR="00573A3F" w:rsidRDefault="00573A3F" w:rsidP="00331493">
      <w:pPr>
        <w:pBdr>
          <w:bottom w:val="single" w:sz="12" w:space="6" w:color="auto"/>
        </w:pBdr>
        <w:spacing w:after="0" w:line="240" w:lineRule="auto"/>
        <w:jc w:val="center"/>
        <w:rPr>
          <w:rFonts w:ascii="Arial" w:hAnsi="Arial" w:cs="Arial"/>
          <w:b/>
          <w:sz w:val="23"/>
          <w:szCs w:val="23"/>
          <w:lang w:val="el-GR"/>
        </w:rPr>
      </w:pPr>
    </w:p>
    <w:p w14:paraId="22DED52F"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9A52624"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2FB52A84"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42CD1F5"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67F9332"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773ED448"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4062B64F"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25F8BAC2"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22177F2"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9036617"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42705EC4"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BF059F2"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7EB78375"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13B2B18"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35F120D8"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7E85D23C"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EDF4AD8"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074734D6"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51C2ACAA"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3466D511"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808C8D0"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340CB306"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663CB063"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4147C38B"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792595D1" w14:textId="77777777" w:rsidR="00331493" w:rsidRDefault="00331493" w:rsidP="00331493">
      <w:pPr>
        <w:pBdr>
          <w:bottom w:val="single" w:sz="12" w:space="6" w:color="auto"/>
        </w:pBdr>
        <w:spacing w:after="0" w:line="240" w:lineRule="auto"/>
        <w:jc w:val="center"/>
        <w:rPr>
          <w:rFonts w:ascii="Arial" w:hAnsi="Arial" w:cs="Arial"/>
          <w:b/>
          <w:sz w:val="23"/>
          <w:szCs w:val="23"/>
          <w:lang w:val="el-GR"/>
        </w:rPr>
      </w:pPr>
    </w:p>
    <w:p w14:paraId="31F16977" w14:textId="77777777" w:rsidR="00331493" w:rsidRDefault="00331493" w:rsidP="00331493">
      <w:pPr>
        <w:pBdr>
          <w:bottom w:val="single" w:sz="12" w:space="6" w:color="auto"/>
        </w:pBdr>
        <w:spacing w:after="0" w:line="240" w:lineRule="auto"/>
        <w:jc w:val="center"/>
        <w:rPr>
          <w:rFonts w:ascii="Arial" w:hAnsi="Arial" w:cs="Arial"/>
          <w:b/>
          <w:sz w:val="23"/>
          <w:szCs w:val="23"/>
          <w:lang w:val="en-US"/>
        </w:rPr>
      </w:pPr>
    </w:p>
    <w:p w14:paraId="1567BB7F"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4790B2A1"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1521ACDF"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47F1AD72" w14:textId="77777777" w:rsidR="00592B90" w:rsidRDefault="00592B90" w:rsidP="00331493">
      <w:pPr>
        <w:pBdr>
          <w:bottom w:val="single" w:sz="12" w:space="6" w:color="auto"/>
        </w:pBdr>
        <w:spacing w:after="0" w:line="240" w:lineRule="auto"/>
        <w:jc w:val="center"/>
        <w:rPr>
          <w:rFonts w:ascii="Arial" w:hAnsi="Arial" w:cs="Arial"/>
          <w:b/>
          <w:sz w:val="23"/>
          <w:szCs w:val="23"/>
          <w:lang w:val="en-US"/>
        </w:rPr>
      </w:pPr>
    </w:p>
    <w:p w14:paraId="1D97BE5D" w14:textId="77777777" w:rsidR="00592B90" w:rsidRPr="00592B90" w:rsidRDefault="00592B90" w:rsidP="00331493">
      <w:pPr>
        <w:pBdr>
          <w:bottom w:val="single" w:sz="12" w:space="6" w:color="auto"/>
        </w:pBdr>
        <w:spacing w:after="0" w:line="240" w:lineRule="auto"/>
        <w:jc w:val="center"/>
        <w:rPr>
          <w:rFonts w:ascii="Arial" w:hAnsi="Arial" w:cs="Arial"/>
          <w:b/>
          <w:sz w:val="23"/>
          <w:szCs w:val="23"/>
          <w:lang w:val="en-US"/>
        </w:rPr>
      </w:pPr>
    </w:p>
    <w:sectPr w:rsidR="00592B90" w:rsidRPr="00592B90" w:rsidSect="0033149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A61" w14:textId="77777777" w:rsidR="00145846" w:rsidRDefault="00145846" w:rsidP="00331493">
      <w:pPr>
        <w:spacing w:after="0" w:line="240" w:lineRule="auto"/>
      </w:pPr>
      <w:r>
        <w:separator/>
      </w:r>
    </w:p>
  </w:endnote>
  <w:endnote w:type="continuationSeparator" w:id="0">
    <w:p w14:paraId="337430D0" w14:textId="77777777" w:rsidR="00145846" w:rsidRDefault="00145846" w:rsidP="0033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E00F" w14:textId="77777777" w:rsidR="00145846" w:rsidRDefault="00145846" w:rsidP="00331493">
      <w:pPr>
        <w:spacing w:after="0" w:line="240" w:lineRule="auto"/>
      </w:pPr>
      <w:r>
        <w:separator/>
      </w:r>
    </w:p>
  </w:footnote>
  <w:footnote w:type="continuationSeparator" w:id="0">
    <w:p w14:paraId="73858783" w14:textId="77777777" w:rsidR="00145846" w:rsidRDefault="00145846" w:rsidP="0033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50DD"/>
    <w:multiLevelType w:val="hybridMultilevel"/>
    <w:tmpl w:val="01E4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F"/>
    <w:rsid w:val="0010395B"/>
    <w:rsid w:val="00145846"/>
    <w:rsid w:val="00193C2F"/>
    <w:rsid w:val="00216ABA"/>
    <w:rsid w:val="002F5977"/>
    <w:rsid w:val="00331493"/>
    <w:rsid w:val="00434BA2"/>
    <w:rsid w:val="00573A3F"/>
    <w:rsid w:val="00592B90"/>
    <w:rsid w:val="005C28D9"/>
    <w:rsid w:val="006B0423"/>
    <w:rsid w:val="00705B8A"/>
    <w:rsid w:val="008D4E51"/>
    <w:rsid w:val="00AE6492"/>
    <w:rsid w:val="00D9275A"/>
    <w:rsid w:val="00E37BD5"/>
    <w:rsid w:val="00FC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9BE6"/>
  <w15:docId w15:val="{D6081B51-8C92-4C26-A0CD-78861CB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493"/>
  </w:style>
  <w:style w:type="paragraph" w:styleId="Footer">
    <w:name w:val="footer"/>
    <w:basedOn w:val="Normal"/>
    <w:link w:val="FooterChar"/>
    <w:uiPriority w:val="99"/>
    <w:unhideWhenUsed/>
    <w:rsid w:val="00331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493"/>
  </w:style>
  <w:style w:type="paragraph" w:styleId="BalloonText">
    <w:name w:val="Balloon Text"/>
    <w:basedOn w:val="Normal"/>
    <w:link w:val="BalloonTextChar"/>
    <w:uiPriority w:val="99"/>
    <w:semiHidden/>
    <w:unhideWhenUsed/>
    <w:rsid w:val="0057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Georgios Isaia</cp:lastModifiedBy>
  <cp:revision>2</cp:revision>
  <cp:lastPrinted>2021-07-05T06:29:00Z</cp:lastPrinted>
  <dcterms:created xsi:type="dcterms:W3CDTF">2021-09-20T05:40:00Z</dcterms:created>
  <dcterms:modified xsi:type="dcterms:W3CDTF">2021-09-20T05:40:00Z</dcterms:modified>
</cp:coreProperties>
</file>