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70E22" w14:textId="6CD22FFD" w:rsidR="00EA1DEF" w:rsidRPr="007D53BB" w:rsidRDefault="00E61E32" w:rsidP="00BB373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D53BB">
        <w:rPr>
          <w:rFonts w:ascii="Arial" w:hAnsi="Arial" w:cs="Arial"/>
          <w:sz w:val="24"/>
          <w:szCs w:val="24"/>
        </w:rPr>
        <w:t>ΝΟΜΟ</w:t>
      </w:r>
      <w:r w:rsidR="002E370A">
        <w:rPr>
          <w:rFonts w:ascii="Arial" w:hAnsi="Arial" w:cs="Arial"/>
          <w:sz w:val="24"/>
          <w:szCs w:val="24"/>
        </w:rPr>
        <w:t>Σ</w:t>
      </w:r>
      <w:r w:rsidR="00A54AF1" w:rsidRPr="007D53BB">
        <w:rPr>
          <w:rFonts w:ascii="Arial" w:hAnsi="Arial" w:cs="Arial"/>
          <w:sz w:val="24"/>
          <w:szCs w:val="24"/>
        </w:rPr>
        <w:t xml:space="preserve"> ΠΟΥ ΤΡΟΠΟΠΟΙΕΙ ΤΟ</w:t>
      </w:r>
      <w:r w:rsidR="0068543C" w:rsidRPr="007D53BB">
        <w:rPr>
          <w:rFonts w:ascii="Arial" w:hAnsi="Arial" w:cs="Arial"/>
          <w:sz w:val="24"/>
          <w:szCs w:val="24"/>
        </w:rPr>
        <w:t xml:space="preserve">Ν </w:t>
      </w:r>
      <w:r w:rsidR="00A54AF1" w:rsidRPr="007D53BB">
        <w:rPr>
          <w:rFonts w:ascii="Arial" w:hAnsi="Arial" w:cs="Arial"/>
          <w:sz w:val="24"/>
          <w:szCs w:val="24"/>
        </w:rPr>
        <w:t xml:space="preserve">ΠΕΡΙ </w:t>
      </w:r>
      <w:r w:rsidR="00CB18F7" w:rsidRPr="007D53BB">
        <w:rPr>
          <w:rFonts w:ascii="Arial" w:hAnsi="Arial" w:cs="Arial"/>
          <w:sz w:val="24"/>
          <w:szCs w:val="24"/>
        </w:rPr>
        <w:t>ΑΛΛΟΔΑΠΩΝ ΚΑΙ ΜΕΤΑΝΑΣΤΕΥΣΕΩΣ</w:t>
      </w:r>
      <w:r w:rsidR="00A54AF1" w:rsidRPr="007D53BB">
        <w:rPr>
          <w:rFonts w:ascii="Arial" w:hAnsi="Arial" w:cs="Arial"/>
          <w:sz w:val="24"/>
          <w:szCs w:val="24"/>
        </w:rPr>
        <w:t xml:space="preserve"> ΝΟΜΟ </w:t>
      </w:r>
    </w:p>
    <w:p w14:paraId="7CC60F88" w14:textId="77777777" w:rsidR="00A54AF1" w:rsidRPr="007D53BB" w:rsidRDefault="00A54AF1" w:rsidP="007E4D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92"/>
      </w:tblGrid>
      <w:tr w:rsidR="00AA370F" w:rsidRPr="007D53BB" w14:paraId="4963EE59" w14:textId="77777777" w:rsidTr="0067166C">
        <w:tc>
          <w:tcPr>
            <w:tcW w:w="2122" w:type="dxa"/>
          </w:tcPr>
          <w:p w14:paraId="69145038" w14:textId="77777777" w:rsidR="00AA370F" w:rsidRPr="007D53BB" w:rsidRDefault="00AA370F" w:rsidP="00BB373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2" w:type="dxa"/>
          </w:tcPr>
          <w:p w14:paraId="4B5650BB" w14:textId="160724E4" w:rsidR="00AA370F" w:rsidRPr="00AA370F" w:rsidRDefault="00AA370F" w:rsidP="00AA370F">
            <w:pPr>
              <w:tabs>
                <w:tab w:val="left" w:pos="320"/>
                <w:tab w:val="left" w:pos="397"/>
              </w:tabs>
              <w:spacing w:line="360" w:lineRule="auto"/>
              <w:ind w:firstLine="46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Η Βουλή των Αντιπροσώπων ψηφίζει ως ακολούθως</w:t>
            </w:r>
            <w:r w:rsidRPr="00AA370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AA370F" w:rsidRPr="007D53BB" w14:paraId="12D8BFF2" w14:textId="77777777" w:rsidTr="0067166C">
        <w:tc>
          <w:tcPr>
            <w:tcW w:w="2122" w:type="dxa"/>
          </w:tcPr>
          <w:p w14:paraId="0B1EE910" w14:textId="77777777" w:rsidR="00AA370F" w:rsidRPr="007D53BB" w:rsidRDefault="00AA370F" w:rsidP="00BB373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2" w:type="dxa"/>
          </w:tcPr>
          <w:p w14:paraId="3BDFC6C1" w14:textId="77777777" w:rsidR="00AA370F" w:rsidRDefault="00AA370F" w:rsidP="00AA370F">
            <w:pPr>
              <w:tabs>
                <w:tab w:val="left" w:pos="320"/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AF1" w:rsidRPr="007D53BB" w14:paraId="769D1393" w14:textId="77777777" w:rsidTr="0067166C">
        <w:tc>
          <w:tcPr>
            <w:tcW w:w="2122" w:type="dxa"/>
          </w:tcPr>
          <w:p w14:paraId="554EC4CC" w14:textId="77777777" w:rsidR="00A54AF1" w:rsidRPr="007D53BB" w:rsidRDefault="00A54AF1" w:rsidP="00BB373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3BB">
              <w:rPr>
                <w:rFonts w:ascii="Arial" w:hAnsi="Arial" w:cs="Arial"/>
                <w:sz w:val="24"/>
                <w:szCs w:val="24"/>
              </w:rPr>
              <w:t>Συνοπτικός τίτλος.</w:t>
            </w:r>
          </w:p>
          <w:p w14:paraId="1E381868" w14:textId="19E3CE5A" w:rsidR="00CB18F7" w:rsidRPr="007D53BB" w:rsidRDefault="00CB18F7" w:rsidP="00662DE6">
            <w:pPr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3BB">
              <w:rPr>
                <w:rFonts w:ascii="Arial" w:hAnsi="Arial" w:cs="Arial"/>
                <w:sz w:val="24"/>
                <w:szCs w:val="24"/>
              </w:rPr>
              <w:t>Κεφ. 105</w:t>
            </w:r>
            <w:r w:rsidR="00D94C91" w:rsidRPr="007D53B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90D1EC7" w14:textId="77777777" w:rsidR="00CB18F7" w:rsidRPr="007D53BB" w:rsidRDefault="00CB18F7" w:rsidP="00662DE6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53BB">
              <w:rPr>
                <w:rFonts w:ascii="Arial" w:hAnsi="Arial" w:cs="Arial"/>
                <w:sz w:val="24"/>
                <w:szCs w:val="24"/>
              </w:rPr>
              <w:t>2 του 1972</w:t>
            </w:r>
          </w:p>
          <w:p w14:paraId="37629FB2" w14:textId="77777777" w:rsidR="00CB18F7" w:rsidRPr="007D53BB" w:rsidRDefault="00CB18F7" w:rsidP="00662DE6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53BB">
              <w:rPr>
                <w:rFonts w:ascii="Arial" w:hAnsi="Arial" w:cs="Arial"/>
                <w:sz w:val="24"/>
                <w:szCs w:val="24"/>
              </w:rPr>
              <w:t>54 του 1976</w:t>
            </w:r>
          </w:p>
          <w:p w14:paraId="5D953C9D" w14:textId="77777777" w:rsidR="00CB18F7" w:rsidRPr="007D53BB" w:rsidRDefault="00CB18F7" w:rsidP="00662DE6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53BB">
              <w:rPr>
                <w:rFonts w:ascii="Arial" w:hAnsi="Arial" w:cs="Arial"/>
                <w:sz w:val="24"/>
                <w:szCs w:val="24"/>
              </w:rPr>
              <w:t>50 του 1988</w:t>
            </w:r>
          </w:p>
          <w:p w14:paraId="414341C8" w14:textId="77777777" w:rsidR="00CB18F7" w:rsidRPr="007D53BB" w:rsidRDefault="00CB18F7" w:rsidP="00662DE6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53BB">
              <w:rPr>
                <w:rFonts w:ascii="Arial" w:hAnsi="Arial" w:cs="Arial"/>
                <w:sz w:val="24"/>
                <w:szCs w:val="24"/>
              </w:rPr>
              <w:t>197 του 1989</w:t>
            </w:r>
          </w:p>
          <w:p w14:paraId="4C3F5AF7" w14:textId="77777777" w:rsidR="00CB18F7" w:rsidRPr="007D53BB" w:rsidRDefault="00CB18F7" w:rsidP="00662DE6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53BB">
              <w:rPr>
                <w:rFonts w:ascii="Arial" w:hAnsi="Arial" w:cs="Arial"/>
                <w:sz w:val="24"/>
                <w:szCs w:val="24"/>
              </w:rPr>
              <w:t>100(Ι) του 1996</w:t>
            </w:r>
          </w:p>
          <w:p w14:paraId="3591903F" w14:textId="77777777" w:rsidR="00CB18F7" w:rsidRPr="007D53BB" w:rsidRDefault="00CB18F7" w:rsidP="00662DE6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53BB">
              <w:rPr>
                <w:rFonts w:ascii="Arial" w:hAnsi="Arial" w:cs="Arial"/>
                <w:sz w:val="24"/>
                <w:szCs w:val="24"/>
              </w:rPr>
              <w:t>43(Ι) του 1997</w:t>
            </w:r>
          </w:p>
          <w:p w14:paraId="2C57848C" w14:textId="77777777" w:rsidR="00CB18F7" w:rsidRPr="007D53BB" w:rsidRDefault="00CB18F7" w:rsidP="00662DE6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53BB">
              <w:rPr>
                <w:rFonts w:ascii="Arial" w:hAnsi="Arial" w:cs="Arial"/>
                <w:sz w:val="24"/>
                <w:szCs w:val="24"/>
              </w:rPr>
              <w:t>14(Ι) του 1998</w:t>
            </w:r>
          </w:p>
          <w:p w14:paraId="3484C986" w14:textId="77777777" w:rsidR="00CB18F7" w:rsidRPr="007D53BB" w:rsidRDefault="00CB18F7" w:rsidP="00662DE6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53BB">
              <w:rPr>
                <w:rFonts w:ascii="Arial" w:hAnsi="Arial" w:cs="Arial"/>
                <w:sz w:val="24"/>
                <w:szCs w:val="24"/>
              </w:rPr>
              <w:t>22(I) του 2001</w:t>
            </w:r>
          </w:p>
          <w:p w14:paraId="6533EB46" w14:textId="77777777" w:rsidR="00CB18F7" w:rsidRPr="007D53BB" w:rsidRDefault="00CB18F7" w:rsidP="00662DE6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53BB">
              <w:rPr>
                <w:rFonts w:ascii="Arial" w:hAnsi="Arial" w:cs="Arial"/>
                <w:sz w:val="24"/>
                <w:szCs w:val="24"/>
              </w:rPr>
              <w:t>164(I) του 2001</w:t>
            </w:r>
          </w:p>
          <w:p w14:paraId="13D5D538" w14:textId="77777777" w:rsidR="00CB18F7" w:rsidRPr="007D53BB" w:rsidRDefault="00CB18F7" w:rsidP="00662DE6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53BB">
              <w:rPr>
                <w:rFonts w:ascii="Arial" w:hAnsi="Arial" w:cs="Arial"/>
                <w:sz w:val="24"/>
                <w:szCs w:val="24"/>
              </w:rPr>
              <w:t>88(Ι) του 2002</w:t>
            </w:r>
          </w:p>
          <w:p w14:paraId="0D617154" w14:textId="38CFB6B9" w:rsidR="00CB18F7" w:rsidRPr="007D53BB" w:rsidRDefault="00CB18F7" w:rsidP="00662DE6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53BB">
              <w:rPr>
                <w:rFonts w:ascii="Arial" w:hAnsi="Arial" w:cs="Arial"/>
                <w:sz w:val="24"/>
                <w:szCs w:val="24"/>
              </w:rPr>
              <w:t>220</w:t>
            </w:r>
            <w:r w:rsidR="006C7F87" w:rsidRPr="00AA370F">
              <w:rPr>
                <w:rFonts w:ascii="Arial" w:hAnsi="Arial" w:cs="Arial"/>
                <w:sz w:val="24"/>
                <w:szCs w:val="24"/>
              </w:rPr>
              <w:t>(</w:t>
            </w:r>
            <w:r w:rsidR="006C7F87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="006C7F87" w:rsidRPr="00AA370F">
              <w:rPr>
                <w:rFonts w:ascii="Arial" w:hAnsi="Arial" w:cs="Arial"/>
                <w:sz w:val="24"/>
                <w:szCs w:val="24"/>
              </w:rPr>
              <w:t>)</w:t>
            </w:r>
            <w:r w:rsidRPr="007D53BB">
              <w:rPr>
                <w:rFonts w:ascii="Arial" w:hAnsi="Arial" w:cs="Arial"/>
                <w:sz w:val="24"/>
                <w:szCs w:val="24"/>
              </w:rPr>
              <w:t xml:space="preserve"> του 2002</w:t>
            </w:r>
          </w:p>
          <w:p w14:paraId="6E456EE4" w14:textId="77777777" w:rsidR="00CB18F7" w:rsidRPr="007D53BB" w:rsidRDefault="00CB18F7" w:rsidP="00662DE6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53BB">
              <w:rPr>
                <w:rFonts w:ascii="Arial" w:hAnsi="Arial" w:cs="Arial"/>
                <w:sz w:val="24"/>
                <w:szCs w:val="24"/>
              </w:rPr>
              <w:t>66(Ι) του 2003</w:t>
            </w:r>
          </w:p>
          <w:p w14:paraId="78BC16B0" w14:textId="77777777" w:rsidR="00CB18F7" w:rsidRPr="007D53BB" w:rsidRDefault="00CB18F7" w:rsidP="00662DE6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53BB">
              <w:rPr>
                <w:rFonts w:ascii="Arial" w:hAnsi="Arial" w:cs="Arial"/>
                <w:sz w:val="24"/>
                <w:szCs w:val="24"/>
              </w:rPr>
              <w:t>178(Ι) του 2004</w:t>
            </w:r>
          </w:p>
          <w:p w14:paraId="62BF5380" w14:textId="77777777" w:rsidR="00CB18F7" w:rsidRPr="007D53BB" w:rsidRDefault="00CB18F7" w:rsidP="00662DE6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53BB">
              <w:rPr>
                <w:rFonts w:ascii="Arial" w:hAnsi="Arial" w:cs="Arial"/>
                <w:sz w:val="24"/>
                <w:szCs w:val="24"/>
              </w:rPr>
              <w:t>8(Ι) του 2007</w:t>
            </w:r>
          </w:p>
          <w:p w14:paraId="60F32F30" w14:textId="77777777" w:rsidR="00CB18F7" w:rsidRPr="007D53BB" w:rsidRDefault="00CB18F7" w:rsidP="00662DE6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53BB">
              <w:rPr>
                <w:rFonts w:ascii="Arial" w:hAnsi="Arial" w:cs="Arial"/>
                <w:sz w:val="24"/>
                <w:szCs w:val="24"/>
              </w:rPr>
              <w:t>184(Ι) του 2007</w:t>
            </w:r>
          </w:p>
          <w:p w14:paraId="6C662E89" w14:textId="77777777" w:rsidR="00CB18F7" w:rsidRPr="007D53BB" w:rsidRDefault="00CB18F7" w:rsidP="00662DE6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53BB">
              <w:rPr>
                <w:rFonts w:ascii="Arial" w:hAnsi="Arial" w:cs="Arial"/>
                <w:sz w:val="24"/>
                <w:szCs w:val="24"/>
              </w:rPr>
              <w:t>29(Ι) του 2009</w:t>
            </w:r>
          </w:p>
          <w:p w14:paraId="27141F67" w14:textId="77777777" w:rsidR="00CB18F7" w:rsidRPr="007D53BB" w:rsidRDefault="00CB18F7" w:rsidP="00662DE6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53BB">
              <w:rPr>
                <w:rFonts w:ascii="Arial" w:hAnsi="Arial" w:cs="Arial"/>
                <w:sz w:val="24"/>
                <w:szCs w:val="24"/>
              </w:rPr>
              <w:t>143(Ι) του 2009</w:t>
            </w:r>
          </w:p>
          <w:p w14:paraId="4A057FF8" w14:textId="77777777" w:rsidR="00CB18F7" w:rsidRPr="007D53BB" w:rsidRDefault="00CB18F7" w:rsidP="00662DE6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53BB">
              <w:rPr>
                <w:rFonts w:ascii="Arial" w:hAnsi="Arial" w:cs="Arial"/>
                <w:sz w:val="24"/>
                <w:szCs w:val="24"/>
              </w:rPr>
              <w:t>153(I) του 2011</w:t>
            </w:r>
          </w:p>
          <w:p w14:paraId="500B26DB" w14:textId="77777777" w:rsidR="00CB18F7" w:rsidRPr="007D53BB" w:rsidRDefault="00CB18F7" w:rsidP="00662DE6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53BB">
              <w:rPr>
                <w:rFonts w:ascii="Arial" w:hAnsi="Arial" w:cs="Arial"/>
                <w:sz w:val="24"/>
                <w:szCs w:val="24"/>
              </w:rPr>
              <w:t>41(Ι) του 2012</w:t>
            </w:r>
          </w:p>
          <w:p w14:paraId="56DE90A0" w14:textId="77777777" w:rsidR="00CB18F7" w:rsidRPr="007D53BB" w:rsidRDefault="00CB18F7" w:rsidP="00662DE6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53BB">
              <w:rPr>
                <w:rFonts w:ascii="Arial" w:hAnsi="Arial" w:cs="Arial"/>
                <w:sz w:val="24"/>
                <w:szCs w:val="24"/>
              </w:rPr>
              <w:t>100(Ι) του 2012</w:t>
            </w:r>
          </w:p>
          <w:p w14:paraId="335F27A3" w14:textId="77777777" w:rsidR="00CB18F7" w:rsidRPr="007D53BB" w:rsidRDefault="00CB18F7" w:rsidP="00662DE6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53BB">
              <w:rPr>
                <w:rFonts w:ascii="Arial" w:hAnsi="Arial" w:cs="Arial"/>
                <w:sz w:val="24"/>
                <w:szCs w:val="24"/>
              </w:rPr>
              <w:t>117(Ι) του 2012</w:t>
            </w:r>
          </w:p>
          <w:p w14:paraId="64806610" w14:textId="77777777" w:rsidR="00CB18F7" w:rsidRPr="007D53BB" w:rsidRDefault="00CB18F7" w:rsidP="00662DE6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53BB">
              <w:rPr>
                <w:rFonts w:ascii="Arial" w:hAnsi="Arial" w:cs="Arial"/>
                <w:sz w:val="24"/>
                <w:szCs w:val="24"/>
              </w:rPr>
              <w:t>32(Ι) του 2013</w:t>
            </w:r>
          </w:p>
          <w:p w14:paraId="2CD86974" w14:textId="77777777" w:rsidR="00CB18F7" w:rsidRPr="007D53BB" w:rsidRDefault="00CB18F7" w:rsidP="00662DE6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53BB">
              <w:rPr>
                <w:rFonts w:ascii="Arial" w:hAnsi="Arial" w:cs="Arial"/>
                <w:sz w:val="24"/>
                <w:szCs w:val="24"/>
              </w:rPr>
              <w:t>49(Ι) του 2013</w:t>
            </w:r>
          </w:p>
          <w:p w14:paraId="0552415D" w14:textId="77777777" w:rsidR="00CB18F7" w:rsidRPr="007D53BB" w:rsidRDefault="00CB18F7" w:rsidP="00662DE6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53BB">
              <w:rPr>
                <w:rFonts w:ascii="Arial" w:hAnsi="Arial" w:cs="Arial"/>
                <w:sz w:val="24"/>
                <w:szCs w:val="24"/>
              </w:rPr>
              <w:t>88(Ι) του 2014</w:t>
            </w:r>
          </w:p>
          <w:p w14:paraId="3FA2456E" w14:textId="77777777" w:rsidR="00CB18F7" w:rsidRPr="007D53BB" w:rsidRDefault="00CB18F7" w:rsidP="00662DE6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53BB">
              <w:rPr>
                <w:rFonts w:ascii="Arial" w:hAnsi="Arial" w:cs="Arial"/>
                <w:sz w:val="24"/>
                <w:szCs w:val="24"/>
              </w:rPr>
              <w:t>129(Ι) του 2014</w:t>
            </w:r>
          </w:p>
          <w:p w14:paraId="4F4E7316" w14:textId="77777777" w:rsidR="00CB18F7" w:rsidRPr="007D53BB" w:rsidRDefault="00CB18F7" w:rsidP="00662DE6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53BB">
              <w:rPr>
                <w:rFonts w:ascii="Arial" w:hAnsi="Arial" w:cs="Arial"/>
                <w:sz w:val="24"/>
                <w:szCs w:val="24"/>
              </w:rPr>
              <w:t>17(Ι) του 2015</w:t>
            </w:r>
          </w:p>
          <w:p w14:paraId="0FA202F0" w14:textId="77777777" w:rsidR="00CB18F7" w:rsidRPr="007D53BB" w:rsidRDefault="00CB18F7" w:rsidP="00662DE6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53BB">
              <w:rPr>
                <w:rFonts w:ascii="Arial" w:hAnsi="Arial" w:cs="Arial"/>
                <w:sz w:val="24"/>
                <w:szCs w:val="24"/>
              </w:rPr>
              <w:t>16(Ι) του 2016</w:t>
            </w:r>
          </w:p>
          <w:p w14:paraId="555772E6" w14:textId="77777777" w:rsidR="00CB18F7" w:rsidRPr="007D53BB" w:rsidRDefault="00CB18F7" w:rsidP="00662DE6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53BB">
              <w:rPr>
                <w:rFonts w:ascii="Arial" w:hAnsi="Arial" w:cs="Arial"/>
                <w:sz w:val="24"/>
                <w:szCs w:val="24"/>
              </w:rPr>
              <w:t>2(Ι) του 2017</w:t>
            </w:r>
          </w:p>
          <w:p w14:paraId="16DFC6DC" w14:textId="77777777" w:rsidR="00CB18F7" w:rsidRPr="007D53BB" w:rsidRDefault="00CB18F7" w:rsidP="00662DE6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53BB">
              <w:rPr>
                <w:rFonts w:ascii="Arial" w:hAnsi="Arial" w:cs="Arial"/>
                <w:sz w:val="24"/>
                <w:szCs w:val="24"/>
              </w:rPr>
              <w:lastRenderedPageBreak/>
              <w:t>9(Ι) του 2017</w:t>
            </w:r>
          </w:p>
          <w:p w14:paraId="21DCAF94" w14:textId="77777777" w:rsidR="00CB18F7" w:rsidRPr="007D53BB" w:rsidRDefault="00CB18F7" w:rsidP="00662DE6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53BB">
              <w:rPr>
                <w:rFonts w:ascii="Arial" w:hAnsi="Arial" w:cs="Arial"/>
                <w:sz w:val="24"/>
                <w:szCs w:val="24"/>
              </w:rPr>
              <w:t>71(Ι) του 2017</w:t>
            </w:r>
          </w:p>
          <w:p w14:paraId="2A488973" w14:textId="77777777" w:rsidR="00CB18F7" w:rsidRPr="007D53BB" w:rsidRDefault="00CB18F7" w:rsidP="00662DE6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53BB">
              <w:rPr>
                <w:rFonts w:ascii="Arial" w:hAnsi="Arial" w:cs="Arial"/>
                <w:sz w:val="24"/>
                <w:szCs w:val="24"/>
              </w:rPr>
              <w:t>6(Ι) του 2019</w:t>
            </w:r>
          </w:p>
          <w:p w14:paraId="3BCDBB99" w14:textId="77777777" w:rsidR="00CB18F7" w:rsidRPr="007D53BB" w:rsidRDefault="00CB18F7" w:rsidP="00662DE6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53BB">
              <w:rPr>
                <w:rFonts w:ascii="Arial" w:hAnsi="Arial" w:cs="Arial"/>
                <w:sz w:val="24"/>
                <w:szCs w:val="24"/>
              </w:rPr>
              <w:t>8(Ι) του 2019</w:t>
            </w:r>
          </w:p>
          <w:p w14:paraId="5EA2A69C" w14:textId="77777777" w:rsidR="00CB18F7" w:rsidRPr="007D53BB" w:rsidRDefault="00CB18F7" w:rsidP="00662DE6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53BB">
              <w:rPr>
                <w:rFonts w:ascii="Arial" w:hAnsi="Arial" w:cs="Arial"/>
                <w:sz w:val="24"/>
                <w:szCs w:val="24"/>
              </w:rPr>
              <w:t>127(Ι) του 2019</w:t>
            </w:r>
          </w:p>
          <w:p w14:paraId="73FF65A2" w14:textId="7202B796" w:rsidR="00296976" w:rsidRPr="006C7F87" w:rsidRDefault="00D924B9" w:rsidP="00D924B9">
            <w:pPr>
              <w:spacing w:line="360" w:lineRule="auto"/>
              <w:ind w:right="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7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18F7" w:rsidRPr="007D53BB">
              <w:rPr>
                <w:rFonts w:ascii="Arial" w:hAnsi="Arial" w:cs="Arial"/>
                <w:sz w:val="24"/>
                <w:szCs w:val="24"/>
              </w:rPr>
              <w:t>169(Ι) του 2019</w:t>
            </w:r>
            <w:r w:rsidR="006C7F87" w:rsidRPr="006C7F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2F50705" w14:textId="77777777" w:rsidR="00906376" w:rsidRDefault="00906376" w:rsidP="00662DE6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116(Ι) του 2020</w:t>
            </w:r>
          </w:p>
          <w:p w14:paraId="4FFBA523" w14:textId="77777777" w:rsidR="00906376" w:rsidRDefault="00906376" w:rsidP="00662DE6">
            <w:pPr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143(Ι) του 2020</w:t>
            </w:r>
          </w:p>
          <w:p w14:paraId="4A84BCD8" w14:textId="72DC653D" w:rsidR="00906376" w:rsidRPr="007D53BB" w:rsidRDefault="00906376" w:rsidP="00662DE6">
            <w:pPr>
              <w:spacing w:line="360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46(Ι) του 2021.</w:t>
            </w:r>
          </w:p>
        </w:tc>
        <w:tc>
          <w:tcPr>
            <w:tcW w:w="7092" w:type="dxa"/>
          </w:tcPr>
          <w:p w14:paraId="614D8967" w14:textId="410ADF83" w:rsidR="00A43064" w:rsidRPr="007D53BB" w:rsidRDefault="00A54AF1" w:rsidP="00662DE6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3BB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662DE6">
              <w:rPr>
                <w:rFonts w:ascii="Arial" w:hAnsi="Arial" w:cs="Arial"/>
                <w:sz w:val="24"/>
                <w:szCs w:val="24"/>
              </w:rPr>
              <w:tab/>
            </w:r>
            <w:r w:rsidRPr="007D53BB">
              <w:rPr>
                <w:rFonts w:ascii="Arial" w:hAnsi="Arial" w:cs="Arial"/>
                <w:sz w:val="24"/>
                <w:szCs w:val="24"/>
              </w:rPr>
              <w:t xml:space="preserve">Ο παρών Νόμος θα αναφέρεται ως ο περί </w:t>
            </w:r>
            <w:r w:rsidR="00CB18F7" w:rsidRPr="007D53BB">
              <w:rPr>
                <w:rFonts w:ascii="Arial" w:hAnsi="Arial" w:cs="Arial"/>
                <w:sz w:val="24"/>
                <w:szCs w:val="24"/>
              </w:rPr>
              <w:t xml:space="preserve">Αλλοδαπών και Μεταναστεύσεως </w:t>
            </w:r>
            <w:r w:rsidR="00A43064" w:rsidRPr="007D53BB">
              <w:rPr>
                <w:rFonts w:ascii="Arial" w:hAnsi="Arial" w:cs="Arial"/>
                <w:sz w:val="24"/>
                <w:szCs w:val="24"/>
              </w:rPr>
              <w:t>(Τροποποιητικός) Νόμος του 202</w:t>
            </w:r>
            <w:r w:rsidR="00261A19">
              <w:rPr>
                <w:rFonts w:ascii="Arial" w:hAnsi="Arial" w:cs="Arial"/>
                <w:sz w:val="24"/>
                <w:szCs w:val="24"/>
              </w:rPr>
              <w:t>2</w:t>
            </w:r>
            <w:r w:rsidR="00A43064" w:rsidRPr="007D53BB">
              <w:rPr>
                <w:rFonts w:ascii="Arial" w:hAnsi="Arial" w:cs="Arial"/>
                <w:sz w:val="24"/>
                <w:szCs w:val="24"/>
              </w:rPr>
              <w:t xml:space="preserve"> και θα διαβάζεται μαζί με </w:t>
            </w:r>
            <w:r w:rsidR="00D94C91" w:rsidRPr="007D53BB">
              <w:rPr>
                <w:rFonts w:ascii="Arial" w:hAnsi="Arial" w:cs="Arial"/>
                <w:sz w:val="24"/>
                <w:szCs w:val="24"/>
              </w:rPr>
              <w:t>τον</w:t>
            </w:r>
            <w:r w:rsidR="00A43064" w:rsidRPr="007D53BB">
              <w:rPr>
                <w:rFonts w:ascii="Arial" w:hAnsi="Arial" w:cs="Arial"/>
                <w:sz w:val="24"/>
                <w:szCs w:val="24"/>
              </w:rPr>
              <w:t xml:space="preserve"> περί </w:t>
            </w:r>
            <w:r w:rsidR="00D94C91" w:rsidRPr="007D53BB">
              <w:rPr>
                <w:rFonts w:ascii="Arial" w:hAnsi="Arial" w:cs="Arial"/>
                <w:sz w:val="24"/>
                <w:szCs w:val="24"/>
              </w:rPr>
              <w:t xml:space="preserve">Αλλοδαπών και Μεταναστεύσεως Νόμο </w:t>
            </w:r>
            <w:r w:rsidR="00A43064" w:rsidRPr="007D53BB">
              <w:rPr>
                <w:rFonts w:ascii="Arial" w:hAnsi="Arial" w:cs="Arial"/>
                <w:sz w:val="24"/>
                <w:szCs w:val="24"/>
              </w:rPr>
              <w:t>(που στο εξής θα α</w:t>
            </w:r>
            <w:bookmarkStart w:id="0" w:name="_GoBack"/>
            <w:bookmarkEnd w:id="0"/>
            <w:r w:rsidR="00A43064" w:rsidRPr="007D53BB">
              <w:rPr>
                <w:rFonts w:ascii="Arial" w:hAnsi="Arial" w:cs="Arial"/>
                <w:sz w:val="24"/>
                <w:szCs w:val="24"/>
              </w:rPr>
              <w:t>ναφέρ</w:t>
            </w:r>
            <w:r w:rsidR="00D94C91" w:rsidRPr="007D53BB">
              <w:rPr>
                <w:rFonts w:ascii="Arial" w:hAnsi="Arial" w:cs="Arial"/>
                <w:sz w:val="24"/>
                <w:szCs w:val="24"/>
              </w:rPr>
              <w:t>ε</w:t>
            </w:r>
            <w:r w:rsidR="00A43064" w:rsidRPr="007D53BB">
              <w:rPr>
                <w:rFonts w:ascii="Arial" w:hAnsi="Arial" w:cs="Arial"/>
                <w:sz w:val="24"/>
                <w:szCs w:val="24"/>
              </w:rPr>
              <w:t>ται ως «ο βασικός νόμος»).</w:t>
            </w:r>
          </w:p>
        </w:tc>
      </w:tr>
      <w:tr w:rsidR="00A43064" w:rsidRPr="007D53BB" w14:paraId="1CF53129" w14:textId="77777777" w:rsidTr="0067166C">
        <w:tc>
          <w:tcPr>
            <w:tcW w:w="2122" w:type="dxa"/>
          </w:tcPr>
          <w:p w14:paraId="0304E278" w14:textId="77777777" w:rsidR="00A43064" w:rsidRPr="007D53BB" w:rsidRDefault="00A43064" w:rsidP="00BB373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2" w:type="dxa"/>
          </w:tcPr>
          <w:p w14:paraId="6D70D701" w14:textId="77777777" w:rsidR="00A43064" w:rsidRPr="007D53BB" w:rsidRDefault="00A43064" w:rsidP="00BB373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EE" w:rsidRPr="007D53BB" w14:paraId="6DBFE432" w14:textId="77777777" w:rsidTr="0067166C">
        <w:tc>
          <w:tcPr>
            <w:tcW w:w="2122" w:type="dxa"/>
          </w:tcPr>
          <w:p w14:paraId="36538A23" w14:textId="77777777" w:rsidR="00261A19" w:rsidRDefault="008C3877" w:rsidP="00BB37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Τροποποίηση του άρθρου</w:t>
            </w:r>
          </w:p>
          <w:p w14:paraId="39FF5BB4" w14:textId="77777777" w:rsidR="00393CB6" w:rsidRDefault="008C3877" w:rsidP="00BB37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18ΛΑ του βασικού</w:t>
            </w:r>
          </w:p>
          <w:p w14:paraId="0B9D61AF" w14:textId="3F8A5C2F" w:rsidR="00CD77EE" w:rsidRPr="007D53BB" w:rsidRDefault="008C3877" w:rsidP="00BB37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νόμου.</w:t>
            </w:r>
          </w:p>
        </w:tc>
        <w:tc>
          <w:tcPr>
            <w:tcW w:w="7092" w:type="dxa"/>
          </w:tcPr>
          <w:p w14:paraId="2FB92B53" w14:textId="2999F5E5" w:rsidR="00CD77EE" w:rsidRPr="007D53BB" w:rsidRDefault="006C7F87" w:rsidP="007E4D74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F87">
              <w:rPr>
                <w:rFonts w:ascii="Arial" w:hAnsi="Arial" w:cs="Arial"/>
                <w:sz w:val="24"/>
                <w:szCs w:val="24"/>
              </w:rPr>
              <w:t>2</w:t>
            </w:r>
            <w:r w:rsidR="008C3877">
              <w:rPr>
                <w:rFonts w:ascii="Arial" w:hAnsi="Arial" w:cs="Arial"/>
                <w:sz w:val="24"/>
                <w:szCs w:val="24"/>
              </w:rPr>
              <w:t>.</w:t>
            </w:r>
            <w:r w:rsidR="007E4D74">
              <w:rPr>
                <w:rFonts w:ascii="Arial" w:hAnsi="Arial" w:cs="Arial"/>
                <w:sz w:val="24"/>
                <w:szCs w:val="24"/>
              </w:rPr>
              <w:tab/>
            </w:r>
            <w:r w:rsidR="008C3877">
              <w:rPr>
                <w:rFonts w:ascii="Arial" w:hAnsi="Arial" w:cs="Arial"/>
                <w:sz w:val="24"/>
                <w:szCs w:val="24"/>
              </w:rPr>
              <w:t xml:space="preserve">Το άρθρο 18ΛΑ του βασικού νόμου </w:t>
            </w:r>
            <w:r w:rsidR="007E4D74">
              <w:rPr>
                <w:rFonts w:ascii="Arial" w:hAnsi="Arial" w:cs="Arial"/>
                <w:sz w:val="24"/>
                <w:szCs w:val="24"/>
              </w:rPr>
              <w:t>τροποποιείται</w:t>
            </w:r>
            <w:r w:rsidR="008C3877">
              <w:rPr>
                <w:rFonts w:ascii="Arial" w:hAnsi="Arial" w:cs="Arial"/>
                <w:sz w:val="24"/>
                <w:szCs w:val="24"/>
              </w:rPr>
              <w:t xml:space="preserve"> με την αντικατάσταση στην παράγραφο (β) του εδαφίου (2) αυτού της φράσης «με περίοδο ισχύος τουλάχιστο δύο ετών, του συντηρούντος και του μέλους ή των μελών της οικογένειας» (πρώτη </w:t>
            </w:r>
            <w:r w:rsidR="00261A19">
              <w:rPr>
                <w:rFonts w:ascii="Arial" w:hAnsi="Arial" w:cs="Arial"/>
                <w:sz w:val="24"/>
                <w:szCs w:val="24"/>
              </w:rPr>
              <w:t>μέχρι τρίτη</w:t>
            </w:r>
            <w:r w:rsidR="008C3877">
              <w:rPr>
                <w:rFonts w:ascii="Arial" w:hAnsi="Arial" w:cs="Arial"/>
                <w:sz w:val="24"/>
                <w:szCs w:val="24"/>
              </w:rPr>
              <w:t xml:space="preserve"> γραμμή)</w:t>
            </w:r>
            <w:r w:rsidR="00261A19">
              <w:rPr>
                <w:rFonts w:ascii="Arial" w:hAnsi="Arial" w:cs="Arial"/>
                <w:sz w:val="24"/>
                <w:szCs w:val="24"/>
              </w:rPr>
              <w:t>,</w:t>
            </w:r>
            <w:r w:rsidR="008C3877">
              <w:rPr>
                <w:rFonts w:ascii="Arial" w:hAnsi="Arial" w:cs="Arial"/>
                <w:sz w:val="24"/>
                <w:szCs w:val="24"/>
              </w:rPr>
              <w:t xml:space="preserve"> με τη φράση «του μέλους ή των μελών της οικογένειας, η ισχύς του οποίου </w:t>
            </w:r>
            <w:r w:rsidR="00C41A91">
              <w:rPr>
                <w:rFonts w:ascii="Arial" w:hAnsi="Arial" w:cs="Arial"/>
                <w:sz w:val="24"/>
                <w:szCs w:val="24"/>
              </w:rPr>
              <w:t xml:space="preserve">λήγει τουλάχιστον έξι (6) μήνες μετά τη λήξη της </w:t>
            </w:r>
            <w:r w:rsidR="008C3877">
              <w:rPr>
                <w:rFonts w:ascii="Arial" w:hAnsi="Arial" w:cs="Arial"/>
                <w:sz w:val="24"/>
                <w:szCs w:val="24"/>
              </w:rPr>
              <w:t xml:space="preserve">ισχύος της </w:t>
            </w:r>
            <w:r w:rsidR="00B648A0">
              <w:rPr>
                <w:rFonts w:ascii="Arial" w:hAnsi="Arial" w:cs="Arial"/>
                <w:sz w:val="24"/>
                <w:szCs w:val="24"/>
              </w:rPr>
              <w:t xml:space="preserve">αιτούμενης </w:t>
            </w:r>
            <w:r w:rsidR="008C3877">
              <w:rPr>
                <w:rFonts w:ascii="Arial" w:hAnsi="Arial" w:cs="Arial"/>
                <w:sz w:val="24"/>
                <w:szCs w:val="24"/>
              </w:rPr>
              <w:t>άδειας διαμονής για σκοπούς οικογενειακής επανένωσης</w:t>
            </w:r>
            <w:r w:rsidR="007E4D74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  <w:tr w:rsidR="007E4D74" w:rsidRPr="007D53BB" w14:paraId="7EA0FB63" w14:textId="77777777" w:rsidTr="0067166C">
        <w:tc>
          <w:tcPr>
            <w:tcW w:w="2122" w:type="dxa"/>
          </w:tcPr>
          <w:p w14:paraId="642271A9" w14:textId="77777777" w:rsidR="007E4D74" w:rsidRDefault="007E4D74" w:rsidP="00BB37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2" w:type="dxa"/>
          </w:tcPr>
          <w:p w14:paraId="186F3DC2" w14:textId="77777777" w:rsidR="007E4D74" w:rsidRDefault="007E4D74" w:rsidP="00BB373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D74" w:rsidRPr="007D53BB" w14:paraId="19B4FB84" w14:textId="77777777" w:rsidTr="0067166C">
        <w:tc>
          <w:tcPr>
            <w:tcW w:w="2122" w:type="dxa"/>
          </w:tcPr>
          <w:p w14:paraId="0B7057CB" w14:textId="77777777" w:rsidR="00261A19" w:rsidRDefault="007E4D74" w:rsidP="00BB37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Τροποποίηση του άρθρου</w:t>
            </w:r>
          </w:p>
          <w:p w14:paraId="732BBD5E" w14:textId="77777777" w:rsidR="00393CB6" w:rsidRDefault="007E4D74" w:rsidP="00BB37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18ΣΕ του βασικού</w:t>
            </w:r>
          </w:p>
          <w:p w14:paraId="10988808" w14:textId="563966DB" w:rsidR="007E4D74" w:rsidRDefault="007E4D74" w:rsidP="00BB37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νόμου.</w:t>
            </w:r>
          </w:p>
        </w:tc>
        <w:tc>
          <w:tcPr>
            <w:tcW w:w="7092" w:type="dxa"/>
          </w:tcPr>
          <w:p w14:paraId="46A742A8" w14:textId="37433D78" w:rsidR="007E4D74" w:rsidRPr="00D924B9" w:rsidRDefault="006C7F87" w:rsidP="007E4D74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F87">
              <w:rPr>
                <w:rFonts w:ascii="Arial" w:hAnsi="Arial" w:cs="Arial"/>
                <w:sz w:val="24"/>
                <w:szCs w:val="24"/>
              </w:rPr>
              <w:t>3</w:t>
            </w:r>
            <w:r w:rsidR="007E4D74">
              <w:rPr>
                <w:rFonts w:ascii="Arial" w:hAnsi="Arial" w:cs="Arial"/>
                <w:sz w:val="24"/>
                <w:szCs w:val="24"/>
              </w:rPr>
              <w:t>.</w:t>
            </w:r>
            <w:r w:rsidR="00D924B9" w:rsidRPr="00D924B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E4D74">
              <w:rPr>
                <w:rFonts w:ascii="Arial" w:hAnsi="Arial" w:cs="Arial"/>
                <w:sz w:val="24"/>
                <w:szCs w:val="24"/>
              </w:rPr>
              <w:t xml:space="preserve">Το άρθρο 18ΣΕ του βασικού νόμου τροποποιείται με την αντικατάσταση στην </w:t>
            </w:r>
            <w:proofErr w:type="spellStart"/>
            <w:r w:rsidR="007E4D74">
              <w:rPr>
                <w:rFonts w:ascii="Arial" w:hAnsi="Arial" w:cs="Arial"/>
                <w:sz w:val="24"/>
                <w:szCs w:val="24"/>
              </w:rPr>
              <w:t>υποπαράγραφο</w:t>
            </w:r>
            <w:proofErr w:type="spellEnd"/>
            <w:r w:rsidR="007E4D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4D74" w:rsidRPr="007E4D74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7E4D74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="007E4D74" w:rsidRPr="007E4D74">
              <w:rPr>
                <w:rFonts w:ascii="Arial" w:hAnsi="Arial" w:cs="Arial"/>
                <w:sz w:val="24"/>
                <w:szCs w:val="24"/>
              </w:rPr>
              <w:t>)</w:t>
            </w:r>
            <w:r w:rsidR="007E4D74">
              <w:rPr>
                <w:rFonts w:ascii="Arial" w:hAnsi="Arial" w:cs="Arial"/>
                <w:sz w:val="24"/>
                <w:szCs w:val="24"/>
              </w:rPr>
              <w:t xml:space="preserve"> της παραγράφου (δ) του εδαφίου (1) αυτού της φράσης «</w:t>
            </w:r>
            <w:r w:rsidR="003D2E48">
              <w:rPr>
                <w:rFonts w:ascii="Arial" w:hAnsi="Arial" w:cs="Arial"/>
                <w:sz w:val="24"/>
                <w:szCs w:val="24"/>
              </w:rPr>
              <w:t xml:space="preserve">η περίοδος ισχύος του οποίου </w:t>
            </w:r>
            <w:r w:rsidR="007E4D74">
              <w:rPr>
                <w:rFonts w:ascii="Arial" w:hAnsi="Arial" w:cs="Arial"/>
                <w:sz w:val="24"/>
                <w:szCs w:val="24"/>
              </w:rPr>
              <w:t>είναι τουλάχιστον δύο έτη» (</w:t>
            </w:r>
            <w:r>
              <w:rPr>
                <w:rFonts w:ascii="Arial" w:hAnsi="Arial" w:cs="Arial"/>
                <w:sz w:val="24"/>
                <w:szCs w:val="24"/>
              </w:rPr>
              <w:t>πρώτη μέχρι</w:t>
            </w:r>
            <w:r w:rsidR="00261A19">
              <w:rPr>
                <w:rFonts w:ascii="Arial" w:hAnsi="Arial" w:cs="Arial"/>
                <w:sz w:val="24"/>
                <w:szCs w:val="24"/>
              </w:rPr>
              <w:t xml:space="preserve"> τρίτη</w:t>
            </w:r>
            <w:r w:rsidR="007E4D74">
              <w:rPr>
                <w:rFonts w:ascii="Arial" w:hAnsi="Arial" w:cs="Arial"/>
                <w:sz w:val="24"/>
                <w:szCs w:val="24"/>
              </w:rPr>
              <w:t xml:space="preserve"> γραμμή)</w:t>
            </w:r>
            <w:r w:rsidR="00261A19">
              <w:rPr>
                <w:rFonts w:ascii="Arial" w:hAnsi="Arial" w:cs="Arial"/>
                <w:sz w:val="24"/>
                <w:szCs w:val="24"/>
              </w:rPr>
              <w:t>,</w:t>
            </w:r>
            <w:r w:rsidR="007E4D74">
              <w:rPr>
                <w:rFonts w:ascii="Arial" w:hAnsi="Arial" w:cs="Arial"/>
                <w:sz w:val="24"/>
                <w:szCs w:val="24"/>
              </w:rPr>
              <w:t xml:space="preserve"> με τη φράση «</w:t>
            </w:r>
            <w:r w:rsidR="003D2E48">
              <w:rPr>
                <w:rFonts w:ascii="Arial" w:hAnsi="Arial" w:cs="Arial"/>
                <w:sz w:val="24"/>
                <w:szCs w:val="24"/>
              </w:rPr>
              <w:t xml:space="preserve">η ισχύς του οποίου λήγει τουλάχιστον έξι (6) μήνες μετά τη λήξη της </w:t>
            </w:r>
            <w:r w:rsidR="007E4D74">
              <w:rPr>
                <w:rFonts w:ascii="Arial" w:hAnsi="Arial" w:cs="Arial"/>
                <w:sz w:val="24"/>
                <w:szCs w:val="24"/>
              </w:rPr>
              <w:t xml:space="preserve">ισχύος της </w:t>
            </w:r>
            <w:r w:rsidR="00B648A0">
              <w:rPr>
                <w:rFonts w:ascii="Arial" w:hAnsi="Arial" w:cs="Arial"/>
                <w:sz w:val="24"/>
                <w:szCs w:val="24"/>
              </w:rPr>
              <w:t xml:space="preserve">αιτούμενης </w:t>
            </w:r>
            <w:r w:rsidR="007E4D74">
              <w:rPr>
                <w:rFonts w:ascii="Arial" w:hAnsi="Arial" w:cs="Arial"/>
                <w:sz w:val="24"/>
                <w:szCs w:val="24"/>
              </w:rPr>
              <w:t>μπλε κάρτας».</w:t>
            </w:r>
          </w:p>
        </w:tc>
      </w:tr>
      <w:tr w:rsidR="006C7F87" w:rsidRPr="007D53BB" w14:paraId="247C6C19" w14:textId="77777777" w:rsidTr="0067166C">
        <w:tc>
          <w:tcPr>
            <w:tcW w:w="2122" w:type="dxa"/>
          </w:tcPr>
          <w:p w14:paraId="00CF2B1D" w14:textId="77777777" w:rsidR="006C7F87" w:rsidRDefault="006C7F87" w:rsidP="00BB37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2" w:type="dxa"/>
          </w:tcPr>
          <w:p w14:paraId="26B5B8BA" w14:textId="77777777" w:rsidR="006C7F87" w:rsidRDefault="006C7F87" w:rsidP="007E4D74">
            <w:pPr>
              <w:tabs>
                <w:tab w:val="left" w:pos="39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F87" w:rsidRPr="006C7F87" w14:paraId="777BDFE3" w14:textId="77777777" w:rsidTr="0067166C">
        <w:tc>
          <w:tcPr>
            <w:tcW w:w="2122" w:type="dxa"/>
          </w:tcPr>
          <w:p w14:paraId="6D296F92" w14:textId="77777777" w:rsidR="006C7F87" w:rsidRDefault="006C7F87" w:rsidP="006C7F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3BB">
              <w:rPr>
                <w:rFonts w:ascii="Arial" w:hAnsi="Arial" w:cs="Arial"/>
                <w:sz w:val="24"/>
                <w:szCs w:val="24"/>
              </w:rPr>
              <w:t xml:space="preserve">Τροποποίηση του άρθρου </w:t>
            </w:r>
            <w:r>
              <w:rPr>
                <w:rFonts w:ascii="Arial" w:hAnsi="Arial" w:cs="Arial"/>
                <w:sz w:val="24"/>
                <w:szCs w:val="24"/>
              </w:rPr>
              <w:t>18ΥΣΤ</w:t>
            </w:r>
            <w:r w:rsidRPr="007D53BB">
              <w:rPr>
                <w:rFonts w:ascii="Arial" w:hAnsi="Arial" w:cs="Arial"/>
                <w:sz w:val="24"/>
                <w:szCs w:val="24"/>
              </w:rPr>
              <w:t xml:space="preserve"> του βασικού</w:t>
            </w:r>
          </w:p>
          <w:p w14:paraId="588593ED" w14:textId="69AA26E7" w:rsidR="006C7F87" w:rsidRDefault="006C7F87" w:rsidP="006C7F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D53BB">
              <w:rPr>
                <w:rFonts w:ascii="Arial" w:hAnsi="Arial" w:cs="Arial"/>
                <w:sz w:val="24"/>
                <w:szCs w:val="24"/>
              </w:rPr>
              <w:t>νόμου.</w:t>
            </w:r>
          </w:p>
        </w:tc>
        <w:tc>
          <w:tcPr>
            <w:tcW w:w="7092" w:type="dxa"/>
          </w:tcPr>
          <w:p w14:paraId="1788D5B9" w14:textId="263AFE78" w:rsidR="006C7F87" w:rsidRDefault="006C7F87" w:rsidP="00D924B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F87">
              <w:rPr>
                <w:rFonts w:ascii="Arial" w:hAnsi="Arial" w:cs="Arial"/>
                <w:sz w:val="24"/>
                <w:szCs w:val="24"/>
              </w:rPr>
              <w:t>4</w:t>
            </w:r>
            <w:r w:rsidRPr="007D53BB">
              <w:rPr>
                <w:rFonts w:ascii="Arial" w:hAnsi="Arial" w:cs="Arial"/>
                <w:sz w:val="24"/>
                <w:szCs w:val="24"/>
              </w:rPr>
              <w:t>.</w:t>
            </w:r>
            <w:r w:rsidR="00D924B9" w:rsidRPr="00D924B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D53BB">
              <w:rPr>
                <w:rFonts w:ascii="Arial" w:hAnsi="Arial" w:cs="Arial"/>
                <w:sz w:val="24"/>
                <w:szCs w:val="24"/>
              </w:rPr>
              <w:t>Το άρθρο 18ΥΣΤ του βασικού νόμου τροποποιείται με την αντικατάσταση στην παράγραφο (α) αυτού της φράσης «</w:t>
            </w:r>
            <w:r>
              <w:rPr>
                <w:rFonts w:ascii="Arial" w:hAnsi="Arial" w:cs="Arial"/>
                <w:sz w:val="24"/>
                <w:szCs w:val="24"/>
              </w:rPr>
              <w:t xml:space="preserve">ισχύος </w:t>
            </w:r>
            <w:r w:rsidRPr="007D53BB">
              <w:rPr>
                <w:rFonts w:ascii="Arial" w:hAnsi="Arial" w:cs="Arial"/>
                <w:sz w:val="24"/>
                <w:szCs w:val="24"/>
              </w:rPr>
              <w:t>δύο (2) τουλάχιστον ετών κατά την ημερομηνία υποβολής της αίτησης» (</w:t>
            </w:r>
            <w:r>
              <w:rPr>
                <w:rFonts w:ascii="Arial" w:hAnsi="Arial" w:cs="Arial"/>
                <w:sz w:val="24"/>
                <w:szCs w:val="24"/>
              </w:rPr>
              <w:t>δεύτερη</w:t>
            </w:r>
            <w:r w:rsidRPr="007D53BB">
              <w:rPr>
                <w:rFonts w:ascii="Arial" w:hAnsi="Arial" w:cs="Arial"/>
                <w:sz w:val="24"/>
                <w:szCs w:val="24"/>
              </w:rPr>
              <w:t xml:space="preserve"> και </w:t>
            </w:r>
            <w:r>
              <w:rPr>
                <w:rFonts w:ascii="Arial" w:hAnsi="Arial" w:cs="Arial"/>
                <w:sz w:val="24"/>
                <w:szCs w:val="24"/>
              </w:rPr>
              <w:t>τρίτη</w:t>
            </w:r>
            <w:r w:rsidRPr="007D53BB">
              <w:rPr>
                <w:rFonts w:ascii="Arial" w:hAnsi="Arial" w:cs="Arial"/>
                <w:sz w:val="24"/>
                <w:szCs w:val="24"/>
              </w:rPr>
              <w:t xml:space="preserve"> γραμμή)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7D53BB">
              <w:rPr>
                <w:rFonts w:ascii="Arial" w:hAnsi="Arial" w:cs="Arial"/>
                <w:sz w:val="24"/>
                <w:szCs w:val="24"/>
              </w:rPr>
              <w:t xml:space="preserve"> με τη φράση «</w:t>
            </w:r>
            <w:r>
              <w:rPr>
                <w:rFonts w:ascii="Arial" w:hAnsi="Arial" w:cs="Arial"/>
                <w:sz w:val="24"/>
                <w:szCs w:val="24"/>
              </w:rPr>
              <w:t>η ισχύς του οποίου, κατά την ημερομηνία υποβολής της αίτησης, λήγει τουλάχιστον έξι (6) μήνες μετά τη λήξη της ισχύος της</w:t>
            </w:r>
            <w:r w:rsidR="00B648A0" w:rsidRPr="00B648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48A0">
              <w:rPr>
                <w:rFonts w:ascii="Arial" w:hAnsi="Arial" w:cs="Arial"/>
                <w:sz w:val="24"/>
                <w:szCs w:val="24"/>
              </w:rPr>
              <w:t>αιτούμενης</w:t>
            </w:r>
            <w:r>
              <w:rPr>
                <w:rFonts w:ascii="Arial" w:hAnsi="Arial" w:cs="Arial"/>
                <w:sz w:val="24"/>
                <w:szCs w:val="24"/>
              </w:rPr>
              <w:t xml:space="preserve"> ενιαίας άδειας</w:t>
            </w:r>
            <w:r w:rsidRPr="007D53BB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</w:tbl>
    <w:p w14:paraId="6A63394A" w14:textId="77777777" w:rsidR="00EC42B1" w:rsidRDefault="00EC42B1" w:rsidP="006C7F8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F5C2B0D" w14:textId="4B21CA85" w:rsidR="005B10A5" w:rsidRPr="006C7F87" w:rsidRDefault="005B10A5" w:rsidP="006C7F87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6C7F87">
        <w:rPr>
          <w:rFonts w:ascii="Arial" w:hAnsi="Arial" w:cs="Arial"/>
          <w:sz w:val="24"/>
          <w:szCs w:val="24"/>
        </w:rPr>
        <w:t>Αρ</w:t>
      </w:r>
      <w:proofErr w:type="spellEnd"/>
      <w:r w:rsidRPr="006C7F8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C7F87">
        <w:rPr>
          <w:rFonts w:ascii="Arial" w:hAnsi="Arial" w:cs="Arial"/>
          <w:sz w:val="24"/>
          <w:szCs w:val="24"/>
        </w:rPr>
        <w:t>Φακ</w:t>
      </w:r>
      <w:proofErr w:type="spellEnd"/>
      <w:r w:rsidRPr="006C7F87">
        <w:rPr>
          <w:rFonts w:ascii="Arial" w:hAnsi="Arial" w:cs="Arial"/>
          <w:sz w:val="24"/>
          <w:szCs w:val="24"/>
        </w:rPr>
        <w:t>.: 23.02.062.102-2021</w:t>
      </w:r>
    </w:p>
    <w:p w14:paraId="3BFB0065" w14:textId="2386EC33" w:rsidR="005B10A5" w:rsidRPr="007D53BB" w:rsidRDefault="005B10A5" w:rsidP="008661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4D74">
        <w:rPr>
          <w:rFonts w:ascii="Arial" w:hAnsi="Arial" w:cs="Arial"/>
          <w:sz w:val="20"/>
          <w:szCs w:val="20"/>
        </w:rPr>
        <w:t>ΔΠ/ΧΧ</w:t>
      </w:r>
    </w:p>
    <w:sectPr w:rsidR="005B10A5" w:rsidRPr="007D53BB" w:rsidSect="00B648A0">
      <w:headerReference w:type="default" r:id="rId8"/>
      <w:pgSz w:w="11906" w:h="16838"/>
      <w:pgMar w:top="1276" w:right="113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EE42C" w14:textId="77777777" w:rsidR="00656F9D" w:rsidRDefault="00656F9D" w:rsidP="00952E9C">
      <w:pPr>
        <w:spacing w:after="0" w:line="240" w:lineRule="auto"/>
      </w:pPr>
      <w:r>
        <w:separator/>
      </w:r>
    </w:p>
  </w:endnote>
  <w:endnote w:type="continuationSeparator" w:id="0">
    <w:p w14:paraId="7322C6A4" w14:textId="77777777" w:rsidR="00656F9D" w:rsidRDefault="00656F9D" w:rsidP="0095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B1F00" w14:textId="77777777" w:rsidR="00656F9D" w:rsidRDefault="00656F9D" w:rsidP="00952E9C">
      <w:pPr>
        <w:spacing w:after="0" w:line="240" w:lineRule="auto"/>
      </w:pPr>
      <w:r>
        <w:separator/>
      </w:r>
    </w:p>
  </w:footnote>
  <w:footnote w:type="continuationSeparator" w:id="0">
    <w:p w14:paraId="58BBC9F3" w14:textId="77777777" w:rsidR="00656F9D" w:rsidRDefault="00656F9D" w:rsidP="00952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4060162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E935050" w14:textId="35AD695C" w:rsidR="00952E9C" w:rsidRPr="00952E9C" w:rsidRDefault="00952E9C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952E9C">
          <w:rPr>
            <w:rFonts w:ascii="Arial" w:hAnsi="Arial" w:cs="Arial"/>
            <w:sz w:val="24"/>
            <w:szCs w:val="24"/>
          </w:rPr>
          <w:fldChar w:fldCharType="begin"/>
        </w:r>
        <w:r w:rsidRPr="00952E9C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952E9C">
          <w:rPr>
            <w:rFonts w:ascii="Arial" w:hAnsi="Arial" w:cs="Arial"/>
            <w:sz w:val="24"/>
            <w:szCs w:val="24"/>
          </w:rPr>
          <w:fldChar w:fldCharType="separate"/>
        </w:r>
        <w:r w:rsidRPr="00952E9C">
          <w:rPr>
            <w:rFonts w:ascii="Arial" w:hAnsi="Arial" w:cs="Arial"/>
            <w:noProof/>
            <w:sz w:val="24"/>
            <w:szCs w:val="24"/>
          </w:rPr>
          <w:t>2</w:t>
        </w:r>
        <w:r w:rsidRPr="00952E9C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FBE56DD" w14:textId="77777777" w:rsidR="00952E9C" w:rsidRDefault="00952E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3116E"/>
    <w:multiLevelType w:val="hybridMultilevel"/>
    <w:tmpl w:val="DB60B3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AF1"/>
    <w:rsid w:val="000A3DAD"/>
    <w:rsid w:val="00151CDE"/>
    <w:rsid w:val="001E007C"/>
    <w:rsid w:val="00203999"/>
    <w:rsid w:val="00261A19"/>
    <w:rsid w:val="00296976"/>
    <w:rsid w:val="002E370A"/>
    <w:rsid w:val="002F1A90"/>
    <w:rsid w:val="00300A44"/>
    <w:rsid w:val="003375CE"/>
    <w:rsid w:val="00393CB6"/>
    <w:rsid w:val="003A74B7"/>
    <w:rsid w:val="003B05ED"/>
    <w:rsid w:val="003B7EBB"/>
    <w:rsid w:val="003D2C03"/>
    <w:rsid w:val="003D2E48"/>
    <w:rsid w:val="003E46AE"/>
    <w:rsid w:val="00406969"/>
    <w:rsid w:val="004B02B9"/>
    <w:rsid w:val="004C19E4"/>
    <w:rsid w:val="004D217C"/>
    <w:rsid w:val="00557247"/>
    <w:rsid w:val="005B10A5"/>
    <w:rsid w:val="00656F9D"/>
    <w:rsid w:val="00662DE6"/>
    <w:rsid w:val="0067166C"/>
    <w:rsid w:val="0068543C"/>
    <w:rsid w:val="006C7F87"/>
    <w:rsid w:val="007579D0"/>
    <w:rsid w:val="007D53BB"/>
    <w:rsid w:val="007E4D74"/>
    <w:rsid w:val="00825879"/>
    <w:rsid w:val="008661B2"/>
    <w:rsid w:val="00875100"/>
    <w:rsid w:val="008923B2"/>
    <w:rsid w:val="008A2982"/>
    <w:rsid w:val="008C3877"/>
    <w:rsid w:val="00906376"/>
    <w:rsid w:val="00952E9C"/>
    <w:rsid w:val="009605E9"/>
    <w:rsid w:val="009E36F4"/>
    <w:rsid w:val="00A43064"/>
    <w:rsid w:val="00A54AF1"/>
    <w:rsid w:val="00A855E1"/>
    <w:rsid w:val="00AA370F"/>
    <w:rsid w:val="00B1412C"/>
    <w:rsid w:val="00B648A0"/>
    <w:rsid w:val="00BB373A"/>
    <w:rsid w:val="00C15DAB"/>
    <w:rsid w:val="00C41A91"/>
    <w:rsid w:val="00CB18F7"/>
    <w:rsid w:val="00CD77EE"/>
    <w:rsid w:val="00D07348"/>
    <w:rsid w:val="00D924B9"/>
    <w:rsid w:val="00D94C91"/>
    <w:rsid w:val="00E20975"/>
    <w:rsid w:val="00E61E32"/>
    <w:rsid w:val="00EA1DEF"/>
    <w:rsid w:val="00EC05E8"/>
    <w:rsid w:val="00EC42B1"/>
    <w:rsid w:val="00F44987"/>
    <w:rsid w:val="00F91562"/>
    <w:rsid w:val="00FE5B94"/>
    <w:rsid w:val="00FE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7A6A1"/>
  <w15:chartTrackingRefBased/>
  <w15:docId w15:val="{5F9117DC-7D70-43E2-A4B9-DE65493A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4A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2E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E9C"/>
  </w:style>
  <w:style w:type="paragraph" w:styleId="Footer">
    <w:name w:val="footer"/>
    <w:basedOn w:val="Normal"/>
    <w:link w:val="FooterChar"/>
    <w:uiPriority w:val="99"/>
    <w:unhideWhenUsed/>
    <w:rsid w:val="00952E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75F5B-753E-42A6-A088-E362D417E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MANTOVANI</cp:lastModifiedBy>
  <cp:revision>2</cp:revision>
  <cp:lastPrinted>2021-08-04T06:38:00Z</cp:lastPrinted>
  <dcterms:created xsi:type="dcterms:W3CDTF">2022-07-04T06:32:00Z</dcterms:created>
  <dcterms:modified xsi:type="dcterms:W3CDTF">2022-07-04T06:32:00Z</dcterms:modified>
</cp:coreProperties>
</file>