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4F56A" w14:textId="11E7AA2B" w:rsidR="00683F74" w:rsidRDefault="00422BF4" w:rsidP="00683F74">
      <w:pPr>
        <w:spacing w:line="360" w:lineRule="auto"/>
        <w:jc w:val="center"/>
        <w:rPr>
          <w:rFonts w:ascii="Arial" w:hAnsi="Arial" w:cs="Arial"/>
          <w:caps/>
          <w:lang w:val="el-GR"/>
        </w:rPr>
      </w:pPr>
      <w:r>
        <w:rPr>
          <w:rFonts w:ascii="Arial" w:hAnsi="Arial" w:cs="Arial"/>
          <w:caps/>
          <w:lang w:val="el-GR"/>
        </w:rPr>
        <w:t xml:space="preserve">ΝΟΜΟΣ ΠΟΥ ΤΡΟΠΟΠΟΙΕΙ τους </w:t>
      </w:r>
      <w:r w:rsidR="008F6996" w:rsidRPr="00080D31">
        <w:rPr>
          <w:rFonts w:ascii="Arial" w:hAnsi="Arial" w:cs="Arial"/>
          <w:caps/>
          <w:lang w:val="el-GR"/>
        </w:rPr>
        <w:t xml:space="preserve">ΠΕΡΙ </w:t>
      </w:r>
      <w:r w:rsidR="00683F74" w:rsidRPr="00080D31">
        <w:rPr>
          <w:rFonts w:ascii="Arial" w:hAnsi="Arial" w:cs="Arial"/>
          <w:caps/>
          <w:lang w:val="el-GR"/>
        </w:rPr>
        <w:t xml:space="preserve"> </w:t>
      </w:r>
      <w:r w:rsidR="00CC529C" w:rsidRPr="00080D31">
        <w:rPr>
          <w:rFonts w:ascii="Arial" w:hAnsi="Arial" w:cs="Arial"/>
          <w:caps/>
          <w:lang w:val="el-GR"/>
        </w:rPr>
        <w:t>ΚΑΤΑΣΤΟΛΗΣ ΤΟΥ ΕΓΚΛΗΜΑΤΟΣ (ΕΛΕΓΧΟΜΕΝΗ ΠΑΡΑΔΟΣΗ ΚΑΙ άλλες ΕΙΔΙΚΕΣ ΔΙΑΤΑΞΕΙΣ)</w:t>
      </w:r>
      <w:r w:rsidR="00512049" w:rsidRPr="00080D31">
        <w:rPr>
          <w:rFonts w:ascii="Arial" w:hAnsi="Arial" w:cs="Arial"/>
          <w:caps/>
          <w:lang w:val="el-GR"/>
        </w:rPr>
        <w:t xml:space="preserve"> ΝΟΜΟ</w:t>
      </w:r>
      <w:r>
        <w:rPr>
          <w:rFonts w:ascii="Arial" w:hAnsi="Arial" w:cs="Arial"/>
          <w:caps/>
          <w:lang w:val="el-GR"/>
        </w:rPr>
        <w:t>Υ</w:t>
      </w:r>
      <w:r w:rsidR="008F6996" w:rsidRPr="00080D31">
        <w:rPr>
          <w:rFonts w:ascii="Arial" w:hAnsi="Arial" w:cs="Arial"/>
          <w:caps/>
          <w:lang w:val="el-GR"/>
        </w:rPr>
        <w:t xml:space="preserve">ς ΤΟΥ </w:t>
      </w:r>
      <w:r>
        <w:rPr>
          <w:rFonts w:ascii="Arial" w:hAnsi="Arial" w:cs="Arial"/>
          <w:caps/>
          <w:lang w:val="el-GR"/>
        </w:rPr>
        <w:t>1995 ΚΑΙ 1998</w:t>
      </w:r>
    </w:p>
    <w:p w14:paraId="7F77EBBD" w14:textId="77777777" w:rsidR="00EF34F7" w:rsidRPr="00422BF4" w:rsidRDefault="00EF34F7" w:rsidP="00683F74">
      <w:pPr>
        <w:spacing w:line="360" w:lineRule="auto"/>
        <w:jc w:val="center"/>
        <w:rPr>
          <w:rFonts w:cs="Arial"/>
          <w:lang w:val="el-G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85"/>
        <w:gridCol w:w="1607"/>
        <w:gridCol w:w="842"/>
        <w:gridCol w:w="5538"/>
      </w:tblGrid>
      <w:tr w:rsidR="00AB5566" w:rsidRPr="00EF34F7" w14:paraId="22F3AA38" w14:textId="77777777" w:rsidTr="00EF34F7">
        <w:trPr>
          <w:trHeight w:val="64"/>
        </w:trPr>
        <w:tc>
          <w:tcPr>
            <w:tcW w:w="995" w:type="pct"/>
          </w:tcPr>
          <w:p w14:paraId="2324288E" w14:textId="77777777" w:rsidR="00AB5566" w:rsidRPr="00080D31" w:rsidRDefault="00AB5566" w:rsidP="00372C6B">
            <w:pPr>
              <w:pStyle w:val="BodyTextIndent2"/>
              <w:tabs>
                <w:tab w:val="left" w:pos="720"/>
              </w:tabs>
              <w:spacing w:line="360" w:lineRule="auto"/>
              <w:ind w:firstLine="0"/>
              <w:rPr>
                <w:rFonts w:cs="Arial"/>
                <w:lang w:eastAsia="en-US"/>
              </w:rPr>
            </w:pPr>
          </w:p>
        </w:tc>
        <w:tc>
          <w:tcPr>
            <w:tcW w:w="4005" w:type="pct"/>
            <w:gridSpan w:val="3"/>
          </w:tcPr>
          <w:p w14:paraId="3D348589" w14:textId="77777777" w:rsidR="00AB5566" w:rsidRDefault="00AB5566" w:rsidP="00EF34F7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Η Βουλή των Αντιπροσώπων ψηφίζει ως ακολούθως:</w:t>
            </w:r>
          </w:p>
        </w:tc>
      </w:tr>
      <w:tr w:rsidR="00AB5566" w:rsidRPr="00EF34F7" w14:paraId="7DAA8202" w14:textId="77777777" w:rsidTr="00EF34F7">
        <w:trPr>
          <w:trHeight w:val="66"/>
        </w:trPr>
        <w:tc>
          <w:tcPr>
            <w:tcW w:w="995" w:type="pct"/>
          </w:tcPr>
          <w:p w14:paraId="78D5EAD3" w14:textId="77777777" w:rsidR="00AB5566" w:rsidRPr="00080D31" w:rsidRDefault="00AB5566" w:rsidP="00372C6B">
            <w:pPr>
              <w:pStyle w:val="BodyTextIndent2"/>
              <w:tabs>
                <w:tab w:val="left" w:pos="720"/>
              </w:tabs>
              <w:spacing w:line="360" w:lineRule="auto"/>
              <w:ind w:firstLine="0"/>
              <w:rPr>
                <w:rFonts w:cs="Arial"/>
                <w:lang w:eastAsia="en-US"/>
              </w:rPr>
            </w:pPr>
          </w:p>
        </w:tc>
        <w:tc>
          <w:tcPr>
            <w:tcW w:w="4005" w:type="pct"/>
            <w:gridSpan w:val="3"/>
          </w:tcPr>
          <w:p w14:paraId="419EA19B" w14:textId="77777777" w:rsidR="00AB5566" w:rsidRDefault="00AB5566" w:rsidP="00EF34F7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7A2411" w:rsidRPr="00EF34F7" w14:paraId="2514F203" w14:textId="77777777" w:rsidTr="00EF34F7">
        <w:trPr>
          <w:trHeight w:val="588"/>
        </w:trPr>
        <w:tc>
          <w:tcPr>
            <w:tcW w:w="995" w:type="pct"/>
          </w:tcPr>
          <w:p w14:paraId="114A8A9B" w14:textId="77777777" w:rsidR="001F524C" w:rsidRPr="00080D31" w:rsidRDefault="001F524C" w:rsidP="00080D31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l-GR"/>
              </w:rPr>
            </w:pPr>
            <w:r w:rsidRPr="00080D31">
              <w:rPr>
                <w:rFonts w:ascii="Arial" w:hAnsi="Arial" w:cs="Arial"/>
                <w:bCs/>
                <w:color w:val="000000"/>
                <w:lang w:val="el-GR"/>
              </w:rPr>
              <w:t>Συνοπτικός τίτλος</w:t>
            </w:r>
            <w:r w:rsidR="003E6559" w:rsidRPr="00080D31">
              <w:rPr>
                <w:rFonts w:ascii="Arial" w:hAnsi="Arial" w:cs="Arial"/>
                <w:bCs/>
                <w:color w:val="000000"/>
                <w:lang w:val="el-GR"/>
              </w:rPr>
              <w:t>.</w:t>
            </w:r>
          </w:p>
          <w:p w14:paraId="73B403CB" w14:textId="77777777" w:rsidR="008F6996" w:rsidRPr="00080D31" w:rsidRDefault="008F6996" w:rsidP="00372C6B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  <w:p w14:paraId="5C027862" w14:textId="14D18753" w:rsidR="001D481E" w:rsidRPr="00080D31" w:rsidRDefault="001D481E" w:rsidP="00EF34F7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080D31">
              <w:rPr>
                <w:rFonts w:ascii="Arial" w:hAnsi="Arial" w:cs="Arial"/>
                <w:lang w:val="el-GR"/>
              </w:rPr>
              <w:t xml:space="preserve">3(Ι) του 1995 </w:t>
            </w:r>
          </w:p>
          <w:p w14:paraId="65D12855" w14:textId="45413EAA" w:rsidR="008F6996" w:rsidRPr="00080D31" w:rsidRDefault="00CC529C" w:rsidP="00EF34F7">
            <w:pPr>
              <w:spacing w:line="360" w:lineRule="auto"/>
              <w:ind w:right="57"/>
              <w:jc w:val="right"/>
              <w:rPr>
                <w:rFonts w:ascii="Arial" w:hAnsi="Arial" w:cs="Arial"/>
                <w:color w:val="000000"/>
                <w:lang w:val="el-GR"/>
              </w:rPr>
            </w:pPr>
            <w:r w:rsidRPr="00080D31">
              <w:rPr>
                <w:rFonts w:ascii="Arial" w:hAnsi="Arial" w:cs="Arial"/>
                <w:color w:val="000000"/>
                <w:lang w:val="el-GR"/>
              </w:rPr>
              <w:t>34(Ι) του 1998</w:t>
            </w:r>
            <w:r w:rsidR="003E6559" w:rsidRPr="00080D31">
              <w:rPr>
                <w:rFonts w:ascii="Arial" w:hAnsi="Arial" w:cs="Arial"/>
                <w:color w:val="000000"/>
                <w:lang w:val="el-GR"/>
              </w:rPr>
              <w:t>.</w:t>
            </w:r>
          </w:p>
          <w:p w14:paraId="240531D4" w14:textId="77777777" w:rsidR="008F6996" w:rsidRPr="00080D31" w:rsidRDefault="008F6996" w:rsidP="00080D31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l-GR"/>
              </w:rPr>
            </w:pPr>
          </w:p>
          <w:p w14:paraId="76554989" w14:textId="77777777" w:rsidR="007A2411" w:rsidRPr="00080D31" w:rsidRDefault="007A2411" w:rsidP="00372C6B">
            <w:pPr>
              <w:pStyle w:val="BodyTextIndent2"/>
              <w:tabs>
                <w:tab w:val="left" w:pos="720"/>
              </w:tabs>
              <w:spacing w:line="360" w:lineRule="auto"/>
              <w:ind w:firstLine="0"/>
              <w:rPr>
                <w:rFonts w:cs="Arial"/>
                <w:lang w:eastAsia="en-US"/>
              </w:rPr>
            </w:pPr>
          </w:p>
        </w:tc>
        <w:tc>
          <w:tcPr>
            <w:tcW w:w="4005" w:type="pct"/>
            <w:gridSpan w:val="3"/>
          </w:tcPr>
          <w:p w14:paraId="44F278E6" w14:textId="2FEFF933" w:rsidR="007A2411" w:rsidRDefault="00372C6B" w:rsidP="00EF34F7">
            <w:pPr>
              <w:tabs>
                <w:tab w:val="left" w:pos="567"/>
              </w:tabs>
              <w:spacing w:line="360" w:lineRule="auto"/>
              <w:ind w:left="1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1. </w:t>
            </w:r>
            <w:r w:rsidR="00EF34F7">
              <w:rPr>
                <w:rFonts w:ascii="Arial" w:hAnsi="Arial" w:cs="Arial"/>
                <w:lang w:val="el-GR"/>
              </w:rPr>
              <w:tab/>
            </w:r>
            <w:r w:rsidR="007A2411" w:rsidRPr="00785F7E">
              <w:rPr>
                <w:rFonts w:ascii="Arial" w:hAnsi="Arial" w:cs="Arial"/>
                <w:lang w:val="el-GR"/>
              </w:rPr>
              <w:t xml:space="preserve">Ο παρών Νόμος θα αναφέρεται ως ο περί </w:t>
            </w:r>
            <w:r w:rsidR="00CC529C">
              <w:rPr>
                <w:rFonts w:ascii="Arial" w:hAnsi="Arial" w:cs="Arial"/>
                <w:lang w:val="el-GR"/>
              </w:rPr>
              <w:t>Καταστολής του Εγκλήματος (Ελεγχόμενη Παράδοση και Άλλες Ειδικές Διατάξεις)</w:t>
            </w:r>
            <w:r w:rsidR="001F524C">
              <w:rPr>
                <w:rFonts w:ascii="Arial" w:hAnsi="Arial" w:cs="Arial"/>
                <w:lang w:val="el-GR"/>
              </w:rPr>
              <w:t xml:space="preserve"> (Τροποποιητικός) Νόμος του 202</w:t>
            </w:r>
            <w:r>
              <w:rPr>
                <w:rFonts w:ascii="Arial" w:hAnsi="Arial" w:cs="Arial"/>
                <w:lang w:val="el-GR"/>
              </w:rPr>
              <w:t>2</w:t>
            </w:r>
            <w:r w:rsidR="007A2411">
              <w:rPr>
                <w:rFonts w:ascii="Arial" w:hAnsi="Arial" w:cs="Arial"/>
                <w:lang w:val="el-GR"/>
              </w:rPr>
              <w:t xml:space="preserve"> και θα διαβάζεται μαζί με</w:t>
            </w:r>
            <w:r w:rsidR="00B8540F">
              <w:rPr>
                <w:rFonts w:ascii="Arial" w:hAnsi="Arial" w:cs="Arial"/>
                <w:lang w:val="el-GR"/>
              </w:rPr>
              <w:t xml:space="preserve"> τους</w:t>
            </w:r>
            <w:r w:rsidR="00CC529C">
              <w:rPr>
                <w:rFonts w:ascii="Arial" w:hAnsi="Arial" w:cs="Arial"/>
                <w:lang w:val="el-GR"/>
              </w:rPr>
              <w:t xml:space="preserve"> περί Καταστολής του Εγκλήματος (Ελεγχόμενη Παράδοση και Άλλες Ειδικές Διατάξεις) </w:t>
            </w:r>
            <w:r w:rsidR="0053462F">
              <w:rPr>
                <w:rFonts w:ascii="Arial" w:hAnsi="Arial" w:cs="Arial"/>
                <w:lang w:val="el-GR"/>
              </w:rPr>
              <w:t xml:space="preserve"> </w:t>
            </w:r>
            <w:r w:rsidR="008F6996">
              <w:rPr>
                <w:rFonts w:ascii="Arial" w:hAnsi="Arial" w:cs="Arial"/>
                <w:lang w:val="en-US"/>
              </w:rPr>
              <w:t>N</w:t>
            </w:r>
            <w:proofErr w:type="spellStart"/>
            <w:r w:rsidR="00CC529C">
              <w:rPr>
                <w:rFonts w:ascii="Arial" w:hAnsi="Arial" w:cs="Arial"/>
                <w:lang w:val="el-GR"/>
              </w:rPr>
              <w:t>όμους</w:t>
            </w:r>
            <w:proofErr w:type="spellEnd"/>
            <w:r w:rsidR="00CC529C">
              <w:rPr>
                <w:rFonts w:ascii="Arial" w:hAnsi="Arial" w:cs="Arial"/>
                <w:lang w:val="el-GR"/>
              </w:rPr>
              <w:t xml:space="preserve"> του 1995 και 1998</w:t>
            </w:r>
            <w:r w:rsidR="008F6996">
              <w:rPr>
                <w:rFonts w:ascii="Arial" w:hAnsi="Arial" w:cs="Arial"/>
                <w:lang w:val="el-GR"/>
              </w:rPr>
              <w:t xml:space="preserve"> (που στη συνέχεια θα αναφέρ</w:t>
            </w:r>
            <w:r w:rsidR="00D76BB5">
              <w:rPr>
                <w:rFonts w:ascii="Arial" w:hAnsi="Arial" w:cs="Arial"/>
                <w:lang w:val="el-GR"/>
              </w:rPr>
              <w:t>ον</w:t>
            </w:r>
            <w:r w:rsidR="008F6996">
              <w:rPr>
                <w:rFonts w:ascii="Arial" w:hAnsi="Arial" w:cs="Arial"/>
                <w:lang w:val="el-GR"/>
              </w:rPr>
              <w:t xml:space="preserve">ται ως «ο βασικός νόμος») και ο βασικός νόμος και ο παρών Νόμος θα αναφέρονται μαζί ως οι </w:t>
            </w:r>
            <w:r w:rsidR="008F6996" w:rsidRPr="00785F7E">
              <w:rPr>
                <w:rFonts w:ascii="Arial" w:hAnsi="Arial" w:cs="Arial"/>
                <w:lang w:val="el-GR"/>
              </w:rPr>
              <w:t xml:space="preserve">περί </w:t>
            </w:r>
            <w:r w:rsidR="00CC529C">
              <w:rPr>
                <w:rFonts w:ascii="Arial" w:hAnsi="Arial" w:cs="Arial"/>
                <w:lang w:val="el-GR"/>
              </w:rPr>
              <w:t>Καταστολής του Εγκλήματος (Ελεγχόμενη Παράδοση και Άλλες Ειδικές Διατάξεις) Νόμοι του 1995</w:t>
            </w:r>
            <w:r w:rsidR="008F6996">
              <w:rPr>
                <w:rFonts w:ascii="Arial" w:hAnsi="Arial" w:cs="Arial"/>
                <w:lang w:val="el-GR"/>
              </w:rPr>
              <w:t xml:space="preserve"> έως 202</w:t>
            </w:r>
            <w:r>
              <w:rPr>
                <w:rFonts w:ascii="Arial" w:hAnsi="Arial" w:cs="Arial"/>
                <w:lang w:val="el-GR"/>
              </w:rPr>
              <w:t>2</w:t>
            </w:r>
            <w:r w:rsidR="007A2411">
              <w:rPr>
                <w:rFonts w:ascii="Arial" w:hAnsi="Arial" w:cs="Arial"/>
                <w:lang w:val="el-GR"/>
              </w:rPr>
              <w:t xml:space="preserve">. </w:t>
            </w:r>
          </w:p>
        </w:tc>
      </w:tr>
      <w:tr w:rsidR="007A2411" w:rsidRPr="00EF34F7" w14:paraId="7B73B9E3" w14:textId="77777777" w:rsidTr="00EF34F7">
        <w:trPr>
          <w:trHeight w:val="54"/>
        </w:trPr>
        <w:tc>
          <w:tcPr>
            <w:tcW w:w="995" w:type="pct"/>
          </w:tcPr>
          <w:p w14:paraId="2F952A7E" w14:textId="77777777" w:rsidR="007A2411" w:rsidRPr="00080D31" w:rsidRDefault="007A2411" w:rsidP="00372C6B">
            <w:pPr>
              <w:pStyle w:val="BodyTextIndent2"/>
              <w:tabs>
                <w:tab w:val="left" w:pos="720"/>
              </w:tabs>
              <w:spacing w:line="360" w:lineRule="auto"/>
              <w:ind w:firstLine="0"/>
              <w:rPr>
                <w:rFonts w:cs="Arial"/>
                <w:lang w:eastAsia="en-US"/>
              </w:rPr>
            </w:pPr>
          </w:p>
        </w:tc>
        <w:tc>
          <w:tcPr>
            <w:tcW w:w="4005" w:type="pct"/>
            <w:gridSpan w:val="3"/>
          </w:tcPr>
          <w:p w14:paraId="088BEF9B" w14:textId="77777777" w:rsidR="00C81AED" w:rsidRPr="009B4222" w:rsidRDefault="00C81AED" w:rsidP="00EF34F7">
            <w:pPr>
              <w:tabs>
                <w:tab w:val="left" w:pos="567"/>
              </w:tabs>
              <w:rPr>
                <w:rFonts w:ascii="Arial" w:hAnsi="Arial" w:cs="Arial"/>
                <w:lang w:val="el-GR"/>
              </w:rPr>
            </w:pPr>
          </w:p>
        </w:tc>
      </w:tr>
      <w:tr w:rsidR="007A2411" w:rsidRPr="00EF34F7" w14:paraId="6E2880E6" w14:textId="77777777" w:rsidTr="00EF34F7">
        <w:trPr>
          <w:trHeight w:val="720"/>
        </w:trPr>
        <w:tc>
          <w:tcPr>
            <w:tcW w:w="995" w:type="pct"/>
          </w:tcPr>
          <w:p w14:paraId="4CC4FFA1" w14:textId="680D6BFC" w:rsidR="007A2411" w:rsidRPr="00080D31" w:rsidRDefault="00323E18" w:rsidP="00372C6B">
            <w:pPr>
              <w:spacing w:line="360" w:lineRule="auto"/>
              <w:rPr>
                <w:rFonts w:cs="Arial"/>
                <w:lang w:val="el-GR"/>
              </w:rPr>
            </w:pPr>
            <w:r w:rsidRPr="00080D31">
              <w:rPr>
                <w:rFonts w:ascii="Arial" w:hAnsi="Arial" w:cs="Arial"/>
                <w:lang w:val="el-GR"/>
              </w:rPr>
              <w:t>Τροποποίηση του άρθρου 3</w:t>
            </w:r>
            <w:r w:rsidR="00216D9A" w:rsidRPr="00080D31">
              <w:rPr>
                <w:rFonts w:ascii="Arial" w:hAnsi="Arial" w:cs="Arial"/>
                <w:lang w:val="el-GR"/>
              </w:rPr>
              <w:t xml:space="preserve">  του βασικού νόμου</w:t>
            </w:r>
            <w:r w:rsidR="003E6559" w:rsidRPr="00080D31">
              <w:rPr>
                <w:rFonts w:ascii="Arial" w:hAnsi="Arial" w:cs="Arial"/>
                <w:lang w:val="el-GR"/>
              </w:rPr>
              <w:t>.</w:t>
            </w:r>
          </w:p>
        </w:tc>
        <w:tc>
          <w:tcPr>
            <w:tcW w:w="4005" w:type="pct"/>
            <w:gridSpan w:val="3"/>
          </w:tcPr>
          <w:p w14:paraId="683C58D3" w14:textId="2437F611" w:rsidR="007A2411" w:rsidRPr="00785F7E" w:rsidRDefault="007A2411" w:rsidP="00EF34F7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2.</w:t>
            </w:r>
            <w:r w:rsidRPr="00785F7E">
              <w:rPr>
                <w:rFonts w:ascii="Arial" w:hAnsi="Arial" w:cs="Arial"/>
                <w:lang w:val="el-GR"/>
              </w:rPr>
              <w:t xml:space="preserve"> </w:t>
            </w:r>
            <w:r w:rsidR="00EF34F7">
              <w:rPr>
                <w:rFonts w:ascii="Arial" w:hAnsi="Arial" w:cs="Arial"/>
                <w:lang w:val="el-GR"/>
              </w:rPr>
              <w:tab/>
            </w:r>
            <w:r w:rsidR="00323E18">
              <w:rPr>
                <w:rFonts w:ascii="Arial" w:hAnsi="Arial" w:cs="Arial"/>
                <w:lang w:val="el-GR"/>
              </w:rPr>
              <w:t>Το άρθρο 3</w:t>
            </w:r>
            <w:r w:rsidR="00216D9A" w:rsidRPr="00A946D2">
              <w:rPr>
                <w:rFonts w:ascii="Arial" w:hAnsi="Arial" w:cs="Arial"/>
                <w:lang w:val="el-GR"/>
              </w:rPr>
              <w:t xml:space="preserve"> του βασικού νόμου τροποποιείται</w:t>
            </w:r>
            <w:r w:rsidR="002920C6">
              <w:rPr>
                <w:rFonts w:ascii="Arial" w:hAnsi="Arial" w:cs="Arial"/>
                <w:lang w:val="el-GR"/>
              </w:rPr>
              <w:t xml:space="preserve"> μ</w:t>
            </w:r>
            <w:r w:rsidR="00216D9A" w:rsidRPr="00A946D2">
              <w:rPr>
                <w:rFonts w:ascii="Arial" w:hAnsi="Arial" w:cs="Arial"/>
                <w:lang w:val="el-GR"/>
              </w:rPr>
              <w:t>ε την προσθήκη</w:t>
            </w:r>
            <w:r w:rsidR="00D76BB5">
              <w:rPr>
                <w:rFonts w:ascii="Arial" w:hAnsi="Arial" w:cs="Arial"/>
                <w:lang w:val="el-GR"/>
              </w:rPr>
              <w:t>,</w:t>
            </w:r>
            <w:r w:rsidR="00216D9A" w:rsidRPr="00A946D2">
              <w:rPr>
                <w:rFonts w:ascii="Arial" w:hAnsi="Arial" w:cs="Arial"/>
                <w:lang w:val="el-GR"/>
              </w:rPr>
              <w:t xml:space="preserve"> </w:t>
            </w:r>
            <w:r w:rsidR="0091410B">
              <w:rPr>
                <w:rFonts w:ascii="Arial" w:hAnsi="Arial" w:cs="Arial"/>
                <w:lang w:val="el-GR"/>
              </w:rPr>
              <w:t xml:space="preserve">στο εδάφιο (2) αυτού, </w:t>
            </w:r>
            <w:r w:rsidR="00372C6B">
              <w:rPr>
                <w:rFonts w:ascii="Arial" w:hAnsi="Arial" w:cs="Arial"/>
                <w:lang w:val="el-GR"/>
              </w:rPr>
              <w:t xml:space="preserve">αμέσως μετά την παράγραφο (δ) αυτού, </w:t>
            </w:r>
            <w:r w:rsidR="00323E18">
              <w:rPr>
                <w:rFonts w:ascii="Arial" w:hAnsi="Arial" w:cs="Arial"/>
                <w:lang w:val="el-GR"/>
              </w:rPr>
              <w:t xml:space="preserve">της </w:t>
            </w:r>
            <w:r w:rsidR="00372C6B">
              <w:rPr>
                <w:rFonts w:ascii="Arial" w:hAnsi="Arial" w:cs="Arial"/>
                <w:lang w:val="el-GR"/>
              </w:rPr>
              <w:t xml:space="preserve">ακόλουθης </w:t>
            </w:r>
            <w:r w:rsidR="00323E18">
              <w:rPr>
                <w:rFonts w:ascii="Arial" w:hAnsi="Arial" w:cs="Arial"/>
                <w:lang w:val="el-GR"/>
              </w:rPr>
              <w:t>νέας παραγράφου</w:t>
            </w:r>
            <w:r w:rsidR="00372C6B">
              <w:rPr>
                <w:rFonts w:ascii="Arial" w:hAnsi="Arial" w:cs="Arial"/>
                <w:lang w:val="el-GR"/>
              </w:rPr>
              <w:t>:</w:t>
            </w:r>
            <w:r w:rsidR="002920C6" w:rsidRPr="00D76BB5">
              <w:rPr>
                <w:rFonts w:ascii="Arial" w:hAnsi="Arial" w:cs="Arial"/>
                <w:lang w:val="el-GR"/>
              </w:rPr>
              <w:t xml:space="preserve"> </w:t>
            </w:r>
          </w:p>
        </w:tc>
      </w:tr>
      <w:tr w:rsidR="00216D9A" w:rsidRPr="00EF34F7" w14:paraId="06FF5A57" w14:textId="77777777" w:rsidTr="00EF34F7">
        <w:trPr>
          <w:trHeight w:val="64"/>
        </w:trPr>
        <w:tc>
          <w:tcPr>
            <w:tcW w:w="995" w:type="pct"/>
          </w:tcPr>
          <w:p w14:paraId="22E5E720" w14:textId="77777777" w:rsidR="00216D9A" w:rsidRPr="00080D31" w:rsidRDefault="00216D9A" w:rsidP="00372C6B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4005" w:type="pct"/>
            <w:gridSpan w:val="3"/>
          </w:tcPr>
          <w:p w14:paraId="68E07BEE" w14:textId="77777777" w:rsidR="00216D9A" w:rsidRDefault="00216D9A" w:rsidP="00EF34F7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2A6E93" w:rsidRPr="00EF34F7" w14:paraId="592BD1BD" w14:textId="77777777" w:rsidTr="00EF34F7">
        <w:trPr>
          <w:trHeight w:val="132"/>
        </w:trPr>
        <w:tc>
          <w:tcPr>
            <w:tcW w:w="995" w:type="pct"/>
          </w:tcPr>
          <w:p w14:paraId="781065CE" w14:textId="77777777" w:rsidR="002A6E93" w:rsidRPr="00EC5491" w:rsidRDefault="002A6E93" w:rsidP="002A6E93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806" w:type="pct"/>
          </w:tcPr>
          <w:p w14:paraId="281E7537" w14:textId="77777777" w:rsidR="002A6E93" w:rsidRDefault="002A6E93" w:rsidP="00EF34F7">
            <w:pPr>
              <w:tabs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lang w:val="el-GR"/>
              </w:rPr>
            </w:pPr>
          </w:p>
        </w:tc>
        <w:tc>
          <w:tcPr>
            <w:tcW w:w="422" w:type="pct"/>
          </w:tcPr>
          <w:p w14:paraId="4B1726C6" w14:textId="3A5FD794" w:rsidR="002A6E93" w:rsidDel="004D452D" w:rsidRDefault="002A6E93" w:rsidP="00EF34F7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«(δ1)</w:t>
            </w:r>
          </w:p>
        </w:tc>
        <w:tc>
          <w:tcPr>
            <w:tcW w:w="2777" w:type="pct"/>
          </w:tcPr>
          <w:p w14:paraId="33838FAE" w14:textId="4FD0C633" w:rsidR="002A6E93" w:rsidDel="004D452D" w:rsidRDefault="002A6E93" w:rsidP="00EF34F7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αδικήματα </w:t>
            </w:r>
            <w:bookmarkStart w:id="0" w:name="_Hlk75259553"/>
            <w:r>
              <w:rPr>
                <w:rFonts w:ascii="Arial" w:hAnsi="Arial" w:cs="Arial"/>
                <w:lang w:val="el-GR"/>
              </w:rPr>
              <w:t>σχετιζόμενα με τη νομιμοποίηση εσόδων από παράνομες δραστηριότητες και τη χρηματοδότηση της τρομοκρατίας και με τη χρήση ρευστών διαθεσίμων</w:t>
            </w:r>
            <w:bookmarkEnd w:id="0"/>
            <w:r>
              <w:rPr>
                <w:rFonts w:ascii="Arial" w:hAnsi="Arial" w:cs="Arial"/>
                <w:lang w:val="el-GR"/>
              </w:rPr>
              <w:t xml:space="preserve">: </w:t>
            </w:r>
          </w:p>
        </w:tc>
      </w:tr>
      <w:tr w:rsidR="002A6E93" w:rsidRPr="00EF34F7" w14:paraId="5E7588C6" w14:textId="77777777" w:rsidTr="00EF34F7">
        <w:trPr>
          <w:trHeight w:val="132"/>
        </w:trPr>
        <w:tc>
          <w:tcPr>
            <w:tcW w:w="995" w:type="pct"/>
          </w:tcPr>
          <w:p w14:paraId="343BE414" w14:textId="77777777" w:rsidR="002A6E93" w:rsidRPr="00EC5491" w:rsidRDefault="002A6E93" w:rsidP="002A6E93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806" w:type="pct"/>
          </w:tcPr>
          <w:p w14:paraId="78A996D9" w14:textId="77777777" w:rsidR="002A6E93" w:rsidRDefault="002A6E93" w:rsidP="00EF34F7">
            <w:pPr>
              <w:tabs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lang w:val="el-GR"/>
              </w:rPr>
            </w:pPr>
          </w:p>
        </w:tc>
        <w:tc>
          <w:tcPr>
            <w:tcW w:w="422" w:type="pct"/>
          </w:tcPr>
          <w:p w14:paraId="1D0CFCE5" w14:textId="77777777" w:rsidR="002A6E93" w:rsidRDefault="002A6E93" w:rsidP="00EF34F7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2777" w:type="pct"/>
          </w:tcPr>
          <w:p w14:paraId="164E8CA0" w14:textId="77777777" w:rsidR="002A6E93" w:rsidDel="004D452D" w:rsidRDefault="002A6E93" w:rsidP="00EF34F7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2A6E93" w:rsidRPr="00866CF6" w14:paraId="6A53F786" w14:textId="77777777" w:rsidTr="00EF34F7">
        <w:trPr>
          <w:trHeight w:val="132"/>
        </w:trPr>
        <w:tc>
          <w:tcPr>
            <w:tcW w:w="995" w:type="pct"/>
          </w:tcPr>
          <w:p w14:paraId="4956E63C" w14:textId="77777777" w:rsidR="002A6E93" w:rsidRPr="00EC5491" w:rsidRDefault="002A6E93" w:rsidP="002A6E93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806" w:type="pct"/>
          </w:tcPr>
          <w:p w14:paraId="628A1C5D" w14:textId="77777777" w:rsidR="002A6E93" w:rsidRDefault="002A6E93" w:rsidP="00EF34F7">
            <w:pPr>
              <w:tabs>
                <w:tab w:val="left" w:pos="567"/>
              </w:tabs>
              <w:spacing w:line="360" w:lineRule="auto"/>
              <w:rPr>
                <w:rFonts w:ascii="Arial" w:hAnsi="Arial" w:cs="Arial"/>
                <w:lang w:val="el-GR"/>
              </w:rPr>
            </w:pPr>
          </w:p>
          <w:p w14:paraId="0037B1B7" w14:textId="77777777" w:rsidR="002A6E93" w:rsidRDefault="002A6E93" w:rsidP="00EF34F7">
            <w:pPr>
              <w:tabs>
                <w:tab w:val="left" w:pos="567"/>
              </w:tabs>
              <w:spacing w:line="360" w:lineRule="auto"/>
              <w:rPr>
                <w:rFonts w:ascii="Arial" w:hAnsi="Arial" w:cs="Arial"/>
                <w:lang w:val="el-GR"/>
              </w:rPr>
            </w:pPr>
          </w:p>
          <w:p w14:paraId="739361EF" w14:textId="77777777" w:rsidR="002A6E93" w:rsidRDefault="002A6E93" w:rsidP="00EF34F7">
            <w:pPr>
              <w:tabs>
                <w:tab w:val="left" w:pos="567"/>
              </w:tabs>
              <w:spacing w:line="360" w:lineRule="auto"/>
              <w:rPr>
                <w:rFonts w:ascii="Arial" w:hAnsi="Arial" w:cs="Arial"/>
                <w:lang w:val="el-GR"/>
              </w:rPr>
            </w:pPr>
          </w:p>
          <w:p w14:paraId="71F6D9A6" w14:textId="1C5B3F2D" w:rsidR="002A6E93" w:rsidRDefault="002A6E93" w:rsidP="00EF34F7">
            <w:pPr>
              <w:tabs>
                <w:tab w:val="left" w:pos="567"/>
              </w:tabs>
              <w:spacing w:line="360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Επίσημη </w:t>
            </w:r>
          </w:p>
          <w:p w14:paraId="516A6189" w14:textId="40D60C72" w:rsidR="002A6E93" w:rsidRDefault="002A6E93" w:rsidP="00EF34F7">
            <w:pPr>
              <w:tabs>
                <w:tab w:val="left" w:pos="567"/>
              </w:tabs>
              <w:spacing w:line="360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Εφημερίδα της</w:t>
            </w:r>
          </w:p>
          <w:p w14:paraId="0CB619E3" w14:textId="77777777" w:rsidR="002A6E93" w:rsidRDefault="002A6E93" w:rsidP="00EF34F7">
            <w:pPr>
              <w:tabs>
                <w:tab w:val="left" w:pos="567"/>
              </w:tabs>
              <w:spacing w:line="360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Ε.Ε.: </w:t>
            </w:r>
            <w:r>
              <w:rPr>
                <w:rFonts w:ascii="Arial" w:hAnsi="Arial" w:cs="Arial"/>
                <w:lang w:val="en-US"/>
              </w:rPr>
              <w:t>L</w:t>
            </w:r>
            <w:r>
              <w:rPr>
                <w:rFonts w:ascii="Arial" w:hAnsi="Arial" w:cs="Arial"/>
                <w:lang w:val="el-GR"/>
              </w:rPr>
              <w:t>284,</w:t>
            </w:r>
          </w:p>
          <w:p w14:paraId="3C53DC81" w14:textId="77777777" w:rsidR="002A6E93" w:rsidRDefault="002A6E93" w:rsidP="00EF34F7">
            <w:pPr>
              <w:tabs>
                <w:tab w:val="left" w:pos="567"/>
              </w:tabs>
              <w:spacing w:line="360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lastRenderedPageBreak/>
              <w:t>12.11.2018,</w:t>
            </w:r>
          </w:p>
          <w:p w14:paraId="25CB7453" w14:textId="58DFA013" w:rsidR="002A6E93" w:rsidRPr="002A6E93" w:rsidRDefault="002A6E93" w:rsidP="00EF34F7">
            <w:pPr>
              <w:tabs>
                <w:tab w:val="left" w:pos="567"/>
              </w:tabs>
              <w:spacing w:line="360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σ. 6.</w:t>
            </w:r>
          </w:p>
        </w:tc>
        <w:tc>
          <w:tcPr>
            <w:tcW w:w="422" w:type="pct"/>
          </w:tcPr>
          <w:p w14:paraId="093A568B" w14:textId="77777777" w:rsidR="002A6E93" w:rsidRDefault="002A6E93" w:rsidP="00EF34F7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2777" w:type="pct"/>
          </w:tcPr>
          <w:p w14:paraId="1E16C36D" w14:textId="02B64B32" w:rsidR="002A6E93" w:rsidDel="004D452D" w:rsidRDefault="002A6E93" w:rsidP="00EF34F7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ab/>
              <w:t xml:space="preserve">Νοείται ότι, για τους σκοπούς της παρούσας παραγράφου «ρευστά διαθέσιμα» έχει την έννοια που αποδίδεται στον όρο αυτό στο άρθρο 2 της πράξης της Ευρωπαϊκής Ένωσης με τίτλο «Κανονισμός (ΕΕ) 1672/2018 του Ευρωπαϊκού Κοινοβουλίου και του Συμβουλίου </w:t>
            </w:r>
            <w:r w:rsidRPr="003E6559">
              <w:rPr>
                <w:rFonts w:ascii="Arial" w:hAnsi="Arial" w:cs="Arial"/>
                <w:lang w:val="el-GR"/>
              </w:rPr>
              <w:t>της 23</w:t>
            </w:r>
            <w:r>
              <w:rPr>
                <w:rFonts w:ascii="Arial" w:hAnsi="Arial" w:cs="Arial"/>
                <w:lang w:val="el-GR"/>
              </w:rPr>
              <w:t>ης</w:t>
            </w:r>
            <w:r w:rsidRPr="003E6559">
              <w:rPr>
                <w:rFonts w:ascii="Arial" w:hAnsi="Arial" w:cs="Arial"/>
                <w:lang w:val="el-GR"/>
              </w:rPr>
              <w:t xml:space="preserve"> Οκτωβρίου 2018, σχετικά </w:t>
            </w:r>
            <w:r w:rsidRPr="00D76BB5">
              <w:rPr>
                <w:rFonts w:ascii="Arial" w:hAnsi="Arial" w:cs="Arial"/>
                <w:color w:val="444444"/>
                <w:shd w:val="clear" w:color="auto" w:fill="FFFFFF"/>
                <w:lang w:val="el-GR"/>
              </w:rPr>
              <w:t xml:space="preserve">με τους ελέγχους </w:t>
            </w:r>
            <w:r w:rsidRPr="00D76BB5">
              <w:rPr>
                <w:rFonts w:ascii="Arial" w:hAnsi="Arial" w:cs="Arial"/>
                <w:color w:val="444444"/>
                <w:shd w:val="clear" w:color="auto" w:fill="FFFFFF"/>
                <w:lang w:val="el-GR"/>
              </w:rPr>
              <w:lastRenderedPageBreak/>
              <w:t>ρευστών διαθεσίμων που εισέρχονται ή εξέρχονται από την Ένωση και την κατάργηση του κανονισμού (ΕΚ) αριθ. 1889/2005</w:t>
            </w:r>
            <w:r>
              <w:rPr>
                <w:rFonts w:ascii="Arial" w:hAnsi="Arial" w:cs="Arial"/>
                <w:color w:val="444444"/>
                <w:shd w:val="clear" w:color="auto" w:fill="FFFFFF"/>
                <w:lang w:val="el-GR"/>
              </w:rPr>
              <w:t>∙»</w:t>
            </w:r>
            <w:r w:rsidRPr="003E6559">
              <w:rPr>
                <w:rFonts w:ascii="Arial" w:hAnsi="Arial" w:cs="Arial"/>
                <w:lang w:val="el-GR"/>
              </w:rPr>
              <w:t>.</w:t>
            </w:r>
          </w:p>
        </w:tc>
      </w:tr>
    </w:tbl>
    <w:p w14:paraId="138B7F90" w14:textId="2371EDE8" w:rsidR="005E5F87" w:rsidRDefault="005E5F87" w:rsidP="00785F7E">
      <w:pPr>
        <w:spacing w:line="360" w:lineRule="auto"/>
        <w:rPr>
          <w:rFonts w:ascii="Arial" w:hAnsi="Arial" w:cs="Arial"/>
          <w:sz w:val="16"/>
          <w:szCs w:val="16"/>
          <w:lang w:val="el-GR"/>
        </w:rPr>
      </w:pPr>
    </w:p>
    <w:p w14:paraId="56B1A00A" w14:textId="26E78A5F" w:rsidR="00517945" w:rsidRPr="00EF34F7" w:rsidRDefault="00517945" w:rsidP="00785F7E">
      <w:pPr>
        <w:spacing w:line="360" w:lineRule="auto"/>
        <w:rPr>
          <w:rFonts w:ascii="Arial" w:hAnsi="Arial" w:cs="Arial"/>
          <w:sz w:val="20"/>
          <w:szCs w:val="16"/>
          <w:lang w:val="el-GR"/>
        </w:rPr>
      </w:pPr>
      <w:r w:rsidRPr="00EF34F7">
        <w:rPr>
          <w:rFonts w:ascii="Arial" w:hAnsi="Arial" w:cs="Arial"/>
          <w:sz w:val="20"/>
          <w:szCs w:val="16"/>
          <w:lang w:val="el-GR"/>
        </w:rPr>
        <w:t>NK</w:t>
      </w:r>
      <w:r w:rsidR="00EF34F7">
        <w:rPr>
          <w:rFonts w:ascii="Arial" w:hAnsi="Arial" w:cs="Arial"/>
          <w:sz w:val="20"/>
          <w:szCs w:val="16"/>
          <w:lang w:val="el-GR"/>
        </w:rPr>
        <w:t>/ΜΙ</w:t>
      </w:r>
    </w:p>
    <w:p w14:paraId="0D34B414" w14:textId="355A800C" w:rsidR="00517945" w:rsidRPr="00080D31" w:rsidRDefault="00517945" w:rsidP="00785F7E">
      <w:pPr>
        <w:spacing w:line="360" w:lineRule="auto"/>
        <w:rPr>
          <w:rFonts w:ascii="Arial" w:hAnsi="Arial" w:cs="Arial"/>
          <w:sz w:val="20"/>
          <w:szCs w:val="16"/>
          <w:lang w:val="el-GR"/>
        </w:rPr>
      </w:pPr>
      <w:r w:rsidRPr="00080D31">
        <w:rPr>
          <w:rFonts w:ascii="Arial" w:hAnsi="Arial" w:cs="Arial"/>
          <w:sz w:val="20"/>
          <w:szCs w:val="16"/>
          <w:lang w:val="el-GR"/>
        </w:rPr>
        <w:t>Αρ.</w:t>
      </w:r>
      <w:r w:rsidR="00EF34F7">
        <w:rPr>
          <w:rFonts w:ascii="Arial" w:hAnsi="Arial" w:cs="Arial"/>
          <w:sz w:val="20"/>
          <w:szCs w:val="16"/>
          <w:lang w:val="el-GR"/>
        </w:rPr>
        <w:t xml:space="preserve"> </w:t>
      </w:r>
      <w:proofErr w:type="spellStart"/>
      <w:r w:rsidRPr="00080D31">
        <w:rPr>
          <w:rFonts w:ascii="Arial" w:hAnsi="Arial" w:cs="Arial"/>
          <w:sz w:val="20"/>
          <w:szCs w:val="16"/>
          <w:lang w:val="el-GR"/>
        </w:rPr>
        <w:t>Φακ</w:t>
      </w:r>
      <w:proofErr w:type="spellEnd"/>
      <w:r w:rsidRPr="00080D31">
        <w:rPr>
          <w:rFonts w:ascii="Arial" w:hAnsi="Arial" w:cs="Arial"/>
          <w:sz w:val="20"/>
          <w:szCs w:val="16"/>
          <w:lang w:val="el-GR"/>
        </w:rPr>
        <w:t>.: 23.01.062.161-2021</w:t>
      </w:r>
    </w:p>
    <w:sectPr w:rsidR="00517945" w:rsidRPr="00080D31" w:rsidSect="00EF34F7">
      <w:headerReference w:type="default" r:id="rId8"/>
      <w:footerReference w:type="default" r:id="rId9"/>
      <w:headerReference w:type="first" r:id="rId10"/>
      <w:pgSz w:w="12240" w:h="15840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B477E" w14:textId="77777777" w:rsidR="0077377B" w:rsidRDefault="0077377B" w:rsidP="00896459">
      <w:r>
        <w:separator/>
      </w:r>
    </w:p>
  </w:endnote>
  <w:endnote w:type="continuationSeparator" w:id="0">
    <w:p w14:paraId="74AAFA2D" w14:textId="77777777" w:rsidR="0077377B" w:rsidRDefault="0077377B" w:rsidP="00896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959CD" w14:textId="1C106344" w:rsidR="008F6996" w:rsidRDefault="008F6996" w:rsidP="00DC6B0D">
    <w:pPr>
      <w:pStyle w:val="Footer"/>
    </w:pPr>
  </w:p>
  <w:p w14:paraId="7766D660" w14:textId="77777777" w:rsidR="008F6996" w:rsidRDefault="008F6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2F894" w14:textId="77777777" w:rsidR="0077377B" w:rsidRDefault="0077377B" w:rsidP="00896459">
      <w:r>
        <w:separator/>
      </w:r>
    </w:p>
  </w:footnote>
  <w:footnote w:type="continuationSeparator" w:id="0">
    <w:p w14:paraId="04E49573" w14:textId="77777777" w:rsidR="0077377B" w:rsidRDefault="0077377B" w:rsidP="00896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4432738"/>
      <w:docPartObj>
        <w:docPartGallery w:val="Page Numbers (Top of Page)"/>
        <w:docPartUnique/>
      </w:docPartObj>
    </w:sdtPr>
    <w:sdtEndPr>
      <w:rPr>
        <w:rFonts w:ascii="Arial" w:hAnsi="Arial" w:cs="Arial"/>
        <w:noProof/>
      </w:rPr>
    </w:sdtEndPr>
    <w:sdtContent>
      <w:p w14:paraId="4E4DE7EE" w14:textId="077E6937" w:rsidR="00EF34F7" w:rsidRPr="00EF34F7" w:rsidRDefault="00EF34F7">
        <w:pPr>
          <w:pStyle w:val="Header"/>
          <w:jc w:val="center"/>
          <w:rPr>
            <w:rFonts w:ascii="Arial" w:hAnsi="Arial" w:cs="Arial"/>
          </w:rPr>
        </w:pPr>
        <w:r w:rsidRPr="00EF34F7">
          <w:rPr>
            <w:rFonts w:ascii="Arial" w:hAnsi="Arial" w:cs="Arial"/>
          </w:rPr>
          <w:fldChar w:fldCharType="begin"/>
        </w:r>
        <w:r w:rsidRPr="00EF34F7">
          <w:rPr>
            <w:rFonts w:ascii="Arial" w:hAnsi="Arial" w:cs="Arial"/>
          </w:rPr>
          <w:instrText xml:space="preserve"> PAGE   \* MERGEFORMAT </w:instrText>
        </w:r>
        <w:r w:rsidRPr="00EF34F7">
          <w:rPr>
            <w:rFonts w:ascii="Arial" w:hAnsi="Arial" w:cs="Arial"/>
          </w:rPr>
          <w:fldChar w:fldCharType="separate"/>
        </w:r>
        <w:r w:rsidRPr="00EF34F7">
          <w:rPr>
            <w:rFonts w:ascii="Arial" w:hAnsi="Arial" w:cs="Arial"/>
            <w:noProof/>
          </w:rPr>
          <w:t>2</w:t>
        </w:r>
        <w:r w:rsidRPr="00EF34F7">
          <w:rPr>
            <w:rFonts w:ascii="Arial" w:hAnsi="Arial" w:cs="Arial"/>
            <w:noProof/>
          </w:rPr>
          <w:fldChar w:fldCharType="end"/>
        </w:r>
      </w:p>
    </w:sdtContent>
  </w:sdt>
  <w:p w14:paraId="18751C3B" w14:textId="77777777" w:rsidR="00AB5566" w:rsidRDefault="00AB5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CBF65" w14:textId="77777777" w:rsidR="00950F13" w:rsidRPr="00950F13" w:rsidRDefault="00950F13" w:rsidP="00950F13">
    <w:pPr>
      <w:pStyle w:val="Header"/>
      <w:jc w:val="right"/>
      <w:rPr>
        <w:rFonts w:ascii="Arial" w:hAnsi="Arial" w:cs="Arial"/>
      </w:rPr>
    </w:pPr>
  </w:p>
  <w:p w14:paraId="0D777257" w14:textId="77777777" w:rsidR="00950F13" w:rsidRDefault="00950F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587B"/>
    <w:multiLevelType w:val="hybridMultilevel"/>
    <w:tmpl w:val="CB24A7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6261A9"/>
    <w:multiLevelType w:val="multilevel"/>
    <w:tmpl w:val="DD50C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056EF4"/>
    <w:multiLevelType w:val="hybridMultilevel"/>
    <w:tmpl w:val="CA50D444"/>
    <w:lvl w:ilvl="0" w:tplc="1518C1DC">
      <w:start w:val="3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12" w:hanging="360"/>
      </w:pPr>
    </w:lvl>
    <w:lvl w:ilvl="2" w:tplc="0408001B" w:tentative="1">
      <w:start w:val="1"/>
      <w:numFmt w:val="lowerRoman"/>
      <w:lvlText w:val="%3."/>
      <w:lvlJc w:val="right"/>
      <w:pPr>
        <w:ind w:left="1932" w:hanging="180"/>
      </w:pPr>
    </w:lvl>
    <w:lvl w:ilvl="3" w:tplc="0408000F" w:tentative="1">
      <w:start w:val="1"/>
      <w:numFmt w:val="decimal"/>
      <w:lvlText w:val="%4."/>
      <w:lvlJc w:val="left"/>
      <w:pPr>
        <w:ind w:left="2652" w:hanging="360"/>
      </w:pPr>
    </w:lvl>
    <w:lvl w:ilvl="4" w:tplc="04080019" w:tentative="1">
      <w:start w:val="1"/>
      <w:numFmt w:val="lowerLetter"/>
      <w:lvlText w:val="%5."/>
      <w:lvlJc w:val="left"/>
      <w:pPr>
        <w:ind w:left="3372" w:hanging="360"/>
      </w:pPr>
    </w:lvl>
    <w:lvl w:ilvl="5" w:tplc="0408001B" w:tentative="1">
      <w:start w:val="1"/>
      <w:numFmt w:val="lowerRoman"/>
      <w:lvlText w:val="%6."/>
      <w:lvlJc w:val="right"/>
      <w:pPr>
        <w:ind w:left="4092" w:hanging="180"/>
      </w:pPr>
    </w:lvl>
    <w:lvl w:ilvl="6" w:tplc="0408000F" w:tentative="1">
      <w:start w:val="1"/>
      <w:numFmt w:val="decimal"/>
      <w:lvlText w:val="%7."/>
      <w:lvlJc w:val="left"/>
      <w:pPr>
        <w:ind w:left="4812" w:hanging="360"/>
      </w:pPr>
    </w:lvl>
    <w:lvl w:ilvl="7" w:tplc="04080019" w:tentative="1">
      <w:start w:val="1"/>
      <w:numFmt w:val="lowerLetter"/>
      <w:lvlText w:val="%8."/>
      <w:lvlJc w:val="left"/>
      <w:pPr>
        <w:ind w:left="5532" w:hanging="360"/>
      </w:pPr>
    </w:lvl>
    <w:lvl w:ilvl="8" w:tplc="0408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3" w15:restartNumberingAfterBreak="0">
    <w:nsid w:val="2C2F4A18"/>
    <w:multiLevelType w:val="multilevel"/>
    <w:tmpl w:val="6414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D34CDF"/>
    <w:multiLevelType w:val="multilevel"/>
    <w:tmpl w:val="7B700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DC719B"/>
    <w:multiLevelType w:val="hybridMultilevel"/>
    <w:tmpl w:val="CCCC39C0"/>
    <w:lvl w:ilvl="0" w:tplc="E60A98D6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12" w:hanging="360"/>
      </w:pPr>
    </w:lvl>
    <w:lvl w:ilvl="2" w:tplc="0408001B" w:tentative="1">
      <w:start w:val="1"/>
      <w:numFmt w:val="lowerRoman"/>
      <w:lvlText w:val="%3."/>
      <w:lvlJc w:val="right"/>
      <w:pPr>
        <w:ind w:left="1932" w:hanging="180"/>
      </w:pPr>
    </w:lvl>
    <w:lvl w:ilvl="3" w:tplc="0408000F" w:tentative="1">
      <w:start w:val="1"/>
      <w:numFmt w:val="decimal"/>
      <w:lvlText w:val="%4."/>
      <w:lvlJc w:val="left"/>
      <w:pPr>
        <w:ind w:left="2652" w:hanging="360"/>
      </w:pPr>
    </w:lvl>
    <w:lvl w:ilvl="4" w:tplc="04080019" w:tentative="1">
      <w:start w:val="1"/>
      <w:numFmt w:val="lowerLetter"/>
      <w:lvlText w:val="%5."/>
      <w:lvlJc w:val="left"/>
      <w:pPr>
        <w:ind w:left="3372" w:hanging="360"/>
      </w:pPr>
    </w:lvl>
    <w:lvl w:ilvl="5" w:tplc="0408001B" w:tentative="1">
      <w:start w:val="1"/>
      <w:numFmt w:val="lowerRoman"/>
      <w:lvlText w:val="%6."/>
      <w:lvlJc w:val="right"/>
      <w:pPr>
        <w:ind w:left="4092" w:hanging="180"/>
      </w:pPr>
    </w:lvl>
    <w:lvl w:ilvl="6" w:tplc="0408000F" w:tentative="1">
      <w:start w:val="1"/>
      <w:numFmt w:val="decimal"/>
      <w:lvlText w:val="%7."/>
      <w:lvlJc w:val="left"/>
      <w:pPr>
        <w:ind w:left="4812" w:hanging="360"/>
      </w:pPr>
    </w:lvl>
    <w:lvl w:ilvl="7" w:tplc="04080019" w:tentative="1">
      <w:start w:val="1"/>
      <w:numFmt w:val="lowerLetter"/>
      <w:lvlText w:val="%8."/>
      <w:lvlJc w:val="left"/>
      <w:pPr>
        <w:ind w:left="5532" w:hanging="360"/>
      </w:pPr>
    </w:lvl>
    <w:lvl w:ilvl="8" w:tplc="0408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6" w15:restartNumberingAfterBreak="0">
    <w:nsid w:val="52C46C92"/>
    <w:multiLevelType w:val="hybridMultilevel"/>
    <w:tmpl w:val="E736A9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C42C3"/>
    <w:multiLevelType w:val="hybridMultilevel"/>
    <w:tmpl w:val="A12205F8"/>
    <w:lvl w:ilvl="0" w:tplc="431E66DC">
      <w:start w:val="5"/>
      <w:numFmt w:val="decimal"/>
      <w:lvlText w:val="%1."/>
      <w:lvlJc w:val="left"/>
      <w:pPr>
        <w:tabs>
          <w:tab w:val="num" w:pos="407"/>
        </w:tabs>
        <w:ind w:left="40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5F6D2C"/>
    <w:multiLevelType w:val="hybridMultilevel"/>
    <w:tmpl w:val="CCCC39C0"/>
    <w:lvl w:ilvl="0" w:tplc="E60A98D6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12" w:hanging="360"/>
      </w:pPr>
    </w:lvl>
    <w:lvl w:ilvl="2" w:tplc="0408001B" w:tentative="1">
      <w:start w:val="1"/>
      <w:numFmt w:val="lowerRoman"/>
      <w:lvlText w:val="%3."/>
      <w:lvlJc w:val="right"/>
      <w:pPr>
        <w:ind w:left="1932" w:hanging="180"/>
      </w:pPr>
    </w:lvl>
    <w:lvl w:ilvl="3" w:tplc="0408000F" w:tentative="1">
      <w:start w:val="1"/>
      <w:numFmt w:val="decimal"/>
      <w:lvlText w:val="%4."/>
      <w:lvlJc w:val="left"/>
      <w:pPr>
        <w:ind w:left="2652" w:hanging="360"/>
      </w:pPr>
    </w:lvl>
    <w:lvl w:ilvl="4" w:tplc="04080019" w:tentative="1">
      <w:start w:val="1"/>
      <w:numFmt w:val="lowerLetter"/>
      <w:lvlText w:val="%5."/>
      <w:lvlJc w:val="left"/>
      <w:pPr>
        <w:ind w:left="3372" w:hanging="360"/>
      </w:pPr>
    </w:lvl>
    <w:lvl w:ilvl="5" w:tplc="0408001B" w:tentative="1">
      <w:start w:val="1"/>
      <w:numFmt w:val="lowerRoman"/>
      <w:lvlText w:val="%6."/>
      <w:lvlJc w:val="right"/>
      <w:pPr>
        <w:ind w:left="4092" w:hanging="180"/>
      </w:pPr>
    </w:lvl>
    <w:lvl w:ilvl="6" w:tplc="0408000F" w:tentative="1">
      <w:start w:val="1"/>
      <w:numFmt w:val="decimal"/>
      <w:lvlText w:val="%7."/>
      <w:lvlJc w:val="left"/>
      <w:pPr>
        <w:ind w:left="4812" w:hanging="360"/>
      </w:pPr>
    </w:lvl>
    <w:lvl w:ilvl="7" w:tplc="04080019" w:tentative="1">
      <w:start w:val="1"/>
      <w:numFmt w:val="lowerLetter"/>
      <w:lvlText w:val="%8."/>
      <w:lvlJc w:val="left"/>
      <w:pPr>
        <w:ind w:left="5532" w:hanging="360"/>
      </w:pPr>
    </w:lvl>
    <w:lvl w:ilvl="8" w:tplc="0408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9" w15:restartNumberingAfterBreak="0">
    <w:nsid w:val="6D9135BB"/>
    <w:multiLevelType w:val="multilevel"/>
    <w:tmpl w:val="ED767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AD03F9"/>
    <w:multiLevelType w:val="hybridMultilevel"/>
    <w:tmpl w:val="CCCC39C0"/>
    <w:lvl w:ilvl="0" w:tplc="E60A98D6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12" w:hanging="360"/>
      </w:pPr>
    </w:lvl>
    <w:lvl w:ilvl="2" w:tplc="0408001B" w:tentative="1">
      <w:start w:val="1"/>
      <w:numFmt w:val="lowerRoman"/>
      <w:lvlText w:val="%3."/>
      <w:lvlJc w:val="right"/>
      <w:pPr>
        <w:ind w:left="1932" w:hanging="180"/>
      </w:pPr>
    </w:lvl>
    <w:lvl w:ilvl="3" w:tplc="0408000F" w:tentative="1">
      <w:start w:val="1"/>
      <w:numFmt w:val="decimal"/>
      <w:lvlText w:val="%4."/>
      <w:lvlJc w:val="left"/>
      <w:pPr>
        <w:ind w:left="2652" w:hanging="360"/>
      </w:pPr>
    </w:lvl>
    <w:lvl w:ilvl="4" w:tplc="04080019" w:tentative="1">
      <w:start w:val="1"/>
      <w:numFmt w:val="lowerLetter"/>
      <w:lvlText w:val="%5."/>
      <w:lvlJc w:val="left"/>
      <w:pPr>
        <w:ind w:left="3372" w:hanging="360"/>
      </w:pPr>
    </w:lvl>
    <w:lvl w:ilvl="5" w:tplc="0408001B" w:tentative="1">
      <w:start w:val="1"/>
      <w:numFmt w:val="lowerRoman"/>
      <w:lvlText w:val="%6."/>
      <w:lvlJc w:val="right"/>
      <w:pPr>
        <w:ind w:left="4092" w:hanging="180"/>
      </w:pPr>
    </w:lvl>
    <w:lvl w:ilvl="6" w:tplc="0408000F" w:tentative="1">
      <w:start w:val="1"/>
      <w:numFmt w:val="decimal"/>
      <w:lvlText w:val="%7."/>
      <w:lvlJc w:val="left"/>
      <w:pPr>
        <w:ind w:left="4812" w:hanging="360"/>
      </w:pPr>
    </w:lvl>
    <w:lvl w:ilvl="7" w:tplc="04080019" w:tentative="1">
      <w:start w:val="1"/>
      <w:numFmt w:val="lowerLetter"/>
      <w:lvlText w:val="%8."/>
      <w:lvlJc w:val="left"/>
      <w:pPr>
        <w:ind w:left="5532" w:hanging="360"/>
      </w:pPr>
    </w:lvl>
    <w:lvl w:ilvl="8" w:tplc="0408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1" w15:restartNumberingAfterBreak="0">
    <w:nsid w:val="7BBC238E"/>
    <w:multiLevelType w:val="hybridMultilevel"/>
    <w:tmpl w:val="5E1CCA88"/>
    <w:lvl w:ilvl="0" w:tplc="CB44A0A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5"/>
  </w:num>
  <w:num w:numId="10">
    <w:abstractNumId w:val="2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5C"/>
    <w:rsid w:val="00007F59"/>
    <w:rsid w:val="0002638E"/>
    <w:rsid w:val="00031935"/>
    <w:rsid w:val="000328E8"/>
    <w:rsid w:val="00036951"/>
    <w:rsid w:val="00040D99"/>
    <w:rsid w:val="00041FF0"/>
    <w:rsid w:val="000420C7"/>
    <w:rsid w:val="00061AB8"/>
    <w:rsid w:val="00065315"/>
    <w:rsid w:val="00076588"/>
    <w:rsid w:val="00080D31"/>
    <w:rsid w:val="0009620F"/>
    <w:rsid w:val="000A3830"/>
    <w:rsid w:val="000C7E3D"/>
    <w:rsid w:val="00103970"/>
    <w:rsid w:val="00124DCC"/>
    <w:rsid w:val="001275D6"/>
    <w:rsid w:val="00127750"/>
    <w:rsid w:val="001400C9"/>
    <w:rsid w:val="0014114B"/>
    <w:rsid w:val="00145D85"/>
    <w:rsid w:val="00166EE1"/>
    <w:rsid w:val="001707CE"/>
    <w:rsid w:val="001809F0"/>
    <w:rsid w:val="001813D4"/>
    <w:rsid w:val="00181C54"/>
    <w:rsid w:val="00185CFC"/>
    <w:rsid w:val="00193820"/>
    <w:rsid w:val="001A2826"/>
    <w:rsid w:val="001B2334"/>
    <w:rsid w:val="001B7B3D"/>
    <w:rsid w:val="001C3F7B"/>
    <w:rsid w:val="001D481E"/>
    <w:rsid w:val="001F524C"/>
    <w:rsid w:val="00202619"/>
    <w:rsid w:val="00214B49"/>
    <w:rsid w:val="00216D9A"/>
    <w:rsid w:val="00221C53"/>
    <w:rsid w:val="00224038"/>
    <w:rsid w:val="00232CC6"/>
    <w:rsid w:val="00235A68"/>
    <w:rsid w:val="00242014"/>
    <w:rsid w:val="00244821"/>
    <w:rsid w:val="0024574E"/>
    <w:rsid w:val="00250844"/>
    <w:rsid w:val="0025430B"/>
    <w:rsid w:val="002549BA"/>
    <w:rsid w:val="00255049"/>
    <w:rsid w:val="00257CE4"/>
    <w:rsid w:val="002642EE"/>
    <w:rsid w:val="00274705"/>
    <w:rsid w:val="002823B6"/>
    <w:rsid w:val="002920C6"/>
    <w:rsid w:val="0029456D"/>
    <w:rsid w:val="002A6CFE"/>
    <w:rsid w:val="002A6E93"/>
    <w:rsid w:val="002B1592"/>
    <w:rsid w:val="002B47C7"/>
    <w:rsid w:val="002C39D5"/>
    <w:rsid w:val="002D15E4"/>
    <w:rsid w:val="002D1FC8"/>
    <w:rsid w:val="002D6953"/>
    <w:rsid w:val="002E147D"/>
    <w:rsid w:val="002E235C"/>
    <w:rsid w:val="002E32CA"/>
    <w:rsid w:val="002E7083"/>
    <w:rsid w:val="002F580B"/>
    <w:rsid w:val="00311D2C"/>
    <w:rsid w:val="003154F8"/>
    <w:rsid w:val="00323E18"/>
    <w:rsid w:val="0034073F"/>
    <w:rsid w:val="003409E3"/>
    <w:rsid w:val="00347659"/>
    <w:rsid w:val="0035185D"/>
    <w:rsid w:val="00352380"/>
    <w:rsid w:val="00372C6B"/>
    <w:rsid w:val="00381C16"/>
    <w:rsid w:val="0039170A"/>
    <w:rsid w:val="00397709"/>
    <w:rsid w:val="003B0890"/>
    <w:rsid w:val="003B2EEF"/>
    <w:rsid w:val="003D46BE"/>
    <w:rsid w:val="003D5EDD"/>
    <w:rsid w:val="003D6D38"/>
    <w:rsid w:val="003E6559"/>
    <w:rsid w:val="003F0FD0"/>
    <w:rsid w:val="00413584"/>
    <w:rsid w:val="00420536"/>
    <w:rsid w:val="00422BF4"/>
    <w:rsid w:val="00425421"/>
    <w:rsid w:val="00426DA9"/>
    <w:rsid w:val="004375AE"/>
    <w:rsid w:val="004440D8"/>
    <w:rsid w:val="004520F4"/>
    <w:rsid w:val="0045265A"/>
    <w:rsid w:val="00454FFD"/>
    <w:rsid w:val="00460A3A"/>
    <w:rsid w:val="004723EE"/>
    <w:rsid w:val="00483225"/>
    <w:rsid w:val="004832B0"/>
    <w:rsid w:val="00490498"/>
    <w:rsid w:val="004A1A57"/>
    <w:rsid w:val="004A6C05"/>
    <w:rsid w:val="004A7C7B"/>
    <w:rsid w:val="004D09CC"/>
    <w:rsid w:val="004D452D"/>
    <w:rsid w:val="004D6F1A"/>
    <w:rsid w:val="004D72A5"/>
    <w:rsid w:val="004D7556"/>
    <w:rsid w:val="004D757F"/>
    <w:rsid w:val="004E7CAB"/>
    <w:rsid w:val="004F3C15"/>
    <w:rsid w:val="00506EEC"/>
    <w:rsid w:val="005102ED"/>
    <w:rsid w:val="00512049"/>
    <w:rsid w:val="00517945"/>
    <w:rsid w:val="0052769F"/>
    <w:rsid w:val="0053462F"/>
    <w:rsid w:val="005440A3"/>
    <w:rsid w:val="0054724D"/>
    <w:rsid w:val="00564C4A"/>
    <w:rsid w:val="00575314"/>
    <w:rsid w:val="00577EDB"/>
    <w:rsid w:val="00580400"/>
    <w:rsid w:val="005805B7"/>
    <w:rsid w:val="005841EB"/>
    <w:rsid w:val="0059519F"/>
    <w:rsid w:val="005A3FDB"/>
    <w:rsid w:val="005B2D32"/>
    <w:rsid w:val="005B5A9D"/>
    <w:rsid w:val="005B61D6"/>
    <w:rsid w:val="005B6A2F"/>
    <w:rsid w:val="005C17A2"/>
    <w:rsid w:val="005D0BF4"/>
    <w:rsid w:val="005D2A45"/>
    <w:rsid w:val="005E0DD3"/>
    <w:rsid w:val="005E3D2D"/>
    <w:rsid w:val="005E5F87"/>
    <w:rsid w:val="005F7307"/>
    <w:rsid w:val="006055E5"/>
    <w:rsid w:val="00612D0E"/>
    <w:rsid w:val="00612F24"/>
    <w:rsid w:val="00615E24"/>
    <w:rsid w:val="00616824"/>
    <w:rsid w:val="00617C80"/>
    <w:rsid w:val="0062190C"/>
    <w:rsid w:val="0063145F"/>
    <w:rsid w:val="00640EED"/>
    <w:rsid w:val="006510C9"/>
    <w:rsid w:val="0065365D"/>
    <w:rsid w:val="00661B04"/>
    <w:rsid w:val="00665EDE"/>
    <w:rsid w:val="00683F74"/>
    <w:rsid w:val="006876C1"/>
    <w:rsid w:val="006A1916"/>
    <w:rsid w:val="006A5361"/>
    <w:rsid w:val="006A5BF0"/>
    <w:rsid w:val="006A7CB6"/>
    <w:rsid w:val="006B3AFA"/>
    <w:rsid w:val="006B5031"/>
    <w:rsid w:val="006B5407"/>
    <w:rsid w:val="006C0163"/>
    <w:rsid w:val="006C7D6D"/>
    <w:rsid w:val="006D1839"/>
    <w:rsid w:val="006F5179"/>
    <w:rsid w:val="0070025E"/>
    <w:rsid w:val="0070255B"/>
    <w:rsid w:val="00707DF1"/>
    <w:rsid w:val="00715349"/>
    <w:rsid w:val="00723DD3"/>
    <w:rsid w:val="007241D4"/>
    <w:rsid w:val="00731D94"/>
    <w:rsid w:val="00733B54"/>
    <w:rsid w:val="00737C55"/>
    <w:rsid w:val="00740EB2"/>
    <w:rsid w:val="0074716C"/>
    <w:rsid w:val="007668D0"/>
    <w:rsid w:val="0077377B"/>
    <w:rsid w:val="007844FE"/>
    <w:rsid w:val="00785F7E"/>
    <w:rsid w:val="0079484B"/>
    <w:rsid w:val="007A01CF"/>
    <w:rsid w:val="007A08EF"/>
    <w:rsid w:val="007A2411"/>
    <w:rsid w:val="007C2477"/>
    <w:rsid w:val="007D29C9"/>
    <w:rsid w:val="007D437D"/>
    <w:rsid w:val="007E05A8"/>
    <w:rsid w:val="007E5077"/>
    <w:rsid w:val="00801297"/>
    <w:rsid w:val="008041F9"/>
    <w:rsid w:val="008065ED"/>
    <w:rsid w:val="00810297"/>
    <w:rsid w:val="00813653"/>
    <w:rsid w:val="00816C0F"/>
    <w:rsid w:val="00824ACA"/>
    <w:rsid w:val="0082588D"/>
    <w:rsid w:val="008367DF"/>
    <w:rsid w:val="00845A7D"/>
    <w:rsid w:val="00846E40"/>
    <w:rsid w:val="00860C42"/>
    <w:rsid w:val="00861DDA"/>
    <w:rsid w:val="00862D2D"/>
    <w:rsid w:val="00866CF6"/>
    <w:rsid w:val="00873292"/>
    <w:rsid w:val="00873A73"/>
    <w:rsid w:val="00892C11"/>
    <w:rsid w:val="00896459"/>
    <w:rsid w:val="008A672B"/>
    <w:rsid w:val="008B4BE5"/>
    <w:rsid w:val="008B6724"/>
    <w:rsid w:val="008E0809"/>
    <w:rsid w:val="008F4416"/>
    <w:rsid w:val="008F6996"/>
    <w:rsid w:val="009008F1"/>
    <w:rsid w:val="009030FE"/>
    <w:rsid w:val="00903A74"/>
    <w:rsid w:val="00905DC3"/>
    <w:rsid w:val="009103C1"/>
    <w:rsid w:val="00910A47"/>
    <w:rsid w:val="0091410B"/>
    <w:rsid w:val="00920E7E"/>
    <w:rsid w:val="00922D5F"/>
    <w:rsid w:val="00923DB3"/>
    <w:rsid w:val="009250A3"/>
    <w:rsid w:val="009425B2"/>
    <w:rsid w:val="00950F13"/>
    <w:rsid w:val="00963984"/>
    <w:rsid w:val="00990717"/>
    <w:rsid w:val="009948B3"/>
    <w:rsid w:val="009A028C"/>
    <w:rsid w:val="009A0806"/>
    <w:rsid w:val="009A3542"/>
    <w:rsid w:val="009B4222"/>
    <w:rsid w:val="009B509B"/>
    <w:rsid w:val="009B570F"/>
    <w:rsid w:val="009C6DA5"/>
    <w:rsid w:val="009D0346"/>
    <w:rsid w:val="009E4ACC"/>
    <w:rsid w:val="009E71A8"/>
    <w:rsid w:val="009F38AE"/>
    <w:rsid w:val="009F3D84"/>
    <w:rsid w:val="00A0077D"/>
    <w:rsid w:val="00A0087E"/>
    <w:rsid w:val="00A03312"/>
    <w:rsid w:val="00A13B55"/>
    <w:rsid w:val="00A14647"/>
    <w:rsid w:val="00A32DA2"/>
    <w:rsid w:val="00A331A3"/>
    <w:rsid w:val="00A36138"/>
    <w:rsid w:val="00A41C99"/>
    <w:rsid w:val="00A42BF8"/>
    <w:rsid w:val="00A43EB6"/>
    <w:rsid w:val="00A44393"/>
    <w:rsid w:val="00A552C9"/>
    <w:rsid w:val="00A61707"/>
    <w:rsid w:val="00A6476A"/>
    <w:rsid w:val="00A64B7C"/>
    <w:rsid w:val="00A65F14"/>
    <w:rsid w:val="00A946D2"/>
    <w:rsid w:val="00AA07F2"/>
    <w:rsid w:val="00AA7A98"/>
    <w:rsid w:val="00AB01DD"/>
    <w:rsid w:val="00AB5059"/>
    <w:rsid w:val="00AB5566"/>
    <w:rsid w:val="00AD5DA5"/>
    <w:rsid w:val="00AD6517"/>
    <w:rsid w:val="00AD7CD4"/>
    <w:rsid w:val="00AE1D94"/>
    <w:rsid w:val="00AE5050"/>
    <w:rsid w:val="00AF475E"/>
    <w:rsid w:val="00B070C4"/>
    <w:rsid w:val="00B12425"/>
    <w:rsid w:val="00B15104"/>
    <w:rsid w:val="00B32D91"/>
    <w:rsid w:val="00B36DC6"/>
    <w:rsid w:val="00B41695"/>
    <w:rsid w:val="00B42D57"/>
    <w:rsid w:val="00B45E57"/>
    <w:rsid w:val="00B46782"/>
    <w:rsid w:val="00B500D0"/>
    <w:rsid w:val="00B535F7"/>
    <w:rsid w:val="00B642B3"/>
    <w:rsid w:val="00B6507D"/>
    <w:rsid w:val="00B8540F"/>
    <w:rsid w:val="00B874C9"/>
    <w:rsid w:val="00BA58E7"/>
    <w:rsid w:val="00BA70B3"/>
    <w:rsid w:val="00BB37A0"/>
    <w:rsid w:val="00BD2288"/>
    <w:rsid w:val="00BD6F02"/>
    <w:rsid w:val="00BE0CEA"/>
    <w:rsid w:val="00BE5E1F"/>
    <w:rsid w:val="00BE664F"/>
    <w:rsid w:val="00BF73D9"/>
    <w:rsid w:val="00C07091"/>
    <w:rsid w:val="00C11DA9"/>
    <w:rsid w:val="00C12AC6"/>
    <w:rsid w:val="00C22134"/>
    <w:rsid w:val="00C22EC1"/>
    <w:rsid w:val="00C30985"/>
    <w:rsid w:val="00C51199"/>
    <w:rsid w:val="00C70D49"/>
    <w:rsid w:val="00C73210"/>
    <w:rsid w:val="00C81AED"/>
    <w:rsid w:val="00C915CF"/>
    <w:rsid w:val="00C92140"/>
    <w:rsid w:val="00C93697"/>
    <w:rsid w:val="00C964B3"/>
    <w:rsid w:val="00CA7668"/>
    <w:rsid w:val="00CB0E57"/>
    <w:rsid w:val="00CB2294"/>
    <w:rsid w:val="00CC3F8A"/>
    <w:rsid w:val="00CC529C"/>
    <w:rsid w:val="00CE099A"/>
    <w:rsid w:val="00CE1754"/>
    <w:rsid w:val="00CE558C"/>
    <w:rsid w:val="00CE6A9B"/>
    <w:rsid w:val="00CF02E3"/>
    <w:rsid w:val="00D1136B"/>
    <w:rsid w:val="00D13AE2"/>
    <w:rsid w:val="00D23FE0"/>
    <w:rsid w:val="00D24D59"/>
    <w:rsid w:val="00D254EB"/>
    <w:rsid w:val="00D3171A"/>
    <w:rsid w:val="00D345C3"/>
    <w:rsid w:val="00D36AA3"/>
    <w:rsid w:val="00D55D57"/>
    <w:rsid w:val="00D64287"/>
    <w:rsid w:val="00D64662"/>
    <w:rsid w:val="00D76BB5"/>
    <w:rsid w:val="00D91413"/>
    <w:rsid w:val="00DA3343"/>
    <w:rsid w:val="00DA4234"/>
    <w:rsid w:val="00DA43A8"/>
    <w:rsid w:val="00DC6B0D"/>
    <w:rsid w:val="00DE6195"/>
    <w:rsid w:val="00E271E0"/>
    <w:rsid w:val="00E32A3C"/>
    <w:rsid w:val="00E407E9"/>
    <w:rsid w:val="00E5145C"/>
    <w:rsid w:val="00E6022E"/>
    <w:rsid w:val="00E60450"/>
    <w:rsid w:val="00E61BE9"/>
    <w:rsid w:val="00E65B87"/>
    <w:rsid w:val="00E676DE"/>
    <w:rsid w:val="00E80ABA"/>
    <w:rsid w:val="00E91775"/>
    <w:rsid w:val="00EA5002"/>
    <w:rsid w:val="00EA763D"/>
    <w:rsid w:val="00EB0DAE"/>
    <w:rsid w:val="00EB114E"/>
    <w:rsid w:val="00EB14FF"/>
    <w:rsid w:val="00EB1786"/>
    <w:rsid w:val="00EB7E75"/>
    <w:rsid w:val="00EC5491"/>
    <w:rsid w:val="00EC79A1"/>
    <w:rsid w:val="00EE0B8C"/>
    <w:rsid w:val="00EE4372"/>
    <w:rsid w:val="00EF089F"/>
    <w:rsid w:val="00EF34F7"/>
    <w:rsid w:val="00EF7E7B"/>
    <w:rsid w:val="00F00E11"/>
    <w:rsid w:val="00F05E8D"/>
    <w:rsid w:val="00F1625C"/>
    <w:rsid w:val="00F23A63"/>
    <w:rsid w:val="00F33FF1"/>
    <w:rsid w:val="00F56244"/>
    <w:rsid w:val="00F5668D"/>
    <w:rsid w:val="00F63ED7"/>
    <w:rsid w:val="00F64FE0"/>
    <w:rsid w:val="00F8381D"/>
    <w:rsid w:val="00F87709"/>
    <w:rsid w:val="00FA5085"/>
    <w:rsid w:val="00FA6ABC"/>
    <w:rsid w:val="00FB3D8B"/>
    <w:rsid w:val="00FB4AA5"/>
    <w:rsid w:val="00FC276B"/>
    <w:rsid w:val="00FC3AC5"/>
    <w:rsid w:val="00FC5A1D"/>
    <w:rsid w:val="00FD1F02"/>
    <w:rsid w:val="00FD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EC2E59"/>
  <w15:chartTrackingRefBased/>
  <w15:docId w15:val="{BFB2E95B-9000-4E10-8C88-7CAE4A35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288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2E235C"/>
    <w:pPr>
      <w:jc w:val="both"/>
    </w:pPr>
    <w:rPr>
      <w:rFonts w:ascii="Arial" w:hAnsi="Arial"/>
      <w:lang w:val="el-GR" w:eastAsia="x-none"/>
    </w:rPr>
  </w:style>
  <w:style w:type="character" w:customStyle="1" w:styleId="BodyTextChar">
    <w:name w:val="Body Text Char"/>
    <w:link w:val="BodyText"/>
    <w:rsid w:val="002E235C"/>
    <w:rPr>
      <w:rFonts w:ascii="Arial" w:eastAsia="Times New Roman" w:hAnsi="Arial" w:cs="Arial"/>
      <w:sz w:val="24"/>
      <w:szCs w:val="24"/>
      <w:lang w:val="el-GR"/>
    </w:rPr>
  </w:style>
  <w:style w:type="paragraph" w:styleId="BodyTextIndent">
    <w:name w:val="Body Text Indent"/>
    <w:basedOn w:val="Normal"/>
    <w:link w:val="BodyTextIndentChar"/>
    <w:semiHidden/>
    <w:unhideWhenUsed/>
    <w:rsid w:val="002E235C"/>
    <w:pPr>
      <w:ind w:left="-900"/>
      <w:jc w:val="both"/>
    </w:pPr>
    <w:rPr>
      <w:rFonts w:ascii="Arial" w:hAnsi="Arial"/>
      <w:lang w:val="el-GR" w:eastAsia="x-none"/>
    </w:rPr>
  </w:style>
  <w:style w:type="character" w:customStyle="1" w:styleId="BodyTextIndentChar">
    <w:name w:val="Body Text Indent Char"/>
    <w:link w:val="BodyTextIndent"/>
    <w:semiHidden/>
    <w:rsid w:val="002E235C"/>
    <w:rPr>
      <w:rFonts w:ascii="Arial" w:eastAsia="Times New Roman" w:hAnsi="Arial" w:cs="Arial"/>
      <w:sz w:val="24"/>
      <w:szCs w:val="24"/>
      <w:lang w:val="el-GR"/>
    </w:rPr>
  </w:style>
  <w:style w:type="paragraph" w:styleId="BodyTextIndent2">
    <w:name w:val="Body Text Indent 2"/>
    <w:basedOn w:val="Normal"/>
    <w:link w:val="BodyTextIndent2Char"/>
    <w:unhideWhenUsed/>
    <w:rsid w:val="002E235C"/>
    <w:pPr>
      <w:ind w:firstLine="720"/>
      <w:jc w:val="both"/>
    </w:pPr>
    <w:rPr>
      <w:rFonts w:ascii="Arial" w:hAnsi="Arial"/>
      <w:lang w:val="el-GR" w:eastAsia="x-none"/>
    </w:rPr>
  </w:style>
  <w:style w:type="character" w:customStyle="1" w:styleId="BodyTextIndent2Char">
    <w:name w:val="Body Text Indent 2 Char"/>
    <w:link w:val="BodyTextIndent2"/>
    <w:rsid w:val="002E235C"/>
    <w:rPr>
      <w:rFonts w:ascii="Arial" w:eastAsia="Times New Roman" w:hAnsi="Arial" w:cs="Arial"/>
      <w:sz w:val="24"/>
      <w:szCs w:val="24"/>
      <w:lang w:val="el-GR"/>
    </w:rPr>
  </w:style>
  <w:style w:type="paragraph" w:styleId="BodyTextIndent3">
    <w:name w:val="Body Text Indent 3"/>
    <w:basedOn w:val="Normal"/>
    <w:link w:val="BodyTextIndent3Char"/>
    <w:unhideWhenUsed/>
    <w:rsid w:val="002E235C"/>
    <w:pPr>
      <w:ind w:left="1451" w:hanging="742"/>
    </w:pPr>
    <w:rPr>
      <w:szCs w:val="20"/>
      <w:lang w:val="el-GR" w:eastAsia="x-none"/>
    </w:rPr>
  </w:style>
  <w:style w:type="character" w:customStyle="1" w:styleId="BodyTextIndent3Char">
    <w:name w:val="Body Text Indent 3 Char"/>
    <w:link w:val="BodyTextIndent3"/>
    <w:rsid w:val="002E235C"/>
    <w:rPr>
      <w:rFonts w:ascii="Times New Roman" w:eastAsia="Times New Roman" w:hAnsi="Times New Roman" w:cs="Times New Roman"/>
      <w:sz w:val="24"/>
      <w:szCs w:val="20"/>
      <w:lang w:val="el-G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E0809"/>
    <w:pPr>
      <w:spacing w:after="120" w:line="480" w:lineRule="auto"/>
    </w:pPr>
    <w:rPr>
      <w:lang w:eastAsia="x-none"/>
    </w:rPr>
  </w:style>
  <w:style w:type="character" w:customStyle="1" w:styleId="BodyText2Char">
    <w:name w:val="Body Text 2 Char"/>
    <w:link w:val="BodyText2"/>
    <w:uiPriority w:val="99"/>
    <w:semiHidden/>
    <w:rsid w:val="008E0809"/>
    <w:rPr>
      <w:rFonts w:ascii="Times New Roman" w:eastAsia="Times New Roman" w:hAnsi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25E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0025E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2508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84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250844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8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0844"/>
    <w:rPr>
      <w:rFonts w:ascii="Times New Roman" w:eastAsia="Times New Roman" w:hAnsi="Times New Roman"/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17C80"/>
    <w:pPr>
      <w:spacing w:before="100" w:beforeAutospacing="1" w:after="100" w:afterAutospacing="1"/>
    </w:pPr>
    <w:rPr>
      <w:lang w:eastAsia="en-GB"/>
    </w:rPr>
  </w:style>
  <w:style w:type="paragraph" w:customStyle="1" w:styleId="indent1">
    <w:name w:val="indent1"/>
    <w:basedOn w:val="Normal"/>
    <w:rsid w:val="00617C80"/>
    <w:pPr>
      <w:spacing w:before="100" w:beforeAutospacing="1" w:after="100" w:afterAutospacing="1"/>
    </w:pPr>
    <w:rPr>
      <w:lang w:eastAsia="en-GB"/>
    </w:rPr>
  </w:style>
  <w:style w:type="character" w:customStyle="1" w:styleId="toc-instrument-enum">
    <w:name w:val="toc-instrument-enum"/>
    <w:rsid w:val="00311D2C"/>
  </w:style>
  <w:style w:type="paragraph" w:styleId="FootnoteText">
    <w:name w:val="footnote text"/>
    <w:basedOn w:val="Normal"/>
    <w:link w:val="FootnoteTextChar"/>
    <w:uiPriority w:val="99"/>
    <w:semiHidden/>
    <w:unhideWhenUsed/>
    <w:rsid w:val="0089645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96459"/>
    <w:rPr>
      <w:rFonts w:ascii="Times New Roman" w:eastAsia="Times New Roman" w:hAnsi="Times New Roman"/>
      <w:lang w:val="en-GB"/>
    </w:rPr>
  </w:style>
  <w:style w:type="character" w:styleId="FootnoteReference">
    <w:name w:val="footnote reference"/>
    <w:uiPriority w:val="99"/>
    <w:semiHidden/>
    <w:unhideWhenUsed/>
    <w:rsid w:val="0089645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B55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B5566"/>
    <w:rPr>
      <w:rFonts w:ascii="Times New Roman" w:eastAsia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55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B5566"/>
    <w:rPr>
      <w:rFonts w:ascii="Times New Roman" w:eastAsia="Times New Roman" w:hAnsi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946D2"/>
    <w:pPr>
      <w:ind w:left="720"/>
    </w:pPr>
  </w:style>
  <w:style w:type="paragraph" w:customStyle="1" w:styleId="Normal1">
    <w:name w:val="Normal1"/>
    <w:basedOn w:val="Normal"/>
    <w:rsid w:val="00C30985"/>
    <w:pPr>
      <w:spacing w:before="100" w:beforeAutospacing="1" w:after="100" w:afterAutospacing="1"/>
    </w:pPr>
    <w:rPr>
      <w:lang w:val="el-GR" w:eastAsia="el-GR"/>
    </w:rPr>
  </w:style>
  <w:style w:type="character" w:styleId="Emphasis">
    <w:name w:val="Emphasis"/>
    <w:uiPriority w:val="20"/>
    <w:qFormat/>
    <w:rsid w:val="00FD4545"/>
    <w:rPr>
      <w:i/>
      <w:iCs/>
    </w:rPr>
  </w:style>
  <w:style w:type="paragraph" w:styleId="Revision">
    <w:name w:val="Revision"/>
    <w:hidden/>
    <w:uiPriority w:val="99"/>
    <w:semiHidden/>
    <w:rsid w:val="00422BF4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4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741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C55BF-9FFE-4FC1-B51D-DEB403291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ΝΚαραγιάννη</dc:creator>
  <cp:keywords/>
  <cp:lastModifiedBy>IAKOVIDOU MARIA</cp:lastModifiedBy>
  <cp:revision>6</cp:revision>
  <cp:lastPrinted>2021-06-22T11:23:00Z</cp:lastPrinted>
  <dcterms:created xsi:type="dcterms:W3CDTF">2022-01-05T08:55:00Z</dcterms:created>
  <dcterms:modified xsi:type="dcterms:W3CDTF">2022-01-31T07:43:00Z</dcterms:modified>
</cp:coreProperties>
</file>