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D4A3" w14:textId="4F7632C2" w:rsidR="009E6C31" w:rsidRDefault="009E6C31" w:rsidP="00B7589D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  <w:r w:rsidRPr="00A148AE">
        <w:rPr>
          <w:rFonts w:ascii="Arial" w:hAnsi="Arial"/>
          <w:sz w:val="24"/>
          <w:szCs w:val="24"/>
          <w:lang w:val="el-GR"/>
        </w:rPr>
        <w:t>ΝΟΜΟΣ ΠΟΥ ΤΡΟΠΟΠΟΙΕΙ ΤΟΝ ΠΕΡΙ ΤΗΣ ΚΑΤΑΠΟΛΕΜΗΣΗΣ ΤΗΣ ΑΠΑΤΗΣ ΚΑΙ ΤΗΣ ΠΛΑΣΤΟΓΡΑΦΙΑΣ ΜΕΣΩΝ ΠΛΗΡΩΜΗΣ ΠΛΗΝ ΤΩΝ ΜΕΤΡΗΤΩΝ ΝΟΜΟ ΤΟΥ 202</w:t>
      </w:r>
      <w:r w:rsidR="00C96698" w:rsidRPr="00B7589D">
        <w:rPr>
          <w:rFonts w:ascii="Arial" w:hAnsi="Arial"/>
          <w:sz w:val="24"/>
          <w:szCs w:val="24"/>
          <w:lang w:val="el-GR"/>
        </w:rPr>
        <w:t>1</w:t>
      </w:r>
    </w:p>
    <w:p w14:paraId="0486157F" w14:textId="77777777" w:rsidR="00834AFA" w:rsidRPr="00B7589D" w:rsidRDefault="00834AFA" w:rsidP="00B7589D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</w:p>
    <w:p w14:paraId="0EE4D4A4" w14:textId="1E75C4AD" w:rsidR="009E6C31" w:rsidRDefault="00834AFA" w:rsidP="00F93D9B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  <w:r w:rsidRPr="00834AFA">
        <w:rPr>
          <w:rFonts w:ascii="Arial" w:hAnsi="Arial"/>
          <w:sz w:val="24"/>
          <w:szCs w:val="24"/>
          <w:lang w:val="el-GR"/>
        </w:rPr>
        <w:t xml:space="preserve">                       </w:t>
      </w:r>
      <w:r>
        <w:rPr>
          <w:rFonts w:ascii="Arial" w:hAnsi="Arial"/>
          <w:sz w:val="24"/>
          <w:szCs w:val="24"/>
          <w:lang w:val="el-GR"/>
        </w:rPr>
        <w:t>Η Βουλή των Αντιπροσώπων ψηφίζει ως ακολούθως:</w:t>
      </w:r>
    </w:p>
    <w:p w14:paraId="0DA12851" w14:textId="77777777" w:rsidR="00834AFA" w:rsidRPr="00A148AE" w:rsidRDefault="00834AFA" w:rsidP="00F93D9B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1752"/>
        <w:gridCol w:w="5646"/>
      </w:tblGrid>
      <w:tr w:rsidR="00A148AE" w:rsidRPr="00834AFA" w14:paraId="0EE4D4AC" w14:textId="77777777" w:rsidTr="00834AFA">
        <w:trPr>
          <w:trHeight w:val="356"/>
        </w:trPr>
        <w:tc>
          <w:tcPr>
            <w:tcW w:w="1116" w:type="pct"/>
          </w:tcPr>
          <w:p w14:paraId="0EE4D4A7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Συνοπτικός </w:t>
            </w:r>
          </w:p>
          <w:p w14:paraId="0EE4D4A8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0EE4D4A9" w14:textId="77777777" w:rsidR="00A148AE" w:rsidRPr="00A148AE" w:rsidRDefault="00A148AE" w:rsidP="00F93D9B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51(I) του 2021.</w:t>
            </w:r>
          </w:p>
          <w:p w14:paraId="0EE4D4AA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AB" w14:textId="0C1EC809" w:rsidR="00A148AE" w:rsidRPr="00A148AE" w:rsidRDefault="00A148AE" w:rsidP="00F93D9B">
            <w:pPr>
              <w:tabs>
                <w:tab w:val="left" w:pos="455"/>
              </w:tabs>
              <w:spacing w:after="0" w:line="360" w:lineRule="auto"/>
              <w:ind w:left="33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της Καταπολέμησης  της Απάτης και της Πλαστογραφίας μέσων Πληρωμής πλην των Μετρητών (Τροποποιητικός) Νόμος του 20</w:t>
            </w:r>
            <w:r w:rsidR="00D71CD1">
              <w:rPr>
                <w:rFonts w:ascii="Arial" w:hAnsi="Arial" w:cs="Arial"/>
                <w:sz w:val="24"/>
                <w:szCs w:val="24"/>
                <w:lang w:val="el-GR"/>
              </w:rPr>
              <w:t>22 και θα διαβάζεται μαζί με τον περί της Καταπολέμησης της Απάτης και της Πλαστογραφίας μέσων Πληρωμής πλην των Μετρητών Νόμο του 2021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 (που στο εξής θα αναφέρεται ως «ο βασικός νόμος»)</w:t>
            </w:r>
            <w:r w:rsidR="00F93D9B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ο βασικός νόμος και ο παρών Νόμος θα αναφέρονται </w:t>
            </w:r>
            <w:r w:rsidR="0051604C">
              <w:rPr>
                <w:rFonts w:ascii="Arial" w:hAnsi="Arial" w:cs="Arial"/>
                <w:sz w:val="24"/>
                <w:szCs w:val="24"/>
                <w:lang w:val="el-GR"/>
              </w:rPr>
              <w:t xml:space="preserve">μαζί ως οι περί της Καταπολέμησης της Απάτης και της Πλαστογραφίας μέσων Πληρωμής πλην των Μετρητών </w:t>
            </w:r>
            <w:r w:rsidR="00EB38AF">
              <w:rPr>
                <w:rFonts w:ascii="Arial" w:hAnsi="Arial" w:cs="Arial"/>
                <w:sz w:val="24"/>
                <w:szCs w:val="24"/>
                <w:lang w:val="el-GR"/>
              </w:rPr>
              <w:t>Νόμοι του 202</w:t>
            </w:r>
            <w:r w:rsidR="00F14597">
              <w:rPr>
                <w:rFonts w:ascii="Arial" w:hAnsi="Arial" w:cs="Arial"/>
                <w:sz w:val="24"/>
                <w:szCs w:val="24"/>
                <w:lang w:val="el-GR"/>
              </w:rPr>
              <w:t xml:space="preserve">1 </w:t>
            </w:r>
            <w:r w:rsidR="00EB38AF">
              <w:rPr>
                <w:rFonts w:ascii="Arial" w:hAnsi="Arial" w:cs="Arial"/>
                <w:sz w:val="24"/>
                <w:szCs w:val="24"/>
                <w:lang w:val="el-GR"/>
              </w:rPr>
              <w:t>και 2022.</w:t>
            </w:r>
          </w:p>
        </w:tc>
      </w:tr>
      <w:tr w:rsidR="00A148AE" w:rsidRPr="00834AFA" w14:paraId="0EE4D4AF" w14:textId="77777777" w:rsidTr="00834AFA">
        <w:trPr>
          <w:trHeight w:val="356"/>
        </w:trPr>
        <w:tc>
          <w:tcPr>
            <w:tcW w:w="1116" w:type="pct"/>
          </w:tcPr>
          <w:p w14:paraId="0EE4D4AD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AE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148AE" w:rsidRPr="00834AFA" w14:paraId="0EE4D4B6" w14:textId="77777777" w:rsidTr="00834AFA">
        <w:trPr>
          <w:trHeight w:val="356"/>
        </w:trPr>
        <w:tc>
          <w:tcPr>
            <w:tcW w:w="1116" w:type="pct"/>
          </w:tcPr>
          <w:p w14:paraId="0EE4D4B0" w14:textId="77777777" w:rsid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0EE4D4B1" w14:textId="77777777" w:rsid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2 </w:t>
            </w:r>
          </w:p>
          <w:p w14:paraId="0EE4D4B2" w14:textId="77777777" w:rsid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βασικού </w:t>
            </w:r>
          </w:p>
          <w:p w14:paraId="0EE4D4B3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884" w:type="pct"/>
            <w:gridSpan w:val="2"/>
          </w:tcPr>
          <w:p w14:paraId="0EE4D4B4" w14:textId="0313D8FB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2. </w:t>
            </w:r>
            <w:r w:rsidR="00C96698" w:rsidRPr="00B7589D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2 του βασικού </w:t>
            </w:r>
            <w:r w:rsidR="00C85079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όμου τροποποιείται</w:t>
            </w:r>
            <w:r w:rsidRPr="00A148AE">
              <w:rPr>
                <w:sz w:val="24"/>
                <w:szCs w:val="24"/>
                <w:lang w:val="el-GR"/>
              </w:rPr>
              <w:t xml:space="preserve">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με την προσθήκη</w:t>
            </w:r>
            <w:r w:rsidR="00D71CD1">
              <w:rPr>
                <w:rFonts w:ascii="Arial" w:hAnsi="Arial" w:cs="Arial"/>
                <w:sz w:val="24"/>
                <w:szCs w:val="24"/>
                <w:lang w:val="el-GR"/>
              </w:rPr>
              <w:t>, στην κατάλληλη αλφαβητική σειρά,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 των ακόλουθων νέων</w:t>
            </w:r>
            <w:r w:rsidR="00D71CD1">
              <w:rPr>
                <w:rFonts w:ascii="Arial" w:hAnsi="Arial" w:cs="Arial"/>
                <w:sz w:val="24"/>
                <w:szCs w:val="24"/>
                <w:lang w:val="el-GR"/>
              </w:rPr>
              <w:t xml:space="preserve"> όρων και των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ορισμών </w:t>
            </w:r>
            <w:r w:rsidR="00D71CD1">
              <w:rPr>
                <w:rFonts w:ascii="Arial" w:hAnsi="Arial" w:cs="Arial"/>
                <w:sz w:val="24"/>
                <w:szCs w:val="24"/>
                <w:lang w:val="el-GR"/>
              </w:rPr>
              <w:t>τους:</w:t>
            </w:r>
          </w:p>
          <w:p w14:paraId="0EE4D4B5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148AE" w:rsidRPr="00834AFA" w14:paraId="0EE4D4B9" w14:textId="77777777" w:rsidTr="00834AFA">
        <w:trPr>
          <w:trHeight w:val="356"/>
        </w:trPr>
        <w:tc>
          <w:tcPr>
            <w:tcW w:w="1116" w:type="pct"/>
          </w:tcPr>
          <w:p w14:paraId="0EE4D4B7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B8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71CD1" w:rsidRPr="00834AFA" w14:paraId="0EE4D4BC" w14:textId="77777777" w:rsidTr="00834AFA">
        <w:trPr>
          <w:trHeight w:val="356"/>
        </w:trPr>
        <w:tc>
          <w:tcPr>
            <w:tcW w:w="1116" w:type="pct"/>
          </w:tcPr>
          <w:p w14:paraId="0EE4D4BA" w14:textId="77777777" w:rsidR="00D71CD1" w:rsidRPr="00A148AE" w:rsidRDefault="00D71CD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BB" w14:textId="7FBCCC4B" w:rsidR="00D71CD1" w:rsidRPr="00A148AE" w:rsidRDefault="00D71CD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«“παροχέας δικτύου ηλεκτρονικών επικοινωνιών”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αποδίδεται στον όρο αυτό από το άρθρο 3 του περί Ασφάλειας Δικτύων και Συστημάτων Πληροφοριών Νόμου·</w:t>
            </w:r>
          </w:p>
        </w:tc>
      </w:tr>
      <w:tr w:rsidR="00A148AE" w:rsidRPr="00834AFA" w14:paraId="0EE4D4C0" w14:textId="77777777" w:rsidTr="00834AFA">
        <w:trPr>
          <w:trHeight w:val="356"/>
        </w:trPr>
        <w:tc>
          <w:tcPr>
            <w:tcW w:w="1116" w:type="pct"/>
          </w:tcPr>
          <w:p w14:paraId="0EE4D4BD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0" w:type="pct"/>
          </w:tcPr>
          <w:p w14:paraId="0EE4D4BE" w14:textId="77777777" w:rsid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64" w:type="pct"/>
          </w:tcPr>
          <w:p w14:paraId="0EE4D4BF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71CD1" w:rsidRPr="00834AFA" w14:paraId="0EE4D4C3" w14:textId="77777777" w:rsidTr="00834AFA">
        <w:trPr>
          <w:trHeight w:val="356"/>
        </w:trPr>
        <w:tc>
          <w:tcPr>
            <w:tcW w:w="1116" w:type="pct"/>
          </w:tcPr>
          <w:p w14:paraId="0EE4D4C1" w14:textId="77777777" w:rsidR="00D71CD1" w:rsidRPr="00A148AE" w:rsidRDefault="00D71CD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C2" w14:textId="0A3AE924" w:rsidR="00D71CD1" w:rsidRPr="00A148AE" w:rsidRDefault="00D71CD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“παροχέας υπηρεσιών ηλεκτρονικών επικοινωνιών” </w:t>
            </w:r>
            <w:r w:rsidR="009D635B" w:rsidRPr="009D635B"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αποδίδεται στον όρο αυτό από το άρθρο 3 του περί Ασφάλειας Δικτύων και Συστημάτων Πληροφοριών Νόμου·</w:t>
            </w:r>
          </w:p>
        </w:tc>
      </w:tr>
      <w:tr w:rsidR="00A148AE" w:rsidRPr="00834AFA" w14:paraId="0EE4D4C7" w14:textId="77777777" w:rsidTr="00834AFA">
        <w:trPr>
          <w:trHeight w:val="356"/>
        </w:trPr>
        <w:tc>
          <w:tcPr>
            <w:tcW w:w="1116" w:type="pct"/>
          </w:tcPr>
          <w:p w14:paraId="0EE4D4C4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0" w:type="pct"/>
          </w:tcPr>
          <w:p w14:paraId="0EE4D4C5" w14:textId="77777777" w:rsid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964" w:type="pct"/>
          </w:tcPr>
          <w:p w14:paraId="0EE4D4C6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71CD1" w:rsidRPr="00834AFA" w14:paraId="0EE4D4CA" w14:textId="77777777" w:rsidTr="00834AFA">
        <w:trPr>
          <w:trHeight w:val="356"/>
        </w:trPr>
        <w:tc>
          <w:tcPr>
            <w:tcW w:w="1116" w:type="pct"/>
          </w:tcPr>
          <w:p w14:paraId="0EE4D4C8" w14:textId="77777777" w:rsidR="00D71CD1" w:rsidRPr="00A148AE" w:rsidRDefault="00D71CD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C9" w14:textId="2A2F614D" w:rsidR="00D71CD1" w:rsidRPr="00A148AE" w:rsidRDefault="00D71CD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“φορέας κρίσιμων υποδομών πληροφοριών” </w:t>
            </w:r>
            <w:r w:rsidR="009D635B" w:rsidRPr="009D635B">
              <w:rPr>
                <w:rFonts w:ascii="Arial" w:hAnsi="Arial" w:cs="Arial"/>
                <w:sz w:val="24"/>
                <w:szCs w:val="24"/>
                <w:lang w:val="el-GR"/>
              </w:rPr>
              <w:t>έχει την έννοια που αποδίδεται στον όρο αυτό από το άρθρο 3 του περί Ασφάλειας Δικτύων και Συστημάτων Πληροφοριών Νόμου</w:t>
            </w:r>
            <w:r w:rsidR="009D635B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A148AE" w:rsidRPr="00834AFA" w14:paraId="0EE4D4CD" w14:textId="77777777" w:rsidTr="00834AFA">
        <w:trPr>
          <w:trHeight w:val="356"/>
        </w:trPr>
        <w:tc>
          <w:tcPr>
            <w:tcW w:w="1116" w:type="pct"/>
          </w:tcPr>
          <w:p w14:paraId="0EE4D4CB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CC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148AE" w:rsidRPr="00834AFA" w14:paraId="0EE4D4D3" w14:textId="77777777" w:rsidTr="00834AFA">
        <w:trPr>
          <w:trHeight w:val="356"/>
        </w:trPr>
        <w:tc>
          <w:tcPr>
            <w:tcW w:w="1116" w:type="pct"/>
          </w:tcPr>
          <w:p w14:paraId="0EE4D4CE" w14:textId="77777777" w:rsid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0EE4D4CF" w14:textId="77777777" w:rsidR="00A148AE" w:rsidRDefault="00A148AE" w:rsidP="00F93D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15 </w:t>
            </w:r>
          </w:p>
          <w:p w14:paraId="0EE4D4D0" w14:textId="77777777" w:rsidR="00A148AE" w:rsidRPr="00A148AE" w:rsidRDefault="00A148AE" w:rsidP="00F93D9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τ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>βασικού νόμου.</w:t>
            </w:r>
          </w:p>
          <w:p w14:paraId="0EE4D4D1" w14:textId="77777777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D2" w14:textId="58948584" w:rsidR="00A148AE" w:rsidRPr="00A148AE" w:rsidRDefault="00A148AE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3.  Το άρθρο 15 του βασικού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A148AE">
              <w:rPr>
                <w:rFonts w:ascii="Arial" w:hAnsi="Arial" w:cs="Arial"/>
                <w:sz w:val="24"/>
                <w:szCs w:val="24"/>
                <w:lang w:val="el-GR"/>
              </w:rPr>
              <w:t xml:space="preserve">όμου τροποποιείται με την προσθήκη </w:t>
            </w:r>
            <w:r w:rsidR="009D635B">
              <w:rPr>
                <w:rFonts w:ascii="Arial" w:hAnsi="Arial" w:cs="Arial"/>
                <w:sz w:val="24"/>
                <w:szCs w:val="24"/>
                <w:lang w:val="el-GR"/>
              </w:rPr>
              <w:t xml:space="preserve">στην παράγραφο (α) του εδαφίου 2, αμέσως μετά τη φράση «φορείς </w:t>
            </w:r>
            <w:r w:rsidR="009D635B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εκμετάλλευσης βασικών υπηρεσιών» (πρώτη γραμμή)</w:t>
            </w:r>
            <w:r w:rsidR="00EE505D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9D635B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φράσης </w:t>
            </w:r>
            <w:r w:rsidR="00B7589D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</w:t>
            </w:r>
            <w:r w:rsidR="009D635B">
              <w:rPr>
                <w:rFonts w:ascii="Arial" w:hAnsi="Arial" w:cs="Arial"/>
                <w:sz w:val="24"/>
                <w:szCs w:val="24"/>
                <w:lang w:val="el-GR"/>
              </w:rPr>
              <w:t>«, τους φορείς κρίσιμων υποδομών πληροφοριών, τους παροχείς δικτύων ηλεκτρονικών επικοινωνιών, τους παροχείς υπηρεσιών ηλεκτρονικών επικοινωνιών»</w:t>
            </w:r>
            <w:r w:rsidR="00351DA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9D635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9E6C31" w:rsidRPr="00834AFA" w14:paraId="0EE4D4D6" w14:textId="77777777" w:rsidTr="00834AFA">
        <w:trPr>
          <w:trHeight w:val="356"/>
        </w:trPr>
        <w:tc>
          <w:tcPr>
            <w:tcW w:w="1116" w:type="pct"/>
          </w:tcPr>
          <w:p w14:paraId="0EE4D4D4" w14:textId="77777777" w:rsidR="009E6C31" w:rsidRPr="00A148AE" w:rsidRDefault="009E6C31" w:rsidP="00F93D9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884" w:type="pct"/>
            <w:gridSpan w:val="2"/>
          </w:tcPr>
          <w:p w14:paraId="0EE4D4D5" w14:textId="77777777" w:rsidR="009E6C31" w:rsidRPr="00A148AE" w:rsidRDefault="009E6C31" w:rsidP="00F93D9B">
            <w:pPr>
              <w:spacing w:after="0" w:line="360" w:lineRule="auto"/>
              <w:ind w:left="33"/>
              <w:contextualSpacing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EE4D4DB" w14:textId="3DCA21D9" w:rsidR="00604E67" w:rsidRDefault="00604E67" w:rsidP="00F93D9B">
      <w:pPr>
        <w:spacing w:after="0" w:line="360" w:lineRule="auto"/>
        <w:rPr>
          <w:sz w:val="24"/>
          <w:szCs w:val="24"/>
          <w:lang w:val="el-GR"/>
        </w:rPr>
      </w:pPr>
    </w:p>
    <w:p w14:paraId="0E8151EF" w14:textId="77777777" w:rsidR="006B33A0" w:rsidRDefault="006B33A0" w:rsidP="00F93D9B">
      <w:pPr>
        <w:spacing w:after="0" w:line="360" w:lineRule="auto"/>
        <w:rPr>
          <w:sz w:val="24"/>
          <w:szCs w:val="24"/>
          <w:lang w:val="el-GR"/>
        </w:rPr>
      </w:pPr>
    </w:p>
    <w:p w14:paraId="0EE4D4DC" w14:textId="77777777" w:rsidR="00604E67" w:rsidRPr="00604E67" w:rsidRDefault="00C532F8" w:rsidP="00604E67">
      <w:pPr>
        <w:spacing w:after="0" w:line="240" w:lineRule="auto"/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ΜΧ/</w:t>
      </w:r>
      <w:r w:rsidR="00604E67" w:rsidRPr="00604E67">
        <w:rPr>
          <w:rFonts w:ascii="Arial" w:hAnsi="Arial" w:cs="Arial"/>
          <w:sz w:val="16"/>
          <w:szCs w:val="16"/>
          <w:lang w:val="el-GR"/>
        </w:rPr>
        <w:t>ΝΠ/ΓΧ</w:t>
      </w:r>
    </w:p>
    <w:p w14:paraId="0EE4D4DD" w14:textId="77777777" w:rsidR="00604E67" w:rsidRPr="00604E67" w:rsidRDefault="00604E67" w:rsidP="00604E67">
      <w:pPr>
        <w:spacing w:after="0" w:line="240" w:lineRule="auto"/>
        <w:rPr>
          <w:rFonts w:ascii="Arial" w:hAnsi="Arial" w:cs="Arial"/>
          <w:sz w:val="16"/>
          <w:szCs w:val="16"/>
          <w:lang w:val="el-GR"/>
        </w:rPr>
      </w:pPr>
      <w:r w:rsidRPr="00604E67">
        <w:rPr>
          <w:rFonts w:ascii="Arial" w:hAnsi="Arial" w:cs="Arial"/>
          <w:sz w:val="16"/>
          <w:szCs w:val="16"/>
          <w:lang w:val="el-GR"/>
        </w:rPr>
        <w:t>23.01.062.158-2021</w:t>
      </w:r>
    </w:p>
    <w:sectPr w:rsidR="00604E67" w:rsidRPr="00604E67" w:rsidSect="00834AFA">
      <w:headerReference w:type="default" r:id="rId6"/>
      <w:pgSz w:w="11906" w:h="16838"/>
      <w:pgMar w:top="964" w:right="1191" w:bottom="1021" w:left="11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F9C0" w14:textId="77777777" w:rsidR="00CA3B81" w:rsidRDefault="00CA3B81" w:rsidP="00425DE6">
      <w:pPr>
        <w:spacing w:after="0" w:line="240" w:lineRule="auto"/>
      </w:pPr>
      <w:r>
        <w:separator/>
      </w:r>
    </w:p>
  </w:endnote>
  <w:endnote w:type="continuationSeparator" w:id="0">
    <w:p w14:paraId="06E431D2" w14:textId="77777777" w:rsidR="00CA3B81" w:rsidRDefault="00CA3B81" w:rsidP="0042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AF5D" w14:textId="77777777" w:rsidR="00CA3B81" w:rsidRDefault="00CA3B81" w:rsidP="00425DE6">
      <w:pPr>
        <w:spacing w:after="0" w:line="240" w:lineRule="auto"/>
      </w:pPr>
      <w:r>
        <w:separator/>
      </w:r>
    </w:p>
  </w:footnote>
  <w:footnote w:type="continuationSeparator" w:id="0">
    <w:p w14:paraId="53C50402" w14:textId="77777777" w:rsidR="00CA3B81" w:rsidRDefault="00CA3B81" w:rsidP="0042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D4E2" w14:textId="77777777" w:rsidR="00425DE6" w:rsidRDefault="00425D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E4D4E3" w14:textId="77777777" w:rsidR="00425DE6" w:rsidRDefault="00425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31"/>
    <w:rsid w:val="000975A3"/>
    <w:rsid w:val="000B0BED"/>
    <w:rsid w:val="001671E7"/>
    <w:rsid w:val="00351DA2"/>
    <w:rsid w:val="003A7BF7"/>
    <w:rsid w:val="00400DC9"/>
    <w:rsid w:val="0040504D"/>
    <w:rsid w:val="00425DE6"/>
    <w:rsid w:val="0051604C"/>
    <w:rsid w:val="00604E67"/>
    <w:rsid w:val="006B33A0"/>
    <w:rsid w:val="006F3D4F"/>
    <w:rsid w:val="00742559"/>
    <w:rsid w:val="00825334"/>
    <w:rsid w:val="00834AFA"/>
    <w:rsid w:val="009D635B"/>
    <w:rsid w:val="009E6C31"/>
    <w:rsid w:val="00A148AE"/>
    <w:rsid w:val="00B264C9"/>
    <w:rsid w:val="00B7589D"/>
    <w:rsid w:val="00BF1DC8"/>
    <w:rsid w:val="00C532F8"/>
    <w:rsid w:val="00C85079"/>
    <w:rsid w:val="00C96698"/>
    <w:rsid w:val="00CA3B81"/>
    <w:rsid w:val="00D71CD1"/>
    <w:rsid w:val="00E22849"/>
    <w:rsid w:val="00EB38AF"/>
    <w:rsid w:val="00EE505D"/>
    <w:rsid w:val="00F14597"/>
    <w:rsid w:val="00F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D4A3"/>
  <w15:chartTrackingRefBased/>
  <w15:docId w15:val="{5E0B4404-B272-479D-BE31-BDA306CC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D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5DE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25D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5DE6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Gianna Christoforou</cp:lastModifiedBy>
  <cp:revision>6</cp:revision>
  <cp:lastPrinted>2022-03-18T22:22:00Z</cp:lastPrinted>
  <dcterms:created xsi:type="dcterms:W3CDTF">2022-08-04T08:43:00Z</dcterms:created>
  <dcterms:modified xsi:type="dcterms:W3CDTF">2022-09-29T09:45:00Z</dcterms:modified>
</cp:coreProperties>
</file>